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(MPP, CMP/MEP,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(MPP, CMP/MEP,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lieur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double : (1) assurer la sécurité des patients en essais cliniques de phase I en identifiant des doses sûres ; (2) optimiser les schémas posologiques pour maximiser l'efficacité tout en maintenant une toxicité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déruxtécan)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 0,2 (paramètre de sensibilité du feedback). Ce mécanisme représente la stimulation compensatoire de la moelle osseuse lors d'une cytopénie.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 (feedback)</w:t>
            </w:r>
          </w:p>
        </w:tc>
        <w:tc>
          <w:tcPr>
            <w:tcW w:type="dxa" w:w="1701"/>
            <w:shd w:val="clear" w:color="auto" w:fill="FFFFFF"/>
          </w:tcPr>
          <w:p>
            <w:pPr>
              <w:jc w:val="center"/>
            </w:pPr>
            <w:r>
              <w:rPr>
                <w:rFonts w:ascii="Times New Roman" w:hAnsi="Times New Roman"/>
                <w:b w:val="0"/>
                <w:i w:val="0"/>
                <w:sz w:val="20"/>
              </w:rPr>
              <w:t>0,20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Les données cliniques disponibles (BLA 761139, DESTINY-Breast01) ne comportent pas de profils individuels de cytopénie en fonction du temps, mais uniquement des pourcentages de grades agrégés sur l'ensemble du traitement. La validation repose donc sur la comparaison des distributions de grades CTCAE v5 au nadir, extraites pour chaque patient simulé sur les 126 jours de suivi (6 cycles).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concordance avec les données FDA est remarquable : neutropénie tout grade 29% (modèle) vs 29% (FDA), G3-4 16% vs 16% ; anémie tout grade 72% vs 70%, G3-4 9% vs 9% ; thrombocytopénie tout grade 40% vs 37%, G3-4 3% vs 3%. Ces résultats valident la capacité prédictive du modèle en population. La figure ci-dessous présente ces distributions sous forme de barres empilées, avec les taux FDA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w:t>
      </w:r>
    </w:p>
    <w:p>
      <w:pPr>
        <w:spacing w:before="0" w:after="120"/>
        <w:ind w:firstLine="567"/>
        <w:jc w:val="both"/>
      </w:pPr>
      <w:r>
        <w:rPr>
          <w:rFonts w:ascii="Times New Roman" w:hAnsi="Times New Roman"/>
          <w:b w:val="0"/>
          <w:i w:val="0"/>
          <w:sz w:val="24"/>
        </w:rPr>
        <w:t>La RMSE sur l'ensemble des 6 comparaisons prédites vs FDA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des grades CTCAE v5 (T-DXd 5,4 mg/kg Q3W × 6, N=300) vs données cliniques FDA (DESTINY-Breast01, n=184).</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Modélisation 2-compartiments</w:t>
      </w:r>
    </w:p>
    <w:p>
      <w:pPr>
        <w:spacing w:before="0" w:after="120"/>
        <w:ind w:firstLine="567"/>
        <w:jc w:val="both"/>
      </w:pPr>
      <w:r>
        <w:rPr>
          <w:rFonts w:ascii="Times New Roman" w:hAnsi="Times New Roman"/>
          <w:b w:val="0"/>
          <w:i w:val="0"/>
          <w:sz w:val="24"/>
        </w:rPr>
        <w:t>Un modèle PK à 2 compartiments a été ajusté individuellement pour chaque animal via optimisation Nelder-Mead sous rxode2. Les paramètres moyens estimés sont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par le modèle à 2 compartiments sont en excellent accord avec les observations pour tous les animaux (résidus relatifs médians &lt; 12%). Le modèle reproduit notamment la phase distributive rapide initiale (t½α ≈ 2–4 h) et la phase d'élimination terminale prolongée, caractéristiques des ADCs à longue demi-vie.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deux contraintes majeures la rendent inadaptée dans ce contexte : (1) le volume de données disponibles est très limité — n=5 rats, n=8 NHP — ce qui exclut tout apprentissage supervisé robuste ; (2) un modèle boîte noire ne permettrait pas l'extrapolation inter-espèces ni la simulation de doses non testées.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 défini comme la dose la plus élevée n'ayant entraîné aucune atteinte de grade ≥3.</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