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Modélisation 2-compartiments</w:t>
      </w:r>
    </w:p>
    <w:p>
      <w:pPr>
        <w:spacing w:before="0" w:after="120"/>
        <w:ind w:firstLine="567"/>
        <w:jc w:val="both"/>
      </w:pPr>
      <w:r>
        <w:rPr>
          <w:rFonts w:ascii="Times New Roman" w:hAnsi="Times New Roman"/>
          <w:b w:val="0"/>
          <w:i w:val="0"/>
          <w:sz w:val="24"/>
        </w:rPr>
        <w:t>Un modèle pharmacocinétique à 2 compartiments a été ajusté individuellement pour chaque animal (n=8) à l'aide de l'algorithme de Nelder-Mead implémenté dans le package rxode2 (R). L'ajustement individuel — plutôt qu'une approche de population — a été retenu compte tenu du faible nombre d'animaux par groupe (n=2) et de la richesse des données PK individuelles (8 à 12 prélèvements par animal).</w:t>
      </w:r>
    </w:p>
    <w:p>
      <w:pPr>
        <w:spacing w:before="160" w:after="80"/>
      </w:pPr>
      <w:r>
        <w:rPr>
          <w:rFonts w:ascii="Times New Roman" w:hAnsi="Times New Roman"/>
          <w:b/>
          <w:i w:val="0"/>
          <w:color w:val="4A698A"/>
          <w:sz w:val="24"/>
        </w:rPr>
        <w:t>Modèle structurel</w:t>
      </w:r>
    </w:p>
    <w:p>
      <w:pPr>
        <w:spacing w:before="0" w:after="120"/>
        <w:ind w:firstLine="567"/>
        <w:jc w:val="both"/>
      </w:pPr>
      <w:r>
        <w:rPr>
          <w:rFonts w:ascii="Times New Roman" w:hAnsi="Times New Roman"/>
          <w:b w:val="0"/>
          <w:i w:val="0"/>
          <w:sz w:val="24"/>
        </w:rPr>
        <w:t>Le modèle à 2 compartiments décrit le transfert du composé entre le compartiment central (plasma, volume V1) et un compartiment périphérique (tissus, volume V2) via une clairance intercompartimentale Q, et l'élimination depuis le compartiment central par une clairance CL. Les équations différentielles sont :</w:t>
      </w:r>
    </w:p>
    <w:p>
      <w:pPr>
        <w:spacing w:before="120" w:after="120"/>
        <w:jc w:val="center"/>
      </w:pPr>
      <w:r>
        <w:rPr>
          <w:rFonts w:ascii="Courier New" w:hAnsi="Courier New"/>
          <w:b w:val="0"/>
          <w:i/>
          <w:color w:val="3C3C78"/>
          <w:sz w:val="22"/>
        </w:rPr>
        <w:t>dA₁/dt = −(CL/V1 + Q/V1) × A₁  +  (Q/V2) × A₂</w:t>
      </w:r>
    </w:p>
    <w:p>
      <w:pPr>
        <w:spacing w:before="120" w:after="120"/>
        <w:jc w:val="center"/>
      </w:pPr>
      <w:r>
        <w:rPr>
          <w:rFonts w:ascii="Courier New" w:hAnsi="Courier New"/>
          <w:b w:val="0"/>
          <w:i/>
          <w:color w:val="3C3C78"/>
          <w:sz w:val="22"/>
        </w:rPr>
        <w:t>dA₂/dt =  (Q/V1) × A₁  −  (Q/V2) × A₂</w:t>
      </w:r>
    </w:p>
    <w:p>
      <w:pPr>
        <w:spacing w:before="0" w:after="120"/>
        <w:ind w:firstLine="567"/>
        <w:jc w:val="both"/>
      </w:pPr>
      <w:r>
        <w:rPr>
          <w:rFonts w:ascii="Times New Roman" w:hAnsi="Times New Roman"/>
          <w:b w:val="0"/>
          <w:i w:val="0"/>
          <w:sz w:val="24"/>
        </w:rPr>
        <w:t>où A₁ et A₂ sont les quantités de composé dans les compartiments central et périphérique respectivement. La concentration plasmatique prédite est C(t) = A₁/V1. Ce système admet une solution analytique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constantes de vitesse des phases distributive et terminale (α &gt; β), et A, B les amplitudes correspondantes, toutes dérivées analytiquement de CL, V1, Q et V2.</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L'ajustement a été réalisé par minimisation de la somme des résidus au carré sur échelle logarithmique (SSR log), ce qui revient à supposer une erreur proportionnelle sur les concentrations — hypothèse cohérente avec la variabilité biologique mesurée sur plusieurs ordres de grandeur :</w:t>
      </w:r>
    </w:p>
    <w:p>
      <w:pPr>
        <w:spacing w:before="120" w:after="120"/>
        <w:jc w:val="center"/>
      </w:pPr>
      <w:r>
        <w:rPr>
          <w:rFonts w:ascii="Courier New" w:hAnsi="Courier New"/>
          <w:b w:val="0"/>
          <w:i/>
          <w:color w:val="3C3C78"/>
          <w:sz w:val="22"/>
        </w:rPr>
        <w:t>SSR_log = Σᵢ [ log(Cobs,ᵢ) − log(Cpred,ᵢ) ]²</w:t>
      </w:r>
    </w:p>
    <w:p>
      <w:pPr>
        <w:spacing w:before="0" w:after="120"/>
        <w:ind w:firstLine="567"/>
        <w:jc w:val="both"/>
      </w:pPr>
      <w:r>
        <w:rPr>
          <w:rFonts w:ascii="Times New Roman" w:hAnsi="Times New Roman"/>
          <w:b w:val="0"/>
          <w:i w:val="0"/>
          <w:sz w:val="24"/>
        </w:rPr>
        <w:t>Ce modèle d'erreur est standard en pharmacocinétique : il évite que les points à forte concentration dominent l'ajustement et assure une pondération équilibrée entre la phase de distribution (concentrations élevées) et la phase terminale (concentrations basses, biologiquement déterminantes pour l'effet PD).</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(simplex downhill) est une méthode d'optimisation sans gradient opérant dans l'espace des paramètres θ = (CL, V1, Q, V2). À chaque itération, un simplexe de 5 sommets (n+1 pour n=4 paramètres) est transformé par réflexion, expansion ou contraction selon la valeur de SSR_log à chaque sommet. L'algorithme converge vers le minimum local le plus proche du point de départ, sans nécessiter le calcul de dérivées partielles — avantage important lorsque la fonction objectif est non-différentiable ou bruités.</w:t>
      </w:r>
    </w:p>
    <w:p>
      <w:pPr>
        <w:spacing w:before="0" w:after="120"/>
        <w:ind w:firstLine="567"/>
        <w:jc w:val="both"/>
      </w:pPr>
      <w:r>
        <w:rPr>
          <w:rFonts w:ascii="Times New Roman" w:hAnsi="Times New Roman"/>
          <w:b w:val="0"/>
          <w:i w:val="0"/>
          <w:sz w:val="24"/>
        </w:rPr>
        <w:t>Les valeurs initiales ont été fixées à partir des paramètres PK publiés pour des ADCs similaires chez le cynomolgus (CL₀ = 2 mL/h/kg, V1₀ = 50 mL/kg, Q₀ = 1 mL/h/kg, V2₀ = 30 mL/kg). Des contraintes de positivité stricte ont été imposées sur tous les paramètres via une paramétrisation en log (θ = exp(φ)), garantissant que l'optimiseur ne visite pas de régions biologiquement impossibles. La convergence a été déclarée lorsque la variation relative de SSR_log entre deux itérations successives était inférieure à 10⁻⁶.</w:t>
      </w:r>
    </w:p>
    <w:p>
      <w:pPr>
        <w:spacing w:before="160" w:after="80"/>
      </w:pPr>
      <w:r>
        <w:rPr>
          <w:rFonts w:ascii="Times New Roman" w:hAnsi="Times New Roman"/>
          <w:b/>
          <w:i w:val="0"/>
          <w:color w:val="4A698A"/>
          <w:sz w:val="24"/>
        </w:rPr>
        <w:t>Paramètres estimés et qualité d'ajustement</w:t>
      </w:r>
    </w:p>
    <w:p>
      <w:pPr>
        <w:spacing w:before="0" w:after="120"/>
        <w:ind w:firstLine="567"/>
        <w:jc w:val="both"/>
      </w:pPr>
      <w:r>
        <w:rPr>
          <w:rFonts w:ascii="Times New Roman" w:hAnsi="Times New Roman"/>
          <w:b w:val="0"/>
          <w:i w:val="0"/>
          <w:sz w:val="24"/>
        </w:rPr>
        <w:t>Les paramètres PK individuels estimés pour les 8 animaux sont résumés ci-dessous. La variabilité inter-animale (CV%) reste modérée pour tous les paramètres, indiquant une homogénéité PK cohérente avec un composé à comportement prévisible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