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(échelle de sévérité des effets indésirables, cf. §2.7)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hematotoxicity grade predictions consistent with clinical data from the regulatory submission to the FDA (BLA 761139, DESTINY-Breast01, n=184); (3) application of the model to an internally developed compound using preclinical data from non-human primates (NHP) (n=8, 4 dose levels), including non-compartmental analysis, individual 2-compartment PK fitting, and PD calibration; (4) clinical translation based on NHP parameters.</w:t>
      </w:r>
    </w:p>
    <w:p>
      <w:pPr>
        <w:spacing w:before="0" w:after="120"/>
        <w:ind w:firstLine="567"/>
        <w:jc w:val="both"/>
      </w:pPr>
      <w:r>
        <w:rPr>
          <w:rFonts w:ascii="Times New Roman" w:hAnsi="Times New Roman"/>
          <w:b w:val="0"/>
          <w:i w:val="0"/>
          <w:sz w:val="24"/>
        </w:rPr>
        <w:t>The results demonstrate the robustness and genericity of the pipeline, capable of integrating data from multiple species and compounds within a unified and reproducible methodological framework.</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Deux mécanismes peuvent être impliqués : une toxicité off-target, liée au payload cytotoxique libéré de façon non entièrement spécifique et atteignant les progéniteurs médullaires ; et une toxicité on-target, lorsque l'antigène ciblé par l'anticorps est exprimé sur les cellules hématopoïétiques elles-mêmes (ex. CD33, CD123 sur cellules myéloïdes), conduisant à une délivrance directe du payload aux progéniteurs.</w:t>
      </w:r>
    </w:p>
    <w:p>
      <w:pPr>
        <w:spacing w:before="0" w:after="120"/>
        <w:ind w:firstLine="567"/>
        <w:jc w:val="both"/>
      </w:pPr>
      <w:r>
        <w:rPr>
          <w:rFonts w:ascii="Times New Roman" w:hAnsi="Times New Roman"/>
          <w:b w:val="0"/>
          <w:i w:val="0"/>
          <w:sz w:val="24"/>
        </w:rPr>
        <w:t>Dans l'essai DESTINY-Breast01, la neutropénie de grade ≥3 (sévère selon la classification CTCAE, cf. §2.7)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160" w:after="80"/>
      </w:pPr>
      <w:r>
        <w:rPr>
          <w:rFonts w:ascii="Times New Roman" w:hAnsi="Times New Roman"/>
          <w:b/>
          <w:i w:val="0"/>
          <w:color w:val="4A698A"/>
          <w:sz w:val="24"/>
        </w:rPr>
        <w:t>3.1.3 Transposition rat → humain pour le carboplatine : validation intermédiaire</w:t>
      </w:r>
    </w:p>
    <w:p>
      <w:pPr>
        <w:spacing w:before="0" w:after="120"/>
        <w:ind w:firstLine="567"/>
        <w:jc w:val="both"/>
      </w:pPr>
      <w:r>
        <w:rPr>
          <w:rFonts w:ascii="Times New Roman" w:hAnsi="Times New Roman"/>
          <w:b w:val="0"/>
          <w:i w:val="0"/>
          <w:sz w:val="24"/>
        </w:rPr>
        <w:t>Avant d'appliquer le pipeline à un nouveau composé, une étape intermédiaire de validation a été réalisée : la transposition du modèle carboplatine calibré sur données de rat vers la population humaine. Cette étape constitue un garde-fou méthodologique, visant à vérifier que la chaîne complète — extrapolation allométrique des paramètres PK, paramètres PD de rat appliqués à l'humain — reproduit les prédictions publiées par Fornari et al. (2019).</w:t>
      </w:r>
    </w:p>
    <w:p>
      <w:pPr>
        <w:spacing w:before="0" w:after="120"/>
        <w:ind w:firstLine="567"/>
        <w:jc w:val="both"/>
      </w:pPr>
      <w:r>
        <w:rPr>
          <w:rFonts w:ascii="Times New Roman" w:hAnsi="Times New Roman"/>
          <w:b w:val="0"/>
          <w:i w:val="0"/>
          <w:sz w:val="24"/>
        </w:rPr>
        <w:t>Le protocole simulé correspond au schéma de la Figure 4c de Fornari : carboplatine dosé selon la formule de Calvert (AUC cible = 5 mg·mL⁻¹·min, GFR = 125 mL/min, soit une dose de 750 mg), administré en 2 cycles Q21D. Une cohorte virtuelle de N=1000 patients a été générée avec variabilité résiduelle log-additive (σ issu du Tableau S4 de Fornari). Les paramètres biologiques humains de base (Tableau 1 de Fornari) ont remplacé ceux du rat.</w:t>
      </w:r>
    </w:p>
    <w:p>
      <w:pPr>
        <w:spacing w:before="0" w:after="120"/>
        <w:ind w:firstLine="567"/>
        <w:jc w:val="both"/>
      </w:pPr>
      <w:r>
        <w:rPr>
          <w:rFonts w:ascii="Times New Roman" w:hAnsi="Times New Roman"/>
          <w:b w:val="0"/>
          <w:i w:val="0"/>
          <w:sz w:val="24"/>
        </w:rPr>
        <w:t>Les profils de neutrophiles simulés reproduisent fidèlement la Figure 4c de Fornari, validant la transposabilité inter-espèces du cadre pour le carboplatine. En revanche, le profil thrombocytaire présente un accord moins satisfaisant : le nadir prédit est décalé temporellement par rapport aux données de référence, reflet d'une limitation connue du modèle de Fornari pour les plaquettes — dont la cinétique est plus complexe (régulation thrombopoïétine, durée de vie hétérogène des populations plaquettaires). Ce point constitue une limite de la transposition directe des paramètres δ_Plt du rat à l'humain sans recalibration.</w:t>
      </w:r>
    </w:p>
    <w:p>
      <w:pPr>
        <w:jc w:val="center"/>
      </w:pPr>
      <w:r>
        <w:rPr>
          <w:rFonts w:ascii="Times New Roman" w:hAnsi="Times New Roman"/>
          <w:b w:val="0"/>
          <w:i/>
          <w:color w:val="646464"/>
          <w:sz w:val="20"/>
        </w:rPr>
        <w:t>[Figure — Insérer ici : etape2_carboplatin_humain/results/Figure4c_grades_AUC5.pdf]</w:t>
      </w:r>
    </w:p>
    <w:p>
      <w:pPr>
        <w:jc w:val="center"/>
      </w:pPr>
      <w:r>
        <w:rPr>
          <w:rFonts w:ascii="Times New Roman" w:hAnsi="Times New Roman"/>
          <w:b w:val="0"/>
          <w:i/>
          <w:sz w:val="20"/>
        </w:rPr>
        <w:t>Figure 1b. Distribution simulée des grades CTCAE — Carboplatine AUC=5, Q21D×2, N=1000 patients virtuels. Reproduction de la Figure 4c de Fornari et al. (2019).</w:t>
      </w:r>
    </w:p>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part de toxicité hématologique liée à l'expression de la cible sur les progéniteurs (on-target) de celle liée au payload indépendamment de la cible (off-target), orientant ainsi l'optimisation du conjugué.</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