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(MPP, CMP/MEP,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(MPP, CMP/MEP,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FDA clinical data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lieur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cytopénie hématologique — neutropénie, anémie et thrombocytopénie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double : (1) assurer la sécurité des patients en essais cliniques de phase I en identifiant des doses sûres ; (2) optimiser les schémas posologiques pour maximiser l'efficacité tout en maintenant une toxicité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quantifie la relation entre exposition et effet — thérapeutique ou toxique.</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développé spécifiquement pour les ADCs, en représente une version étendue intégrant explicitement les différentes lignées hématopoïétiques et leurs précurseurs.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2.1.1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2.1.2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 0,2 (paramètre de sensibilité du feedback). Ce mécanisme représente la stimulation compensatoire de la moelle osseuse lors d'une cytopénie.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2.2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2.2.1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2.2.2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2.3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2.3.1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2.3.2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2.4 Simulation de population virtuelle</w:t>
      </w:r>
    </w:p>
    <w:p>
      <w:pPr>
        <w:spacing w:before="0" w:after="120"/>
        <w:ind w:firstLine="567"/>
        <w:jc w:val="both"/>
      </w:pPr>
      <w:r>
        <w:rPr>
          <w:rFonts w:ascii="Times New Roman" w:hAnsi="Times New Roman"/>
          <w:b w:val="0"/>
          <w:i w:val="0"/>
          <w:sz w:val="24"/>
        </w:rPr>
        <w:t>Pour la simulation de l'hématotoxicité induite par le T-DXd en population humaine, une cohorte virtuelle de N=300 patients a été générée selon les étapes suivantes :</w:t>
      </w:r>
    </w:p>
    <w:p>
      <w:pPr>
        <w:spacing w:after="60"/>
        <w:ind w:left="283" w:hanging="227"/>
      </w:pPr>
      <w:r>
        <w:rPr>
          <w:rFonts w:ascii="Times New Roman" w:hAnsi="Times New Roman"/>
          <w:b w:val="0"/>
          <w:i w:val="0"/>
          <w:sz w:val="22"/>
        </w:rPr>
        <w:t>• Paramètres PK individuels simulés par tirage log-normal : CL ~ LogN(μ_CL, CV=30%), V1 ~ LogN(μ_V1, CV=25%), Q ~ LogN(μ_Q, CV=30%), V2 ~ LogN(μ_V2, CV=25%)</w:t>
      </w:r>
    </w:p>
    <w:p>
      <w:pPr>
        <w:spacing w:after="60"/>
        <w:ind w:left="283" w:hanging="227"/>
      </w:pPr>
      <w:r>
        <w:rPr>
          <w:rFonts w:ascii="Times New Roman" w:hAnsi="Times New Roman"/>
          <w:b w:val="0"/>
          <w:i w:val="0"/>
          <w:sz w:val="22"/>
        </w:rPr>
        <w:t>• Paramètres PD individuels (Slope) simulés avec CV=20% sur les valeurs de référence calibrées</w:t>
      </w:r>
    </w:p>
    <w:p>
      <w:pPr>
        <w:spacing w:after="60"/>
        <w:ind w:left="283" w:hanging="227"/>
      </w:pPr>
      <w:r>
        <w:rPr>
          <w:rFonts w:ascii="Times New Roman" w:hAnsi="Times New Roman"/>
          <w:b w:val="0"/>
          <w:i w:val="0"/>
          <w:sz w:val="22"/>
        </w:rPr>
        <w:t>• Schéma posologique : T-DXd 5,4 mg/kg Q3W × 6 cycles (doses aux jours 1, 22, 43, 64, 85, 106)</w:t>
      </w:r>
    </w:p>
    <w:p>
      <w:pPr>
        <w:spacing w:after="60"/>
        <w:ind w:left="283" w:hanging="227"/>
      </w:pPr>
      <w:r>
        <w:rPr>
          <w:rFonts w:ascii="Times New Roman" w:hAnsi="Times New Roman"/>
          <w:b w:val="0"/>
          <w:i w:val="0"/>
          <w:sz w:val="22"/>
        </w:rPr>
        <w:t>• Masse corporelle individuelle simulée : LogN(μ=70 kg, CV=15%)</w:t>
      </w:r>
    </w:p>
    <w:p>
      <w:pPr>
        <w:spacing w:after="60"/>
        <w:ind w:left="283" w:hanging="227"/>
      </w:pPr>
      <w:r>
        <w:rPr>
          <w:rFonts w:ascii="Times New Roman" w:hAnsi="Times New Roman"/>
          <w:b w:val="0"/>
          <w:i w:val="0"/>
          <w:sz w:val="22"/>
        </w:rPr>
        <w:t>• Seed aléatoire fixé pour reproductibilité (set.seed(42))</w:t>
      </w:r>
    </w:p>
    <w:p>
      <w:pPr>
        <w:spacing w:before="0" w:after="120"/>
        <w:ind w:firstLine="567"/>
        <w:jc w:val="both"/>
      </w:pPr>
      <w:r>
        <w:rPr>
          <w:rFonts w:ascii="Times New Roman" w:hAnsi="Times New Roman"/>
          <w:b w:val="0"/>
          <w:i w:val="0"/>
          <w:sz w:val="24"/>
        </w:rPr>
        <w:t>Pour chaque patient simulé, le système ODE complet (PK + Damage + PD) est résolu numériquement via rxode2 (solveur LSODA) sur 126 jours. Le nadir de chaque lignée cellulaire est extrait et converti en grade CTCAE v5.</w:t>
      </w:r>
    </w:p>
    <w:p>
      <w:pPr>
        <w:spacing w:before="240" w:after="80"/>
      </w:pPr>
      <w:r>
        <w:rPr>
          <w:rFonts w:ascii="Times New Roman" w:hAnsi="Times New Roman"/>
          <w:b/>
          <w:i w:val="0"/>
          <w:color w:val="34495E"/>
          <w:sz w:val="28"/>
        </w:rPr>
        <w:t>2.5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2.6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2.7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 (feedback)</w:t>
            </w:r>
          </w:p>
        </w:tc>
        <w:tc>
          <w:tcPr>
            <w:tcW w:type="dxa" w:w="1701"/>
            <w:shd w:val="clear" w:color="auto" w:fill="FFFFFF"/>
          </w:tcPr>
          <w:p>
            <w:pPr>
              <w:jc w:val="center"/>
            </w:pPr>
            <w:r>
              <w:rPr>
                <w:rFonts w:ascii="Times New Roman" w:hAnsi="Times New Roman"/>
                <w:b w:val="0"/>
                <w:i w:val="0"/>
                <w:sz w:val="20"/>
              </w:rPr>
              <w:t>0,20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Les paramètres Slope calibrés sur données rat ont ensuite fourni la base de référence pour l'estimation des Slopes humains, en tenant compte du ratio de puissance entre les espèces et de la différence de sensibilité des progéniteurs.</w:t>
      </w:r>
    </w:p>
    <w:p>
      <w:pPr>
        <w:spacing w:before="160" w:after="80"/>
      </w:pPr>
      <w:r>
        <w:rPr>
          <w:rFonts w:ascii="Times New Roman" w:hAnsi="Times New Roman"/>
          <w:b/>
          <w:i w:val="0"/>
          <w:color w:val="4A698A"/>
          <w:sz w:val="24"/>
        </w:rPr>
        <w:t>3.2.2 Simulation de population humaine (N=300)</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Pour chaque patient simulé, le nadir de chaque lignée cellulaire a été extrait sur les 126 jours de suivi (6 cycles), et classifié selon les critères CTCAE v5. Les résultats sont présentés ci-dessous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concordance avec les données FDA (BLA 761139, DESTINY-Breast01) est remarquable : neutropénie tout grade 29% (modèle) vs 29% (FDA), G3-4 16% vs 16% ; anémie tout grade 72% vs 70%, G3-4 9% vs 9% ; thrombocytopénie tout grade 40% vs 37%, G3-4 3% vs 3%. Ces résultats valident la capacité prédictive du modèle en population.</w:t>
      </w:r>
    </w:p>
    <w:p>
      <w:pPr>
        <w:spacing w:before="160" w:after="80"/>
      </w:pPr>
      <w:r>
        <w:rPr>
          <w:rFonts w:ascii="Times New Roman" w:hAnsi="Times New Roman"/>
          <w:b/>
          <w:i w:val="0"/>
          <w:color w:val="4A698A"/>
          <w:sz w:val="24"/>
        </w:rPr>
        <w:t>3.2.3 Visualisation comparative</w:t>
      </w:r>
    </w:p>
    <w:p>
      <w:pPr>
        <w:spacing w:before="0" w:after="120"/>
        <w:ind w:firstLine="567"/>
        <w:jc w:val="both"/>
      </w:pPr>
      <w:r>
        <w:rPr>
          <w:rFonts w:ascii="Times New Roman" w:hAnsi="Times New Roman"/>
          <w:b w:val="0"/>
          <w:i w:val="0"/>
          <w:sz w:val="24"/>
        </w:rPr>
        <w:t>La figure principale de cette étape (poster_grades_tdxd) présente les distributions de grades sous forme de barres empilées (G4 en bas, G0 en haut) pour les trois toxicités hématologiques, avec les données FDA superposées. Des lignes de référence horizontales indiquent les taux FDA de tout grade et de G3-4 pour chaque facette.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Modélisation 2-compartiments</w:t>
      </w:r>
    </w:p>
    <w:p>
      <w:pPr>
        <w:spacing w:before="0" w:after="120"/>
        <w:ind w:firstLine="567"/>
        <w:jc w:val="both"/>
      </w:pPr>
      <w:r>
        <w:rPr>
          <w:rFonts w:ascii="Times New Roman" w:hAnsi="Times New Roman"/>
          <w:b w:val="0"/>
          <w:i w:val="0"/>
          <w:sz w:val="24"/>
        </w:rPr>
        <w:t>Un modèle PK à 2 compartiments a été ajusté individuellement pour chaque animal via optimisation Nelder-Mead sous rxode2. Les paramètres moyens estimés sont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par le modèle à 2 compartiments sont en excellent accord avec les observations pour tous les animaux (résidus relatifs médians &lt; 12%). Le modèle reproduit notamment la phase distributive rapide initiale (t½α ≈ 2–4 h) et la phase d'élimination terminale prolongée, caractéristiques des ADCs à longue demi-vie.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Calibration pharmacodynamique NHP</w:t>
      </w:r>
    </w:p>
    <w:p>
      <w:pPr>
        <w:spacing w:before="0" w:after="120"/>
        <w:ind w:firstLine="567"/>
        <w:jc w:val="both"/>
      </w:pPr>
      <w:r>
        <w:rPr>
          <w:rFonts w:ascii="Times New Roman" w:hAnsi="Times New Roman"/>
          <w:b w:val="0"/>
          <w:i w:val="0"/>
          <w:sz w:val="24"/>
        </w:rPr>
        <w:t>Les paramètres PD (Slope_MPP, Slope_CMP, Slope_MEP) ont été calibrés pour chaque animal en utilisant les concentrations prédites par le modèle PK individuel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pPr>
        <w:spacing w:before="240" w:after="80"/>
      </w:pPr>
      <w:r>
        <w:rPr>
          <w:rFonts w:ascii="Times New Roman" w:hAnsi="Times New Roman"/>
          <w:b/>
          <w:i w:val="0"/>
          <w:color w:val="34495E"/>
          <w:sz w:val="28"/>
        </w:rPr>
        <w:t>3.4 Étape 4 — Traduction clinique : perspectives</w:t>
      </w:r>
    </w:p>
    <w:p>
      <w:pPr>
        <w:spacing w:before="0" w:after="120"/>
        <w:ind w:firstLine="567"/>
        <w:jc w:val="both"/>
      </w:pPr>
      <w:r>
        <w:rPr>
          <w:rFonts w:ascii="Times New Roman" w:hAnsi="Times New Roman"/>
          <w:b w:val="0"/>
          <w:i w:val="0"/>
          <w:sz w:val="24"/>
        </w:rPr>
        <w:t>Sur la base des paramètres PK/PD estimés chez le NHP, une transposition clinique préliminaire a été explorée. La stratégie de transposition s'appuie sur deux approches complémentaires, validées par l'exemple du T-DXd.</w:t>
      </w:r>
    </w:p>
    <w:p>
      <w:pPr>
        <w:spacing w:before="160" w:after="80"/>
      </w:pPr>
      <w:r>
        <w:rPr>
          <w:rFonts w:ascii="Times New Roman" w:hAnsi="Times New Roman"/>
          <w:b/>
          <w:i w:val="0"/>
          <w:color w:val="4A698A"/>
          <w:sz w:val="24"/>
        </w:rPr>
        <w:t>3.4.1 Transposition PK NHP → humain</w:t>
      </w:r>
    </w:p>
    <w:p>
      <w:pPr>
        <w:spacing w:before="0" w:after="120"/>
        <w:ind w:firstLine="567"/>
        <w:jc w:val="both"/>
      </w:pPr>
      <w:r>
        <w:rPr>
          <w:rFonts w:ascii="Times New Roman" w:hAnsi="Times New Roman"/>
          <w:b w:val="0"/>
          <w:i w:val="0"/>
          <w:sz w:val="24"/>
        </w:rPr>
        <w:t>La transposition des paramètres PK repose sur des lois d'allométrie inter-espèces, calibrées sur les données T-DXd pour lesquelles les paramètres NHP et humains sont tous deux disponibles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Pour le T-DXd, la comparaison des prédictions allométriques aux paramètres réels de la population humaine FDA confirme que cette approche donne une estimation raisonnable en première approximation (facteur d'erreur &lt; 2 sur CL).</w:t>
      </w:r>
    </w:p>
    <w:p>
      <w:pPr>
        <w:spacing w:before="160" w:after="80"/>
      </w:pPr>
      <w:r>
        <w:rPr>
          <w:rFonts w:ascii="Times New Roman" w:hAnsi="Times New Roman"/>
          <w:b/>
          <w:i w:val="0"/>
          <w:color w:val="4A698A"/>
          <w:sz w:val="24"/>
        </w:rPr>
        <w:t>3.4.2 Transposition PD et simulation préliminaire</w:t>
      </w:r>
    </w:p>
    <w:p>
      <w:pPr>
        <w:spacing w:before="0" w:after="120"/>
        <w:ind w:firstLine="567"/>
        <w:jc w:val="both"/>
      </w:pPr>
      <w:r>
        <w:rPr>
          <w:rFonts w:ascii="Times New Roman" w:hAnsi="Times New Roman"/>
          <w:b w:val="0"/>
          <w:i w:val="0"/>
          <w:sz w:val="24"/>
        </w:rPr>
        <w:t>La transposition des paramètres PD (Slopes) est plus complexe, car la sensibilité des progéniteurs hématopoïétiques au payload peut varier entre espèces. Une approche conservatrice consiste à utiliser directement les Slopes NHP comme estimation initiale, en attendant des données spécifiques d'espèce (ex. IC50 CFU sur cellules humaines).</w:t>
      </w:r>
    </w:p>
    <w:p>
      <w:pPr>
        <w:spacing w:before="0" w:after="120"/>
        <w:ind w:firstLine="567"/>
        <w:jc w:val="both"/>
      </w:pPr>
      <w:r>
        <w:rPr>
          <w:rFonts w:ascii="Times New Roman" w:hAnsi="Times New Roman"/>
          <w:b w:val="0"/>
          <w:i w:val="0"/>
          <w:sz w:val="24"/>
        </w:rPr>
        <w:t>La simulation préliminaire de la réponse hématologique humaine avec les paramètres transposés indique un profil de toxicité attendu modéré, comparable à celui du T-DXd aux doses thérapeutiques envisagées. Ces projections constituent une base pour la définition de la dose de départ en Premier-en-Homme (FIH), en cohérence avec le NOAEL identifié en NHP.</w:t>
      </w:r>
    </w:p>
    <w:p>
      <w:pPr>
        <w:spacing w:before="160" w:after="80"/>
      </w:pPr>
      <w:r>
        <w:rPr>
          <w:rFonts w:ascii="Times New Roman" w:hAnsi="Times New Roman"/>
          <w:b/>
          <w:i w:val="0"/>
          <w:color w:val="4A698A"/>
          <w:sz w:val="24"/>
        </w:rPr>
        <w:t>3.4.3 Mise en perspective avec le NOAEL NHP</w:t>
      </w:r>
    </w:p>
    <w:p>
      <w:pPr>
        <w:spacing w:before="0" w:after="120"/>
        <w:ind w:firstLine="567"/>
        <w:jc w:val="both"/>
      </w:pPr>
      <w:r>
        <w:rPr>
          <w:rFonts w:ascii="Times New Roman" w:hAnsi="Times New Roman"/>
          <w:b w:val="0"/>
          <w:i w:val="0"/>
          <w:sz w:val="24"/>
        </w:rPr>
        <w:t>Le NOAEL (No Observed Adverse Effect Level) identifié dans l'étude NHP correspond à la dose à laquelle aucune cytopénie de grade ≥3 n'a été observée. La simulation PK/PD permet de quantifier la marge de sécurité entre le NOAEL et les doses humaines envisagées, en intégrant les différences pharmacocinétiques inter-espèces de manière cohérente.</w:t>
      </w:r>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before="240" w:after="80"/>
      </w:pPr>
      <w:r>
        <w:rPr>
          <w:rFonts w:ascii="Times New Roman" w:hAnsi="Times New Roman"/>
          <w:b/>
          <w:i w:val="0"/>
          <w:color w:val="34495E"/>
          <w:sz w:val="28"/>
        </w:rPr>
        <w:t>4.5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