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(échelle de sévérité des effets indésirables, cf. §2.7)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Deux mécanismes peuvent être impliqués : une toxicité off-target, liée au payload cytotoxique libéré de façon non entièrement spécifique et atteignant les progéniteurs médullaires ; et une toxicité on-target, lorsque l'antigène ciblé par l'anticorps est exprimé sur les cellules hématopoïétiques elles-mêmes (ex. CD33, CD123 sur cellules myéloïdes), conduisant à une délivrance directe du payload aux progéniteurs.</w:t>
      </w:r>
    </w:p>
    <w:p>
      <w:pPr>
        <w:spacing w:before="0" w:after="120"/>
        <w:ind w:firstLine="567"/>
        <w:jc w:val="both"/>
      </w:pPr>
      <w:r>
        <w:rPr>
          <w:rFonts w:ascii="Times New Roman" w:hAnsi="Times New Roman"/>
          <w:b w:val="0"/>
          <w:i w:val="0"/>
          <w:sz w:val="24"/>
        </w:rPr>
        <w:t>Dans l'essai DESTINY-Breast01, la neutropénie de grade ≥3 (sévère selon la classification CTCAE, cf. §2.7)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à partir de données issues de rats traités au carboplatine, afin d'établir un cadre méthodologique de référence.</w:t>
      </w:r>
    </w:p>
    <w:p>
      <w:pPr>
        <w:spacing w:after="60"/>
        <w:ind w:left="283" w:hanging="227"/>
      </w:pPr>
      <w:r>
        <w:rPr>
          <w:rFonts w:ascii="Times New Roman" w:hAnsi="Times New Roman"/>
          <w:b w:val="0"/>
          <w:i w:val="0"/>
          <w:sz w:val="22"/>
        </w:rPr>
        <w:t>• Appliquer ce cadre au T-DXd (trastuzumab deruxtecan), en développant une simulation de population virtuelle humaine (N=300) et en aboutissant à une prédiction des grades d'hématotoxicité CTCAE v5 en accord avec les données cliniques présentes dans le dossier soumis à la FDA (BLA 761139, DESTINY-Breast01, n=184).</w:t>
      </w:r>
    </w:p>
    <w:p>
      <w:pPr>
        <w:spacing w:after="60"/>
        <w:ind w:left="283" w:hanging="227"/>
      </w:pPr>
      <w:r>
        <w:rPr>
          <w:rFonts w:ascii="Times New Roman" w:hAnsi="Times New Roman"/>
          <w:b w:val="0"/>
          <w:i w:val="0"/>
          <w:sz w:val="22"/>
        </w:rPr>
        <w:t>• Appliquer le pipeline à un composé en développement interne à partir de données précliniques issues de primates non-humains (NHP) (n=8, 4 niveaux de dose), incluant une analyse non-compartimentale (NCA), un ajustement PK individuel à 2 compartiments et une calibration PD.</w:t>
      </w:r>
    </w:p>
    <w:p>
      <w:pPr>
        <w:spacing w:after="60"/>
        <w:ind w:left="283" w:hanging="227"/>
      </w:pPr>
      <w:r>
        <w:rPr>
          <w:rFonts w:ascii="Times New Roman" w:hAnsi="Times New Roman"/>
          <w:b w:val="0"/>
          <w:i w:val="0"/>
          <w:sz w:val="22"/>
        </w:rPr>
        <w:t>• Établir les bases d'une transposition clinique basée sur les paramètres NHP, en s'appuyant sur les connaissances accumulées sur le T-DXd.</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Avant d'appliquer le pipeline à un nouveau composé, une étape intermédiaire de validation a été réalisée : la transposition du modèle carboplatine calibré sur données de rat vers la population humaine. Cette étape constitue un garde-fou méthodologique, visant à vérifier que la chaîne complète — extrapolation allométrique des paramètres PK, paramètres PD de rat appliqués à l'humain — reproduit les prédictions publiées par Fornari et al. (2019).</w:t>
      </w:r>
    </w:p>
    <w:p>
      <w:pPr>
        <w:spacing w:before="0" w:after="120"/>
        <w:ind w:firstLine="567"/>
        <w:jc w:val="both"/>
      </w:pPr>
      <w:r>
        <w:rPr>
          <w:rFonts w:ascii="Times New Roman" w:hAnsi="Times New Roman"/>
          <w:b w:val="0"/>
          <w:i w:val="0"/>
          <w:sz w:val="24"/>
        </w:rPr>
        <w:t>Le protocole simulé correspond au schéma de la Figure 4c de Fornari : carboplatine dosé selon la formule de Calvert (AUC cible = 5 mg·mL⁻¹·min, GFR = 125 mL/min, soit une dose de 750 mg), administré en 2 cycles Q21D. Une cohorte virtuelle de N=1000 patients a été générée avec variabilité résiduelle log-additive (σ issu du Tableau S4 de Fornari). Les paramètres biologiques humains de base (Tableau 1 de Fornari) ont remplacé ceux du rat.</w:t>
      </w:r>
    </w:p>
    <w:p>
      <w:pPr>
        <w:spacing w:before="0" w:after="120"/>
        <w:ind w:firstLine="567"/>
        <w:jc w:val="both"/>
      </w:pPr>
      <w:r>
        <w:rPr>
          <w:rFonts w:ascii="Times New Roman" w:hAnsi="Times New Roman"/>
          <w:b w:val="0"/>
          <w:i w:val="0"/>
          <w:sz w:val="24"/>
        </w:rPr>
        <w:t>Les profils de neutrophiles simulés reproduisent fidèlement la Figure 4c de Fornari, validant la transposabilité inter-espèces du cadre pour le carboplatine. En revanche, le profil thrombocytaire présente un accord moins satisfaisant : le nadir prédit est décalé temporellement par rapport aux données de référence, reflet d'une limitation connue du modèle de Fornari pour les plaquettes — dont la cinétique est plus complexe (régulation thrombopoïétine, durée de vie hétérogène des populations plaquettaires). Ce point constitue une limite de la transposition directe des paramètres δ_Plt du rat à l'humain sans recalibration.</w:t>
      </w:r>
    </w:p>
    <w:p>
      <w:pPr>
        <w:jc w:val="center"/>
      </w:pPr>
      <w:r>
        <w:rPr>
          <w:rFonts w:ascii="Times New Roman" w:hAnsi="Times New Roman"/>
          <w:b w:val="0"/>
          <w:i/>
          <w:color w:val="646464"/>
          <w:sz w:val="20"/>
        </w:rPr>
        <w:t>[Figure — Insérer ici : etape2_carboplatin_humain/results/Figure4c_grades_AUC5.pdf]</w:t>
      </w:r>
    </w:p>
    <w:p>
      <w:pPr>
        <w:jc w:val="center"/>
      </w:pPr>
      <w:r>
        <w:rPr>
          <w:rFonts w:ascii="Times New Roman" w:hAnsi="Times New Roman"/>
          <w:b w:val="0"/>
          <w:i/>
          <w:sz w:val="20"/>
        </w:rPr>
        <w:t>Figure 1b. Distribution simulée des grades CTCAE — Carboplatine AUC=5, Q21D×2, N=1000 patients virtuels. Reproduction de la Figure 4c de Fornari et al. (2019).</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