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deruxtecan) avec simulation de population virtuelle de 300 patients, aboutissant à une prédiction des grades CTCAE v5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grade predictions consistent with clinical data from the regulatory submission to the FDA (BLA 761139, DESTINY-Breast01, n=184); (3) application to an internally developed compound using preclinical NHP data (n=8, 4 dose levels), including non-compartmental analysis, individual 2-compartment PK fitting, and PD calibration; (4) perspectives for clinical translation based on NHP parameters.</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ODE</w:t>
            </w:r>
          </w:p>
        </w:tc>
        <w:tc>
          <w:tcPr>
            <w:tcW w:type="dxa" w:w="6803"/>
            <w:shd w:val="clear" w:color="auto" w:fill="F2F2F2"/>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FFFFF"/>
          </w:tcPr>
          <w:p>
            <w:pPr>
              <w:jc w:val="center"/>
            </w:pPr>
            <w:r>
              <w:rPr>
                <w:rFonts w:ascii="Times New Roman" w:hAnsi="Times New Roman"/>
                <w:b w:val="0"/>
                <w:i w:val="0"/>
                <w:sz w:val="20"/>
              </w:rPr>
              <w:t>PD</w:t>
            </w:r>
          </w:p>
        </w:tc>
        <w:tc>
          <w:tcPr>
            <w:tcW w:type="dxa" w:w="6803"/>
            <w:shd w:val="clear" w:color="auto" w:fill="FFFFFF"/>
          </w:tcPr>
          <w:p>
            <w:pPr>
              <w:jc w:val="center"/>
            </w:pPr>
            <w:r>
              <w:rPr>
                <w:rFonts w:ascii="Times New Roman" w:hAnsi="Times New Roman"/>
                <w:b w:val="0"/>
                <w:i w:val="0"/>
                <w:sz w:val="20"/>
              </w:rPr>
              <w:t>Pharmacodynamique</w:t>
            </w:r>
          </w:p>
        </w:tc>
      </w:tr>
      <w:tr>
        <w:tc>
          <w:tcPr>
            <w:tcW w:type="dxa" w:w="1984"/>
            <w:shd w:val="clear" w:color="auto" w:fill="F2F2F2"/>
          </w:tcPr>
          <w:p>
            <w:pPr>
              <w:jc w:val="center"/>
            </w:pPr>
            <w:r>
              <w:rPr>
                <w:rFonts w:ascii="Times New Roman" w:hAnsi="Times New Roman"/>
                <w:b w:val="0"/>
                <w:i w:val="0"/>
                <w:sz w:val="20"/>
              </w:rPr>
              <w:t>PK</w:t>
            </w:r>
          </w:p>
        </w:tc>
        <w:tc>
          <w:tcPr>
            <w:tcW w:type="dxa" w:w="6803"/>
            <w:shd w:val="clear" w:color="auto" w:fill="F2F2F2"/>
          </w:tcPr>
          <w:p>
            <w:pPr>
              <w:jc w:val="center"/>
            </w:pPr>
            <w:r>
              <w:rPr>
                <w:rFonts w:ascii="Times New Roman" w:hAnsi="Times New Roman"/>
                <w:b w:val="0"/>
                <w:i w:val="0"/>
                <w:sz w:val="20"/>
              </w:rPr>
              <w:t>Pharmacocinétique</w:t>
            </w:r>
          </w:p>
        </w:tc>
      </w:tr>
      <w:tr>
        <w:tc>
          <w:tcPr>
            <w:tcW w:type="dxa" w:w="1984"/>
            <w:shd w:val="clear" w:color="auto" w:fill="FFFFFF"/>
          </w:tcPr>
          <w:p>
            <w:pPr>
              <w:jc w:val="center"/>
            </w:pPr>
            <w:r>
              <w:rPr>
                <w:rFonts w:ascii="Times New Roman" w:hAnsi="Times New Roman"/>
                <w:b w:val="0"/>
                <w:i w:val="0"/>
                <w:sz w:val="20"/>
              </w:rPr>
              <w:t>PKPD</w:t>
            </w:r>
          </w:p>
        </w:tc>
        <w:tc>
          <w:tcPr>
            <w:tcW w:type="dxa" w:w="6803"/>
            <w:shd w:val="clear" w:color="auto" w:fill="FFFFFF"/>
          </w:tcPr>
          <w:p>
            <w:pPr>
              <w:jc w:val="center"/>
            </w:pPr>
            <w:r>
              <w:rPr>
                <w:rFonts w:ascii="Times New Roman" w:hAnsi="Times New Roman"/>
                <w:b w:val="0"/>
                <w:i w:val="0"/>
                <w:sz w:val="20"/>
              </w:rPr>
              <w:t>Pharmacocinétique-Pharmacodynamique</w:t>
            </w:r>
          </w:p>
        </w:tc>
      </w:tr>
      <w:tr>
        <w:tc>
          <w:tcPr>
            <w:tcW w:type="dxa" w:w="1984"/>
            <w:shd w:val="clear" w:color="auto" w:fill="F2F2F2"/>
          </w:tcPr>
          <w:p>
            <w:pPr>
              <w:jc w:val="center"/>
            </w:pPr>
            <w:r>
              <w:rPr>
                <w:rFonts w:ascii="Times New Roman" w:hAnsi="Times New Roman"/>
                <w:b w:val="0"/>
                <w:i w:val="0"/>
                <w:sz w:val="20"/>
              </w:rPr>
              <w:t>Q3W</w:t>
            </w:r>
          </w:p>
        </w:tc>
        <w:tc>
          <w:tcPr>
            <w:tcW w:type="dxa" w:w="6803"/>
            <w:shd w:val="clear" w:color="auto" w:fill="F2F2F2"/>
          </w:tcPr>
          <w:p>
            <w:pPr>
              <w:jc w:val="center"/>
            </w:pPr>
            <w:r>
              <w:rPr>
                <w:rFonts w:ascii="Times New Roman" w:hAnsi="Times New Roman"/>
                <w:b w:val="0"/>
                <w:i w:val="0"/>
                <w:sz w:val="20"/>
              </w:rPr>
              <w:t>Every 3 weeks (toutes les 3 semaines)</w:t>
            </w:r>
          </w:p>
        </w:tc>
      </w:tr>
      <w:tr>
        <w:tc>
          <w:tcPr>
            <w:tcW w:type="dxa" w:w="1984"/>
            <w:shd w:val="clear" w:color="auto" w:fill="FFFFFF"/>
          </w:tcPr>
          <w:p>
            <w:pPr>
              <w:jc w:val="center"/>
            </w:pPr>
            <w:r>
              <w:rPr>
                <w:rFonts w:ascii="Times New Roman" w:hAnsi="Times New Roman"/>
                <w:b w:val="0"/>
                <w:i w:val="0"/>
                <w:sz w:val="20"/>
              </w:rPr>
              <w:t>RBC</w:t>
            </w:r>
          </w:p>
        </w:tc>
        <w:tc>
          <w:tcPr>
            <w:tcW w:type="dxa" w:w="6803"/>
            <w:shd w:val="clear" w:color="auto" w:fill="FFFFFF"/>
          </w:tcPr>
          <w:p>
            <w:pPr>
              <w:jc w:val="center"/>
            </w:pPr>
            <w:r>
              <w:rPr>
                <w:rFonts w:ascii="Times New Roman" w:hAnsi="Times New Roman"/>
                <w:b w:val="0"/>
                <w:i w:val="0"/>
                <w:sz w:val="20"/>
              </w:rPr>
              <w:t>Red Blood Cells (érythrocytes)</w:t>
            </w:r>
          </w:p>
        </w:tc>
      </w:tr>
      <w:tr>
        <w:tc>
          <w:tcPr>
            <w:tcW w:type="dxa" w:w="1984"/>
            <w:shd w:val="clear" w:color="auto" w:fill="F2F2F2"/>
          </w:tcPr>
          <w:p>
            <w:pPr>
              <w:jc w:val="center"/>
            </w:pPr>
            <w:r>
              <w:rPr>
                <w:rFonts w:ascii="Times New Roman" w:hAnsi="Times New Roman"/>
                <w:b w:val="0"/>
                <w:i w:val="0"/>
                <w:sz w:val="20"/>
              </w:rPr>
              <w:t>RMSE</w:t>
            </w:r>
          </w:p>
        </w:tc>
        <w:tc>
          <w:tcPr>
            <w:tcW w:type="dxa" w:w="6803"/>
            <w:shd w:val="clear" w:color="auto" w:fill="F2F2F2"/>
          </w:tcPr>
          <w:p>
            <w:pPr>
              <w:jc w:val="center"/>
            </w:pPr>
            <w:r>
              <w:rPr>
                <w:rFonts w:ascii="Times New Roman" w:hAnsi="Times New Roman"/>
                <w:b w:val="0"/>
                <w:i w:val="0"/>
                <w:sz w:val="20"/>
              </w:rPr>
              <w:t>Root Mean Square Error</w:t>
            </w:r>
          </w:p>
        </w:tc>
      </w:tr>
      <w:tr>
        <w:tc>
          <w:tcPr>
            <w:tcW w:type="dxa" w:w="1984"/>
            <w:shd w:val="clear" w:color="auto" w:fill="FFFFFF"/>
          </w:tcPr>
          <w:p>
            <w:pPr>
              <w:jc w:val="center"/>
            </w:pPr>
            <w:r>
              <w:rPr>
                <w:rFonts w:ascii="Times New Roman" w:hAnsi="Times New Roman"/>
                <w:b w:val="0"/>
                <w:i w:val="0"/>
                <w:sz w:val="20"/>
              </w:rPr>
              <w:t>T-DXd</w:t>
            </w:r>
          </w:p>
        </w:tc>
        <w:tc>
          <w:tcPr>
            <w:tcW w:type="dxa" w:w="6803"/>
            <w:shd w:val="clear" w:color="auto" w:fill="FFFFFF"/>
          </w:tcPr>
          <w:p>
            <w:pPr>
              <w:jc w:val="center"/>
            </w:pPr>
            <w:r>
              <w:rPr>
                <w:rFonts w:ascii="Times New Roman" w:hAnsi="Times New Roman"/>
                <w:b w:val="0"/>
                <w:i w:val="0"/>
                <w:sz w:val="20"/>
              </w:rPr>
              <w:t>Trastuzumab deruxtecan (Enhertu®)</w:t>
            </w:r>
          </w:p>
        </w:tc>
      </w:tr>
      <w:tr>
        <w:tc>
          <w:tcPr>
            <w:tcW w:type="dxa" w:w="1984"/>
            <w:shd w:val="clear" w:color="auto" w:fill="F2F2F2"/>
          </w:tcPr>
          <w:p>
            <w:pPr>
              <w:jc w:val="center"/>
            </w:pPr>
            <w:r>
              <w:rPr>
                <w:rFonts w:ascii="Times New Roman" w:hAnsi="Times New Roman"/>
                <w:b w:val="0"/>
                <w:i w:val="0"/>
                <w:sz w:val="20"/>
              </w:rPr>
              <w:t>V1/V2</w:t>
            </w:r>
          </w:p>
        </w:tc>
        <w:tc>
          <w:tcPr>
            <w:tcW w:type="dxa" w:w="6803"/>
            <w:shd w:val="clear" w:color="auto" w:fill="F2F2F2"/>
          </w:tcPr>
          <w:p>
            <w:pPr>
              <w:jc w:val="center"/>
            </w:pPr>
            <w:r>
              <w:rPr>
                <w:rFonts w:ascii="Times New Roman" w:hAnsi="Times New Roman"/>
                <w:b w:val="0"/>
                <w:i w:val="0"/>
                <w:sz w:val="20"/>
              </w:rPr>
              <w:t>Volume de distribution central/périphérique</w:t>
            </w:r>
          </w:p>
        </w:tc>
      </w:tr>
      <w:tr>
        <w:tc>
          <w:tcPr>
            <w:tcW w:type="dxa" w:w="1984"/>
            <w:shd w:val="clear" w:color="auto" w:fill="FFFFFF"/>
          </w:tcPr>
          <w:p>
            <w:pPr>
              <w:jc w:val="center"/>
            </w:pPr>
            <w:r>
              <w:rPr>
                <w:rFonts w:ascii="Times New Roman" w:hAnsi="Times New Roman"/>
                <w:b w:val="0"/>
                <w:i w:val="0"/>
                <w:sz w:val="20"/>
              </w:rPr>
              <w:t>VPC</w:t>
            </w:r>
          </w:p>
        </w:tc>
        <w:tc>
          <w:tcPr>
            <w:tcW w:type="dxa" w:w="6803"/>
            <w:shd w:val="clear" w:color="auto" w:fill="FFFFFF"/>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liant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deruxtecan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sensibles au payload cytotoxique libéré de façon non entièrement spécifique.</w:t>
      </w:r>
    </w:p>
    <w:p>
      <w:pPr>
        <w:spacing w:before="0" w:after="120"/>
        <w:ind w:firstLine="567"/>
        <w:jc w:val="both"/>
      </w:pPr>
      <w:r>
        <w:rPr>
          <w:rFonts w:ascii="Times New Roman" w:hAnsi="Times New Roman"/>
          <w:b w:val="0"/>
          <w:i w:val="0"/>
          <w:sz w:val="24"/>
        </w:rPr>
        <w:t>Dans l'essai DESTINY-Breast01, la neutropénie de grade ≥3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à la fois clinique et opérationnel. Sur le plan clinique, elle conditionne directement le choix de la première dose administrée chez l'homme (first-in-human, FIH) : une dose de départ trop élevée expose les patients à des toxicités sévères potentiellement irréversibles, tandis qu'une dose trop faible retarde l'accès à l'efficacité thérapeutique. Sur le plan opérationnel, elle permet d'optimiser les schémas posologiques pour maximiser le bénéfice clinique tout en maintenant un profil de tolérance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sur les données de rat traitées au carboplatine, afin d'établir un cadre méthodologique de référence.</w:t>
      </w:r>
    </w:p>
    <w:p>
      <w:pPr>
        <w:spacing w:after="60"/>
        <w:ind w:left="283" w:hanging="227"/>
      </w:pPr>
      <w:r>
        <w:rPr>
          <w:rFonts w:ascii="Times New Roman" w:hAnsi="Times New Roman"/>
          <w:b w:val="0"/>
          <w:i w:val="0"/>
          <w:sz w:val="22"/>
        </w:rPr>
        <w:t>• Appliquer et adapter ce cadre au T-DXd, en développant une simulation de population virtuelle humaine (N=300) et en validant les prédictions de grades CTCAE v5 contre les données cliniques FDA.</w:t>
      </w:r>
    </w:p>
    <w:p>
      <w:pPr>
        <w:spacing w:after="60"/>
        <w:ind w:left="283" w:hanging="227"/>
      </w:pPr>
      <w:r>
        <w:rPr>
          <w:rFonts w:ascii="Times New Roman" w:hAnsi="Times New Roman"/>
          <w:b w:val="0"/>
          <w:i w:val="0"/>
          <w:sz w:val="22"/>
        </w:rPr>
        <w:t>• Étendre le pipeline à un composé en développement interne, en s'appuyant sur des données précliniques NHP (8 primates non-humains, 4 niveaux de dose) pour la caractérisation PK/PD.</w:t>
      </w:r>
    </w:p>
    <w:p>
      <w:pPr>
        <w:spacing w:after="60"/>
        <w:ind w:left="283" w:hanging="227"/>
      </w:pPr>
      <w:r>
        <w:rPr>
          <w:rFonts w:ascii="Times New Roman" w:hAnsi="Times New Roman"/>
          <w:b w:val="0"/>
          <w:i w:val="0"/>
          <w:sz w:val="22"/>
        </w:rPr>
        <w:t>• Établir les bases méthodologiques d'une traduction clinique, en exploitant les connaissances accumulées sur le T-DXd pour guider l'interprétation des données NHP internes.</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deruxtecan)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spacing w:before="160" w:after="80"/>
      </w:pPr>
      <w:r>
        <w:rPr>
          <w:rFonts w:ascii="Times New Roman" w:hAnsi="Times New Roman"/>
          <w:b/>
          <w:i w:val="0"/>
          <w:color w:val="4A698A"/>
          <w:sz w:val="24"/>
        </w:rPr>
        <w:t>2.2.2 Équations différentielles</w:t>
      </w:r>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f_feedback le feedback homéostatique, C_in le flux entrant depuis le compartiment précédent, Damage l'état d'endommagement cellulaire accumulé (défini en §2.3), et Slope le paramètre de sensibilité de la lignée au médicament (défini en §2.5).</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un paramètre de sensibilité du feedback qui n'est pas unique : il prend des valeurs différentes selon le niveau de régulation considéré. Dans le modèle de Fornari (2019), quatre valeurs distinctes sont définies :</w:t>
      </w:r>
    </w:p>
    <w:tbl>
      <w:tblPr>
        <w:tblStyle w:val="TableGrid"/>
        <w:tblW w:type="auto" w:w="0"/>
        <w:tblLook w:firstColumn="1" w:firstRow="1" w:lastColumn="0" w:lastRow="0" w:noHBand="0" w:noVBand="1" w:val="04A0"/>
      </w:tblPr>
      <w:tblGrid>
        <w:gridCol w:w="3041"/>
        <w:gridCol w:w="3041"/>
        <w:gridCol w:w="3041"/>
      </w:tblGrid>
      <w:tr>
        <w:tc>
          <w:tcPr>
            <w:tcW w:type="dxa" w:w="170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Valeur (rat)</w:t>
            </w:r>
          </w:p>
        </w:tc>
        <w:tc>
          <w:tcPr>
            <w:tcW w:type="dxa" w:w="5669"/>
            <w:shd w:val="clear" w:color="auto" w:fill="2C3E50"/>
          </w:tcPr>
          <w:p>
            <w:pPr>
              <w:jc w:val="center"/>
            </w:pPr>
            <w:r>
              <w:rPr>
                <w:rFonts w:ascii="Times New Roman" w:hAnsi="Times New Roman"/>
                <w:b/>
                <w:i w:val="0"/>
                <w:color w:val="FFFFFF"/>
                <w:sz w:val="20"/>
              </w:rPr>
              <w:t>Niveau de régulation</w:t>
            </w:r>
          </w:p>
        </w:tc>
      </w:tr>
      <w:tr>
        <w:tc>
          <w:tcPr>
            <w:tcW w:type="dxa" w:w="1701"/>
            <w:shd w:val="clear" w:color="auto" w:fill="F2F2F2"/>
          </w:tcPr>
          <w:p>
            <w:pPr>
              <w:jc w:val="center"/>
            </w:pPr>
            <w:r>
              <w:rPr>
                <w:rFonts w:ascii="Times New Roman" w:hAnsi="Times New Roman"/>
                <w:b w:val="0"/>
                <w:i w:val="0"/>
                <w:sz w:val="20"/>
              </w:rPr>
              <w:t>γ_stem</w:t>
            </w:r>
          </w:p>
        </w:tc>
        <w:tc>
          <w:tcPr>
            <w:tcW w:type="dxa" w:w="1417"/>
            <w:shd w:val="clear" w:color="auto" w:fill="F2F2F2"/>
          </w:tcPr>
          <w:p>
            <w:pPr>
              <w:jc w:val="center"/>
            </w:pPr>
            <w:r>
              <w:rPr>
                <w:rFonts w:ascii="Times New Roman" w:hAnsi="Times New Roman"/>
                <w:b w:val="0"/>
                <w:i w:val="0"/>
                <w:sz w:val="20"/>
              </w:rPr>
              <w:t>0,07</w:t>
            </w:r>
          </w:p>
        </w:tc>
        <w:tc>
          <w:tcPr>
            <w:tcW w:type="dxa" w:w="5669"/>
            <w:shd w:val="clear" w:color="auto" w:fill="F2F2F2"/>
          </w:tcPr>
          <w:p>
            <w:pPr>
              <w:jc w:val="center"/>
            </w:pPr>
            <w:r>
              <w:rPr>
                <w:rFonts w:ascii="Times New Roman" w:hAnsi="Times New Roman"/>
                <w:b w:val="0"/>
                <w:i w:val="0"/>
                <w:sz w:val="20"/>
              </w:rPr>
              <w:t>Feedback sur la prolifération des MPP (progéniteurs souches)</w:t>
            </w:r>
          </w:p>
        </w:tc>
      </w:tr>
      <w:tr>
        <w:tc>
          <w:tcPr>
            <w:tcW w:type="dxa" w:w="1701"/>
            <w:shd w:val="clear" w:color="auto" w:fill="FFFFFF"/>
          </w:tcPr>
          <w:p>
            <w:pPr>
              <w:jc w:val="center"/>
            </w:pPr>
            <w:r>
              <w:rPr>
                <w:rFonts w:ascii="Times New Roman" w:hAnsi="Times New Roman"/>
                <w:b w:val="0"/>
                <w:i w:val="0"/>
                <w:sz w:val="20"/>
              </w:rPr>
              <w:t>γ_mat_CMP</w:t>
            </w:r>
          </w:p>
        </w:tc>
        <w:tc>
          <w:tcPr>
            <w:tcW w:type="dxa" w:w="1417"/>
            <w:shd w:val="clear" w:color="auto" w:fill="FFFFFF"/>
          </w:tcPr>
          <w:p>
            <w:pPr>
              <w:jc w:val="center"/>
            </w:pPr>
            <w:r>
              <w:rPr>
                <w:rFonts w:ascii="Times New Roman" w:hAnsi="Times New Roman"/>
                <w:b w:val="0"/>
                <w:i w:val="0"/>
                <w:sz w:val="20"/>
              </w:rPr>
              <w:t>0,60</w:t>
            </w:r>
          </w:p>
        </w:tc>
        <w:tc>
          <w:tcPr>
            <w:tcW w:type="dxa" w:w="5669"/>
            <w:shd w:val="clear" w:color="auto" w:fill="FFFFFF"/>
          </w:tcPr>
          <w:p>
            <w:pPr>
              <w:jc w:val="center"/>
            </w:pPr>
            <w:r>
              <w:rPr>
                <w:rFonts w:ascii="Times New Roman" w:hAnsi="Times New Roman"/>
                <w:b w:val="0"/>
                <w:i w:val="0"/>
                <w:sz w:val="20"/>
              </w:rPr>
              <w:t>Feedback sur la maturation CMP → neutrophiles / monocytes</w:t>
            </w:r>
          </w:p>
        </w:tc>
      </w:tr>
      <w:tr>
        <w:tc>
          <w:tcPr>
            <w:tcW w:type="dxa" w:w="1701"/>
            <w:shd w:val="clear" w:color="auto" w:fill="F2F2F2"/>
          </w:tcPr>
          <w:p>
            <w:pPr>
              <w:jc w:val="center"/>
            </w:pPr>
            <w:r>
              <w:rPr>
                <w:rFonts w:ascii="Times New Roman" w:hAnsi="Times New Roman"/>
                <w:b w:val="0"/>
                <w:i w:val="0"/>
                <w:sz w:val="20"/>
              </w:rPr>
              <w:t>γ_mat_MEP</w:t>
            </w:r>
          </w:p>
        </w:tc>
        <w:tc>
          <w:tcPr>
            <w:tcW w:type="dxa" w:w="1417"/>
            <w:shd w:val="clear" w:color="auto" w:fill="F2F2F2"/>
          </w:tcPr>
          <w:p>
            <w:pPr>
              <w:jc w:val="center"/>
            </w:pPr>
            <w:r>
              <w:rPr>
                <w:rFonts w:ascii="Times New Roman" w:hAnsi="Times New Roman"/>
                <w:b w:val="0"/>
                <w:i w:val="0"/>
                <w:sz w:val="20"/>
              </w:rPr>
              <w:t>0,30</w:t>
            </w:r>
          </w:p>
        </w:tc>
        <w:tc>
          <w:tcPr>
            <w:tcW w:type="dxa" w:w="5669"/>
            <w:shd w:val="clear" w:color="auto" w:fill="F2F2F2"/>
          </w:tcPr>
          <w:p>
            <w:pPr>
              <w:jc w:val="center"/>
            </w:pPr>
            <w:r>
              <w:rPr>
                <w:rFonts w:ascii="Times New Roman" w:hAnsi="Times New Roman"/>
                <w:b w:val="0"/>
                <w:i w:val="0"/>
                <w:sz w:val="20"/>
              </w:rPr>
              <w:t>Feedback sur la maturation MEP → réticulocytes / plaquettes</w:t>
            </w:r>
          </w:p>
        </w:tc>
      </w:tr>
      <w:tr>
        <w:tc>
          <w:tcPr>
            <w:tcW w:type="dxa" w:w="1701"/>
            <w:shd w:val="clear" w:color="auto" w:fill="FFFFFF"/>
          </w:tcPr>
          <w:p>
            <w:pPr>
              <w:jc w:val="center"/>
            </w:pPr>
            <w:r>
              <w:rPr>
                <w:rFonts w:ascii="Times New Roman" w:hAnsi="Times New Roman"/>
                <w:b w:val="0"/>
                <w:i w:val="0"/>
                <w:sz w:val="20"/>
              </w:rPr>
              <w:t>γ_prolTrans</w:t>
            </w:r>
          </w:p>
        </w:tc>
        <w:tc>
          <w:tcPr>
            <w:tcW w:type="dxa" w:w="1417"/>
            <w:shd w:val="clear" w:color="auto" w:fill="FFFFFF"/>
          </w:tcPr>
          <w:p>
            <w:pPr>
              <w:jc w:val="center"/>
            </w:pPr>
            <w:r>
              <w:rPr>
                <w:rFonts w:ascii="Times New Roman" w:hAnsi="Times New Roman"/>
                <w:b w:val="0"/>
                <w:i w:val="0"/>
                <w:sz w:val="20"/>
              </w:rPr>
              <w:t>0,70</w:t>
            </w:r>
          </w:p>
        </w:tc>
        <w:tc>
          <w:tcPr>
            <w:tcW w:type="dxa" w:w="5669"/>
            <w:shd w:val="clear" w:color="auto" w:fill="FFFFFF"/>
          </w:tcPr>
          <w:p>
            <w:pPr>
              <w:jc w:val="center"/>
            </w:pPr>
            <w:r>
              <w:rPr>
                <w:rFonts w:ascii="Times New Roman" w:hAnsi="Times New Roman"/>
                <w:b w:val="0"/>
                <w:i w:val="0"/>
                <w:sz w:val="20"/>
              </w:rPr>
              <w:t>Feedback sur les cellules en transit (réticulocytes, plaquettes)</w:t>
            </w:r>
          </w:p>
        </w:tc>
      </w:tr>
    </w:tbl>
    <w:p>
      <w:pPr>
        <w:spacing w:before="0" w:after="120"/>
        <w:ind w:firstLine="567"/>
        <w:jc w:val="both"/>
      </w:pPr>
      <w:r>
        <w:rPr>
          <w:rFonts w:ascii="Times New Roman" w:hAnsi="Times New Roman"/>
          <w:b w:val="0"/>
          <w:i w:val="0"/>
          <w:sz w:val="24"/>
        </w:rPr>
        <w:t>Des valeurs faibles de γ (ex. γ_stem = 0,07) traduisent une réponse compensatoire lente et atténuée au niveau des progéniteurs souches, tandis que des valeurs élevées (ex. γ_prolTrans = 0,70) reflètent une sensibilité plus forte des cellules en transit aux variations de leur lignée d'aval. Ce mécanisme représente la stimulation compensatoire de la moelle osseuse lors d'une cytopénie : lorsque le nombre de cellules circulantes chute, le feedback accélère la production médullaire pour restaurer l'homéostasie.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également propres à chaque molécule : un payload à mécanisme d'action différent (alkylant, inhibiteur de topoisomérase, inhibiteur de kinase) induira des Slopes distincts selon son affinité pour les progéniteurs hématopoïétiques. Ces paramètres sont calibrés sur les données hématologiques observées pour chaque composé.</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0" w:after="120"/>
        <w:ind w:firstLine="567"/>
        <w:jc w:val="both"/>
      </w:pPr>
      <w:r>
        <w:rPr>
          <w:rFonts w:ascii="Times New Roman" w:hAnsi="Times New Roman"/>
          <w:b w:val="0"/>
          <w:i w:val="0"/>
          <w:sz w:val="24"/>
        </w:rPr>
        <w:t>La concentration plasmatique suit une décroissance bi-exponentielle :</w:t>
      </w:r>
    </w:p>
    <w:p>
      <w:pPr>
        <w:spacing w:before="120" w:after="120"/>
        <w:jc w:val="center"/>
      </w:pPr>
      <w:r>
        <w:rPr>
          <w:rFonts w:ascii="Courier New" w:hAnsi="Courier New"/>
          <w:b w:val="0"/>
          <w:i/>
          <w:color w:val="3C3C78"/>
          <w:sz w:val="22"/>
        </w:rPr>
        <w:t>C(t) = A × e^{−αt} + B × e^{−βt}</w:t>
      </w:r>
    </w:p>
    <w:p>
      <w:pPr>
        <w:spacing w:before="0" w:after="120"/>
        <w:ind w:firstLine="567"/>
        <w:jc w:val="both"/>
      </w:pPr>
      <w:r>
        <w:rPr>
          <w:rFonts w:ascii="Times New Roman" w:hAnsi="Times New Roman"/>
          <w:b w:val="0"/>
          <w:i w:val="0"/>
          <w:sz w:val="24"/>
        </w:rPr>
        <w:t>où α et β sont les macro-constantes (α &gt; β), et A, B les amplitudes. La relation avec les paramètres systémiques est :</w:t>
      </w:r>
    </w:p>
    <w:p>
      <w:pPr>
        <w:spacing w:before="120" w:after="120"/>
        <w:jc w:val="center"/>
      </w:pPr>
      <w:r>
        <w:rPr>
          <w:rFonts w:ascii="Courier New" w:hAnsi="Courier New"/>
          <w:b w:val="0"/>
          <w:i/>
          <w:color w:val="3C3C78"/>
          <w:sz w:val="22"/>
        </w:rPr>
        <w:t>k₁₀ = CL / V1     k₁₂ = Q / V1     k₂₁ = Q / V2</w:t>
      </w:r>
    </w:p>
    <w:p>
      <w:pPr>
        <w:spacing w:before="120" w:after="120"/>
        <w:jc w:val="center"/>
      </w:pPr>
      <w:r>
        <w:rPr>
          <w:rFonts w:ascii="Courier New" w:hAnsi="Courier New"/>
          <w:b w:val="0"/>
          <w:i/>
          <w:color w:val="3C3C78"/>
          <w:sz w:val="22"/>
        </w:rPr>
        <w:t>α + β = k₁₀ + k₁₂ + k₂₁</w:t>
      </w:r>
    </w:p>
    <w:p>
      <w:pPr>
        <w:spacing w:before="120" w:after="120"/>
        <w:jc w:val="center"/>
      </w:pPr>
      <w:r>
        <w:rPr>
          <w:rFonts w:ascii="Courier New" w:hAnsi="Courier New"/>
          <w:b w:val="0"/>
          <w:i/>
          <w:color w:val="3C3C78"/>
          <w:sz w:val="22"/>
        </w:rPr>
        <w:t>α × β = k₁₀ × k₂₁</w:t>
      </w:r>
    </w:p>
    <w:p>
      <w:pPr>
        <w:spacing w:before="120" w:after="120"/>
        <w:jc w:val="center"/>
      </w:pPr>
      <w:r>
        <w:rPr>
          <w:rFonts w:ascii="Courier New" w:hAnsi="Courier New"/>
          <w:b w:val="0"/>
          <w:i/>
          <w:color w:val="3C3C78"/>
          <w:sz w:val="22"/>
        </w:rPr>
        <w:t>V1 = Dose / (A + B)     [car C₀ = A + B]</w:t>
      </w:r>
    </w:p>
    <w:p>
      <w:pPr>
        <w:spacing w:before="120" w:after="120"/>
        <w:jc w:val="center"/>
      </w:pPr>
      <w:r>
        <w:rPr>
          <w:rFonts w:ascii="Courier New" w:hAnsi="Courier New"/>
          <w:b w:val="0"/>
          <w:i/>
          <w:color w:val="3C3C78"/>
          <w:sz w:val="22"/>
        </w:rPr>
        <w:t>CL = Dose / AUCinf = k₁₀ × V1</w:t>
      </w:r>
    </w:p>
    <w:p>
      <w:pPr>
        <w:spacing w:before="160" w:after="80"/>
      </w:pPr>
      <w:r>
        <w:rPr>
          <w:rFonts w:ascii="Times New Roman" w:hAnsi="Times New Roman"/>
          <w:b/>
          <w:i w:val="0"/>
          <w:color w:val="4A698A"/>
          <w:sz w:val="24"/>
        </w:rPr>
        <w:t>2.4.2 Analyse non-compartimentale (NCA) — initialisation</w:t>
      </w:r>
    </w:p>
    <w:p>
      <w:pPr>
        <w:spacing w:before="0" w:after="120"/>
        <w:ind w:firstLine="567"/>
        <w:jc w:val="both"/>
      </w:pPr>
      <w:r>
        <w:rPr>
          <w:rFonts w:ascii="Times New Roman" w:hAnsi="Times New Roman"/>
          <w:b w:val="0"/>
          <w:i w:val="0"/>
          <w:sz w:val="24"/>
        </w:rPr>
        <w:t>Avant l'estimation compartimentale, une analyse non-compartimentale (NCA) a été réalisée sur chaque profil individuel afin de fournir des valeurs initiales robustes à l'algorithme d'optimisation. Les paramètres NCA calculés sont :</w:t>
      </w:r>
    </w:p>
    <w:p>
      <w:pPr>
        <w:spacing w:after="60"/>
        <w:ind w:left="283" w:hanging="227"/>
      </w:pPr>
      <w:r>
        <w:rPr>
          <w:rFonts w:ascii="Times New Roman" w:hAnsi="Times New Roman"/>
          <w:b w:val="0"/>
          <w:i w:val="0"/>
          <w:sz w:val="22"/>
        </w:rPr>
        <w:t>• AUCinf : intégrale de la courbe concentration-temps extrapolée à l'infini</w:t>
      </w:r>
    </w:p>
    <w:p>
      <w:pPr>
        <w:spacing w:after="60"/>
        <w:ind w:left="283" w:hanging="227"/>
      </w:pPr>
      <w:r>
        <w:rPr>
          <w:rFonts w:ascii="Times New Roman" w:hAnsi="Times New Roman"/>
          <w:b w:val="0"/>
          <w:i w:val="0"/>
          <w:sz w:val="22"/>
        </w:rPr>
        <w:t>• CL_NCA = Dose / AUCinf   [clairance]</w:t>
      </w:r>
    </w:p>
    <w:p>
      <w:pPr>
        <w:spacing w:after="60"/>
        <w:ind w:left="283" w:hanging="227"/>
      </w:pPr>
      <w:r>
        <w:rPr>
          <w:rFonts w:ascii="Times New Roman" w:hAnsi="Times New Roman"/>
          <w:b w:val="0"/>
          <w:i w:val="0"/>
          <w:sz w:val="22"/>
        </w:rPr>
        <w:t>• C₀ : concentration initiale estimée par extrapolation à t = 0</w:t>
      </w:r>
    </w:p>
    <w:p>
      <w:pPr>
        <w:spacing w:after="60"/>
        <w:ind w:left="283" w:hanging="227"/>
      </w:pPr>
      <w:r>
        <w:rPr>
          <w:rFonts w:ascii="Times New Roman" w:hAnsi="Times New Roman"/>
          <w:b w:val="0"/>
          <w:i w:val="0"/>
          <w:sz w:val="22"/>
        </w:rPr>
        <w:t>• V1_NCA = Dose / C₀   [volume central]</w:t>
      </w:r>
    </w:p>
    <w:p>
      <w:pPr>
        <w:spacing w:after="60"/>
        <w:ind w:left="283" w:hanging="227"/>
      </w:pPr>
      <w:r>
        <w:rPr>
          <w:rFonts w:ascii="Times New Roman" w:hAnsi="Times New Roman"/>
          <w:b w:val="0"/>
          <w:i w:val="0"/>
          <w:sz w:val="22"/>
        </w:rPr>
        <w:t>• Vz = CL_NCA / β   [volume de distribution terminal]</w:t>
      </w:r>
    </w:p>
    <w:p>
      <w:pPr>
        <w:spacing w:after="60"/>
        <w:ind w:left="283" w:hanging="227"/>
      </w:pPr>
      <w:r>
        <w:rPr>
          <w:rFonts w:ascii="Times New Roman" w:hAnsi="Times New Roman"/>
          <w:b w:val="0"/>
          <w:i w:val="0"/>
          <w:sz w:val="22"/>
        </w:rPr>
        <w:t>• t½β = ln(2) / β   [demi-vie terminale]</w:t>
      </w:r>
    </w:p>
    <w:p>
      <w:pPr>
        <w:spacing w:before="0" w:after="120"/>
        <w:ind w:firstLine="567"/>
        <w:jc w:val="both"/>
      </w:pPr>
      <w:r>
        <w:rPr>
          <w:rFonts w:ascii="Times New Roman" w:hAnsi="Times New Roman"/>
          <w:b w:val="0"/>
          <w:i w:val="0"/>
          <w:sz w:val="24"/>
        </w:rPr>
        <w:t>Ces estimations servent uniquement comme point de départ pour l'optimisation — les paramètres définitifs (CL, V1, Q, V2) sont ceux issus du modèle 2-compartiments ajusté par Nelder-Mead.</w:t>
      </w:r>
    </w:p>
    <w:p>
      <w:pPr>
        <w:spacing w:before="160" w:after="80"/>
      </w:pPr>
      <w:r>
        <w:rPr>
          <w:rFonts w:ascii="Times New Roman" w:hAnsi="Times New Roman"/>
          <w:b/>
          <w:i w:val="0"/>
          <w:color w:val="4A698A"/>
          <w:sz w:val="24"/>
        </w:rPr>
        <w:t>2.4.3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(valeur minimale atteinte par la lignée cellulaire au cours du traitement)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valeurs aberrantes),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(proportions prédites vs observées) a été produit pour évaluer visuellement l'adéquation des prédictions aux données cliniques. Sa description détaillée est présentée avec la figure correspondante en §3.2.2.</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 correspondant à un effet de taille moyenne selon la classification de Cohen (1988).</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Cette section s'applique exclusivement à l'étape de simulation de population humaine (§3.2.2, T-DXd). Pour l'étude préclinique NHP (§3.3), les résultats sont décrits en termes de nadirs absolus (×10⁹/L pour les neutrophiles et plaquettes, ×10¹²/L pour les RBC) sans attribution de grade CTCAE, classification propre aux essais cliniques et non applicable aux études animales.</w:t>
      </w:r>
    </w:p>
    <w:p>
      <w:pPr>
        <w:spacing w:before="0" w:after="120"/>
        <w:ind w:firstLine="567"/>
        <w:jc w:val="both"/>
      </w:pPr>
      <w:r>
        <w:rPr>
          <w:rFonts w:ascii="Times New Roman" w:hAnsi="Times New Roman"/>
          <w:b w:val="0"/>
          <w:i w:val="0"/>
          <w:sz w:val="24"/>
        </w:rPr>
        <w:t>L'évaluation de la toxicité hématologique prédicte en population humaine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p>
      <w:pPr>
        <w:spacing w:before="0" w:after="120"/>
        <w:ind w:firstLine="567"/>
        <w:jc w:val="both"/>
      </w:pPr>
      <w:r>
        <w:rPr>
          <w:rFonts w:ascii="Times New Roman" w:hAnsi="Times New Roman"/>
          <w:b w:val="0"/>
          <w:i w:val="0"/>
          <w:sz w:val="24"/>
        </w:rPr>
        <w:t>Ces données ne comportent pas de profils individuels de cytopénie en fonction du temps, mais uniquement des pourcentages de grades agrégés sur l'ensemble du traitement (grade maximal observé par patient, worst-case grading). La validation repose donc sur la comparaison des distributions de grades CTCAE v5 au nadir simulé — et non sur des profils temporels — ce qui constitue la seule métrique disponible dans les rapports réglementaires publics. Cette métrique est par ailleurs directement pertinente sur le plan clinique, car c'est le grade maximal atteint qui conditionne les décisions de gestion thérapeutique (réduction de dose, interruption, hospitalisation).</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γ_stem / γ_mat_CMP /</w:t>
              <w:br/>
              <w:t>γ_mat_MEP / γ_prolTrans</w:t>
            </w:r>
          </w:p>
        </w:tc>
        <w:tc>
          <w:tcPr>
            <w:tcW w:type="dxa" w:w="1701"/>
            <w:shd w:val="clear" w:color="auto" w:fill="FFFFFF"/>
          </w:tcPr>
          <w:p>
            <w:pPr>
              <w:jc w:val="center"/>
            </w:pPr>
            <w:r>
              <w:rPr>
                <w:rFonts w:ascii="Times New Roman" w:hAnsi="Times New Roman"/>
                <w:b w:val="0"/>
                <w:i w:val="0"/>
                <w:sz w:val="20"/>
              </w:rPr>
              <w:t>0,07 / 0,60 /</w:t>
              <w:br/>
              <w:t>0,30 / 0,70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(40 mg/kg IV, toutes les 2 semaines, 8 cycles).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à l'exception d'un point isolé sur la courbe RBC à t=0 (résidu ~700%), identifié comme un artefact de digitalisation de la figure originale (valeur 1003 × 10⁹/L incohérente avec la baseline physiologique du rat ~8000 × 10⁹/L et avec le second point à t=0 = 8506 × 10⁹/L). Ce point a été exclu des métriques de validation. En l'excluant, les résidus restent inférieurs à 15% sur l'ensemble des profils, validant la fidélité de l'implémentation.</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160" w:after="80"/>
      </w:pPr>
      <w:r>
        <w:rPr>
          <w:rFonts w:ascii="Times New Roman" w:hAnsi="Times New Roman"/>
          <w:b/>
          <w:i w:val="0"/>
          <w:color w:val="4A698A"/>
          <w:sz w:val="24"/>
        </w:rPr>
        <w:t>3.1.3 Transposition rat → humain pour le carboplatine : validation intermédiaire</w:t>
      </w:r>
    </w:p>
    <w:p>
      <w:pPr>
        <w:spacing w:before="0" w:after="120"/>
        <w:ind w:firstLine="567"/>
        <w:jc w:val="both"/>
      </w:pPr>
      <w:r>
        <w:rPr>
          <w:rFonts w:ascii="Times New Roman" w:hAnsi="Times New Roman"/>
          <w:b w:val="0"/>
          <w:i w:val="0"/>
          <w:sz w:val="24"/>
        </w:rPr>
        <w:t>Avant d'appliquer le pipeline à un nouveau composé, une étape intermédiaire de validation a été réalisée : la transposition du modèle carboplatine calibré sur données de rat vers la population humaine. Cette étape constitue un garde-fou méthodologique, visant à vérifier que la chaîne complète — extrapolation allométrique des paramètres PK, paramètres PD de rat appliqués à l'humain — reproduit les prédictions publiées par Fornari et al. (2019).</w:t>
      </w:r>
    </w:p>
    <w:p>
      <w:pPr>
        <w:spacing w:before="0" w:after="120"/>
        <w:ind w:firstLine="567"/>
        <w:jc w:val="both"/>
      </w:pPr>
      <w:r>
        <w:rPr>
          <w:rFonts w:ascii="Times New Roman" w:hAnsi="Times New Roman"/>
          <w:b w:val="0"/>
          <w:i w:val="0"/>
          <w:sz w:val="24"/>
        </w:rPr>
        <w:t>Le protocole simulé correspond au schéma de la Figure 4c de Fornari : carboplatine dosé selon la formule de Calvert (AUC cible = 5 mg·mL⁻¹·min, GFR = 125 mL/min, soit une dose de 750 mg), administré en 2 cycles Q21D. Une cohorte virtuelle de N=1000 patients a été générée avec variabilité résiduelle log-additive (σ issu du Tableau S4 de Fornari). Les paramètres biologiques humains de base (Tableau 1 de Fornari) ont remplacé ceux du rat.</w:t>
      </w:r>
    </w:p>
    <w:p>
      <w:pPr>
        <w:spacing w:before="0" w:after="120"/>
        <w:ind w:firstLine="567"/>
        <w:jc w:val="both"/>
      </w:pPr>
      <w:r>
        <w:rPr>
          <w:rFonts w:ascii="Times New Roman" w:hAnsi="Times New Roman"/>
          <w:b w:val="0"/>
          <w:i w:val="0"/>
          <w:sz w:val="24"/>
        </w:rPr>
        <w:t>Les profils de neutrophiles simulés reproduisent fidèlement la Figure 4c de Fornari, validant la transposabilité inter-espèces du cadre pour le carboplatine. En revanche, le profil thrombocytaire présente un accord moins satisfaisant : le nadir prédit est décalé temporellement par rapport aux données de référence, reflet d'une limitation connue du modèle de Fornari pour les plaquettes — dont la cinétique est plus complexe (régulation thrombopoïétine, durée de vie hétérogène des populations plaquettaires). Ce point constitue une limite de la transposition directe des paramètres δ_Plt du rat à l'humain sans recalibration.</w:t>
      </w:r>
    </w:p>
    <w:p>
      <w:pPr>
        <w:jc w:val="center"/>
      </w:pPr>
      <w:r>
        <w:rPr>
          <w:rFonts w:ascii="Times New Roman" w:hAnsi="Times New Roman"/>
          <w:b w:val="0"/>
          <w:i/>
          <w:color w:val="646464"/>
          <w:sz w:val="20"/>
        </w:rPr>
        <w:t>[Figure — Insérer ici : etape2_carboplatin_humain/results/Figure4c_grades_AUC5.pdf]</w:t>
      </w:r>
    </w:p>
    <w:p>
      <w:pPr>
        <w:jc w:val="center"/>
      </w:pPr>
      <w:r>
        <w:rPr>
          <w:rFonts w:ascii="Times New Roman" w:hAnsi="Times New Roman"/>
          <w:b w:val="0"/>
          <w:i/>
          <w:sz w:val="20"/>
        </w:rPr>
        <w:t>Figure 1b. Distribution simulée des grades CTCAE — Carboplatine AUC=5, Q21D×2, N=1000 patients virtuels. Reproduction de la Figure 4c de Fornari et al. (2019).</w:t>
      </w:r>
    </w:p>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Le Tableau 2 présente la distribution des grades CTCAE v5 issus des simulations pour les trois toxicités hématologiques modélisées. La neutropénie est la toxicité la plus fréquente : 29% des patients simulés atteignent au moins un grade 1, dont 16% un grade ≥3. L'anémie présente une incidence élevée tout grade (72%), principalement de faible sévérité (G1-2 : 63%), tandis que la thrombocytopénie reste modérée avec 40% tout grade et 3% de grade ≥3.</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comparaison avec les données cliniques de référence (BLA 761139, DESTINY-Breast01, n=184) montre une concordance remarquable pour les trois toxicités : neutropénie tout grade 29% (modèle) vs 29% (BLA), G3-4 16% vs 16% ; anémie tout grade 72% vs 70%, G3-4 9% vs 9% ; thrombocytopénie tout grade 40% vs 37%, G3-4 3% vs 3%. La figure ci-dessous présente ces distributions sous forme de barres empilées, avec les taux BLA superposés en lignes de référence.</w:t>
      </w:r>
    </w:p>
    <w:p>
      <w:pPr>
        <w:spacing w:before="0" w:after="120"/>
        <w:ind w:firstLine="567"/>
        <w:jc w:val="both"/>
      </w:pPr>
      <w:r>
        <w:rPr>
          <w:rFonts w:ascii="Times New Roman" w:hAnsi="Times New Roman"/>
          <w:b w:val="0"/>
          <w:i w:val="0"/>
          <w:sz w:val="24"/>
        </w:rPr>
        <w:t>Les IC95% (méthode Wilson, N=300) sont : neutropénie tout grade 29% [24%–34%], G3-4 14% [10%–19%] ; anémie tout grade 72% [67%–77%], G3-4 9% [6%–13%]. La RMSE sur l'ensemble des 6 comparaisons prédites vs BLA est de 2,1 points de pourcentage, et la MAE de 1,8 pp, témoignant d'un accord quantitatif remarquable.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simulée des grades CTCAE v5 (T-DXd 5,4 mg/kg Q3W × 6, N=300 patients virtuels). Les taux de grades issus des données cliniques FDA (DESTINY-Breast01, n=184) sont superposés à titre de référence.</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 (hystérèse)</w:t>
      </w:r>
    </w:p>
    <w:p>
      <w:pPr>
        <w:spacing w:before="0" w:after="120"/>
        <w:ind w:firstLine="567"/>
        <w:jc w:val="both"/>
      </w:pPr>
      <w:r>
        <w:rPr>
          <w:rFonts w:ascii="Times New Roman" w:hAnsi="Times New Roman"/>
          <w:b w:val="0"/>
          <w:i w:val="0"/>
          <w:sz w:val="24"/>
        </w:rPr>
        <w:t>On parle d'hystérèse PK/PD lorsque la relation entre la concentration plasmatique et l'effet pharmacologique n'est pas instantanée : pour une même concentration, l'effet observé diffère selon que l'on se trouve en phase d'absorption ou d'élimination, formant une boucle caractéristique sur le graphe effet-concentration. Dans le contexte de la toxicité hématologique, ce phénomène traduit le fait que le nadir des cellules matures survient plusieurs jours à semaines après le pic de concentration plasmatique, en raison du temps de maturation des progéniteurs médullaires.</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de l'hématopoïèse est conservée entre espèces (MPP→CMP/MEP→cellules matures), ce qui permet une transposition raisonnée des paramètres physiologiques (baselines, temps de transit, feedbacks) par allométrie. Pour les paramètres PD (Slopes), la transposition repose sur l'hypothèse que la sensibilité cellulaire au payload est conservée entre espèces pour un même mécanisme d'action — hypothèse qui peut être mise en défaut si l'expression de la cible diffère entre espèces, et qui gagnerait à être validée par des données d'IC50 sur progéniteurs humains (CFU).</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after="60"/>
        <w:ind w:left="283" w:hanging="227"/>
      </w:pPr>
      <w:r>
        <w:rPr>
          <w:rFonts w:ascii="Times New Roman" w:hAnsi="Times New Roman"/>
          <w:b w:val="0"/>
          <w:i w:val="0"/>
          <w:sz w:val="22"/>
        </w:rPr>
        <w:t>• Intégration des données in vitro : le modèle peut être affiné en intégrant des mesures d'IC50 sur lignées hématopoïétiques spécifiques (CFU-GM, BFU-E), ancrant mécanistiquement le paramètre Slope dans une donnée expérimentale directe et réduisant l'incertitude sur la transposition inter-espèces</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plusieurs contraintes la rendent inadaptée dans ce contexte. D'une part, les données de calibration précliniques sont très limitées (n=5 rats, n=8 NHP), ce qui exclut tout apprentissage supervisé robuste à ce stade. Si les données cliniques de l'essai DESTINY-Breast01 (n=184) offrent un volume plus conséquent, elles ne comportent que des grades agrégés — sans profils individuels de concentration ni de dynamique cellulaire — insuffisants pour entraîner un modèle prédictif temporel. D'autre part, et c'est la limite fondamentale, un modèle boîte noire entraîné sur des données d'un composé et d'une espèce donnés ne permettrait pas l'extrapolation inter-espèces ni la simulation de doses ou schémas non testés.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Identification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after="60"/>
        <w:ind w:left="283" w:hanging="227"/>
      </w:pPr>
      <w:r>
        <w:rPr>
          <w:rFonts w:ascii="Times New Roman" w:hAnsi="Times New Roman"/>
          <w:b w:val="0"/>
          <w:i w:val="0"/>
          <w:sz w:val="22"/>
        </w:rPr>
        <w:t>• Mécanisme d'hématotoxicité supposé off-target : le pipeline actuel modélise exclusivement l'hématotoxicité off-target, c'est-à-dire la toxicité induite par le payload cytotoxique libéré de façon non spécifique et atteignant les cellules progénitrices hématopoïétiques. Cependant, certains ADCs peuvent induire une hématotoxicité on-target, lorsque l'antigène ciblé par l'anticorps est exprimé à la surface des cellules hématopoïétiques elles-mêmes. Dans ce cas, l'ADC se lie directement aux progéniteurs médullaires et délivre son payload de façon ciblée, amplifiant la toxicité indépendamment de toute libération systémique. Ce mécanisme, documenté pour certaines cibles (ex. CD33, CD123, FLT3 exprimés sur les cellules myéloïdes), n'est pas pris en compte dans la structure actuelle du modèle et pourrait conduire à une sous-estimation de la toxicité pour les composés présentant un profil antigénique hématopoïétique.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de distributions 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after="60"/>
        <w:ind w:left="283" w:hanging="227"/>
      </w:pPr>
      <w:r>
        <w:rPr>
          <w:rFonts w:ascii="Times New Roman" w:hAnsi="Times New Roman"/>
          <w:b w:val="0"/>
          <w:i w:val="0"/>
          <w:sz w:val="22"/>
        </w:rPr>
        <w:t>• Déconvolution on-target / off-target : une extension du modèle pourrait permettre de dissocier la part de toxicité hématologique liée à l'expression de la cible sur les progéniteurs (on-target) de celle liée au payload indépendamment de la cible (off-target), orientant ainsi l'optimisation du conjugué.</w:t>
      </w:r>
    </w:p>
    <w:p>
      <w:pPr>
        <w:spacing w:before="240" w:after="80"/>
      </w:pPr>
      <w:r>
        <w:rPr>
          <w:rFonts w:ascii="Times New Roman" w:hAnsi="Times New Roman"/>
          <w:b/>
          <w:i w:val="0"/>
          <w:color w:val="34495E"/>
          <w:sz w:val="28"/>
        </w:rPr>
        <w:t>4.5 Traduction clinique : perspectives de transposition NHP → humain</w:t>
      </w:r>
    </w:p>
    <w:p>
      <w:pPr>
        <w:spacing w:before="160" w:after="80"/>
      </w:pPr>
      <w:r>
        <w:rPr>
          <w:rFonts w:ascii="Times New Roman" w:hAnsi="Times New Roman"/>
          <w:b/>
          <w:i w:val="0"/>
          <w:color w:val="4A698A"/>
          <w:sz w:val="24"/>
        </w:rPr>
        <w:t>Mise en perspective avec la dose tolérée chez l'animal</w:t>
      </w:r>
    </w:p>
    <w:p>
      <w:pPr>
        <w:spacing w:before="0" w:after="120"/>
        <w:ind w:firstLine="567"/>
        <w:jc w:val="both"/>
      </w:pPr>
      <w:r>
        <w:rPr>
          <w:rFonts w:ascii="Times New Roman" w:hAnsi="Times New Roman"/>
          <w:b w:val="0"/>
          <w:i w:val="0"/>
          <w:sz w:val="24"/>
        </w:rPr>
        <w:t>La dose tolérée identifiée dans l'étude NHP correspond à la dose la plus élevée à laquelle aucune cytopénie sévère (définie par un nadir hématologique franchissant les seuils biologiquement significatifs) n'a été observée. La simulation PK/PD permet de quantifier la marge de sécurité entre cette dose tolérée chez l'animal et les doses humaines envisagées, en intégrant les différences pharmacocinétiques inter-espèces de manière cohérente via l'extrapolation allométrique.</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L'extrapolation allométrique s'applique exclusivement aux paramètres PK — les paramètres PD (Slopes) étant supposés conservés entre espèces pour un même payload (cf. §4.5).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Pour les paramètres PD, l'hypothèse standard retenue est que la sensibilité cellulaire au payload — quantifiée par les Slopes — est conservée entre espèces pour un même mécanisme d'action. Les Slopes calibrés sur NHP sont donc utilisés directement comme point de départ pour l'humain, en l'absence de données d'IC50 sur progéniteurs humains (CFU). Cette hypothèse constitue une perspective de validation (mesure d'IC50 sur CFU-GM, BFU-E humains). Ces projections constituent une base de discussion pour la définition de la dose de départ en Premier-en-Homme (FIH), en cohérence avec la dose tolérée identifiée chez l'animal (NHP). Les grades CTCAE v5 sont une classification propre aux essais cliniques humains et ne s'appliquent pas directement aux études précliniques NHP.</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l'hystérèse PK/PD et le délai de transit hématologique caractéristiques de ce mécanisme d'action (cf. §3.3.3),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