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(MPP, CMP/MEP,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(MPP, CMP/MEP,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lieur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double : (1) assurer la sécurité des patients en essais cliniques de phase I en identifiant des doses sûres ; (2) optimiser les schémas posologiques pour maximiser l'efficacité tout en maintenant une toxicité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Les données cliniques disponibles (BLA 761139, DESTINY-Breast01) ne comportent pas de profils individuels de cytopénie en fonction du temps, mais uniquement des pourcentages de grades agrégés sur l'ensemble du traitement. La validation repose donc sur la comparaison des distributions de grades CTCAE v5 au nadir, extraites pour chaque patient simulé sur les 126 jours de suivi (6 cycles).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est remarquable : neutropénie tout grade 29% (modèle) vs 29% (FDA), G3-4 16% vs 16% ; anémie tout grade 72% vs 70%, G3-4 9% vs 9% ; thrombocytopénie tout grade 40% vs 37%, G3-4 3% vs 3%. Ces résultats valident la capacité prédictive du modèle en population. La figure ci-dessous présente ces distributions sous forme de barres empilées, avec les taux FDA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w:t>
      </w:r>
    </w:p>
    <w:p>
      <w:pPr>
        <w:spacing w:before="0" w:after="120"/>
        <w:ind w:firstLine="567"/>
        <w:jc w:val="both"/>
      </w:pPr>
      <w:r>
        <w:rPr>
          <w:rFonts w:ascii="Times New Roman" w:hAnsi="Times New Roman"/>
          <w:b w:val="0"/>
          <w:i w:val="0"/>
          <w:sz w:val="24"/>
        </w:rPr>
        <w:t>La RMSE sur l'ensemble des 6 comparaisons prédites vs FDA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La variabilité inter-animale (CV%) reste modérée pour tous les paramètres, indiquant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deux contraintes majeures la rendent inadaptée dans ce contexte : (1) le volume de données disponibles est très limité — n=5 rats, n=8 NHP — ce qui exclut tout apprentissage supervisé robuste ; (2) un modèle boîte noire ne permettrait pas l'extrapolation inter-espèces ni la simulation de doses non testées.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