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de Fornari (2019) : cascade de différenciation hématopoïétique de la moelle osseuse (MPP → CMP/MEP → cellules matures) vers le sang. Les triangles rouges indiquent les sites d'action du médicament ; les flèches courbes,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