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cytopénie hématologique — neutropénie, anémie et thrombocytopénie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quantifie la relation entre exposition et effet — thérapeutique ou toxique.</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développé spécifiquement pour les ADCs, en représente une version étendue intégrant explicitement les différentes lignées hématopoïétiques et leurs précurseurs.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2.1.1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2.1.2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2.2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2.2.1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2.2.2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2.3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2.3.1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2.3.2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2.4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2.5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2.6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2.7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Les paramètres Slope calibrés sur données rat ont ensuite fourni la base de référence pour l'estimation des Slopes humains, en tenant compte du ratio de puissance entre les espèces et de la différence de sensibilité des progéniteurs.</w:t>
      </w:r>
    </w:p>
    <w:p>
      <w:pPr>
        <w:spacing w:before="160" w:after="80"/>
      </w:pPr>
      <w:r>
        <w:rPr>
          <w:rFonts w:ascii="Times New Roman" w:hAnsi="Times New Roman"/>
          <w:b/>
          <w:i w:val="0"/>
          <w:color w:val="4A698A"/>
          <w:sz w:val="24"/>
        </w:rPr>
        <w:t>3.2.2 Simulation de population humaine (N=300)</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Pour chaque patient simulé, le nadir de chaque lignée cellulaire a été extrait sur les 126 jours de suivi (6 cycles), et classifié selon les critères CTCAE v5. Les résultats sont présentés ci-dessous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(BLA 761139, DESTINY-Breast01) est remarquable : neutropénie tout grade 29% (modèle) vs 29% (FDA), G3-4 16% vs 16% ; anémie tout grade 72% vs 70%, G3-4 9% vs 9% ; thrombocytopénie tout grade 40% vs 37%, G3-4 3% vs 3%. Ces résultats valident la capacité prédictive du modèle en population.</w:t>
      </w:r>
    </w:p>
    <w:p>
      <w:pPr>
        <w:spacing w:before="160" w:after="80"/>
      </w:pPr>
      <w:r>
        <w:rPr>
          <w:rFonts w:ascii="Times New Roman" w:hAnsi="Times New Roman"/>
          <w:b/>
          <w:i w:val="0"/>
          <w:color w:val="4A698A"/>
          <w:sz w:val="24"/>
        </w:rPr>
        <w:t>3.2.3 Visualisation comparative</w:t>
      </w:r>
    </w:p>
    <w:p>
      <w:pPr>
        <w:spacing w:before="0" w:after="120"/>
        <w:ind w:firstLine="567"/>
        <w:jc w:val="both"/>
      </w:pPr>
      <w:r>
        <w:rPr>
          <w:rFonts w:ascii="Times New Roman" w:hAnsi="Times New Roman"/>
          <w:b w:val="0"/>
          <w:i w:val="0"/>
          <w:sz w:val="24"/>
        </w:rPr>
        <w:t>La figure principale de cette étape (poster_grades_tdxd)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pharmacodynamique NHP</w:t>
      </w:r>
    </w:p>
    <w:p>
      <w:pPr>
        <w:spacing w:before="0" w:after="120"/>
        <w:ind w:firstLine="567"/>
        <w:jc w:val="both"/>
      </w:pPr>
      <w:r>
        <w:rPr>
          <w:rFonts w:ascii="Times New Roman" w:hAnsi="Times New Roman"/>
          <w:b w:val="0"/>
          <w:i w:val="0"/>
          <w:sz w:val="24"/>
        </w:rPr>
        <w:t>Les paramètres PD (Slope_MPP, Slope_CMP, Slope_MEP) ont été calibrés pour chaque animal en utilisant les concentrations prédites par le modèle PK individuel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pPr>
        <w:spacing w:before="240" w:after="80"/>
      </w:pPr>
      <w:r>
        <w:rPr>
          <w:rFonts w:ascii="Times New Roman" w:hAnsi="Times New Roman"/>
          <w:b/>
          <w:i w:val="0"/>
          <w:color w:val="34495E"/>
          <w:sz w:val="28"/>
        </w:rPr>
        <w:t>3.4 Étape 4 — Traduction clinique : perspectives</w:t>
      </w:r>
    </w:p>
    <w:p>
      <w:pPr>
        <w:spacing w:before="0" w:after="120"/>
        <w:ind w:firstLine="567"/>
        <w:jc w:val="both"/>
      </w:pPr>
      <w:r>
        <w:rPr>
          <w:rFonts w:ascii="Times New Roman" w:hAnsi="Times New Roman"/>
          <w:b w:val="0"/>
          <w:i w:val="0"/>
          <w:sz w:val="24"/>
        </w:rPr>
        <w:t>Sur la base des paramètres PK/PD estimés chez le NHP, une transposition clinique préliminaire a été explorée. La stratégie de transposition s'appuie sur deux approches complémentaires, validées par l'exemple du T-DXd.</w:t>
      </w:r>
    </w:p>
    <w:p>
      <w:pPr>
        <w:spacing w:before="160" w:after="80"/>
      </w:pPr>
      <w:r>
        <w:rPr>
          <w:rFonts w:ascii="Times New Roman" w:hAnsi="Times New Roman"/>
          <w:b/>
          <w:i w:val="0"/>
          <w:color w:val="4A698A"/>
          <w:sz w:val="24"/>
        </w:rPr>
        <w:t>3.4.1 Transposition PK NHP → humain</w:t>
      </w:r>
    </w:p>
    <w:p>
      <w:pPr>
        <w:spacing w:before="0" w:after="120"/>
        <w:ind w:firstLine="567"/>
        <w:jc w:val="both"/>
      </w:pPr>
      <w:r>
        <w:rPr>
          <w:rFonts w:ascii="Times New Roman" w:hAnsi="Times New Roman"/>
          <w:b w:val="0"/>
          <w:i w:val="0"/>
          <w:sz w:val="24"/>
        </w:rPr>
        <w:t>La transposition des paramètres PK repose sur des lois d'allométrie inter-espèces, calibrées sur les données T-DXd pour lesquelles les paramètres NHP et humains sont tous deux disponibles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Pour le T-DXd, la comparaison des prédictions allométriques aux paramètres réels de la population humaine FDA confirme que cette approche donne une estimation raisonnable en première approximation (facteur d'erreur &lt; 2 sur CL).</w:t>
      </w:r>
    </w:p>
    <w:p>
      <w:pPr>
        <w:spacing w:before="160" w:after="80"/>
      </w:pPr>
      <w:r>
        <w:rPr>
          <w:rFonts w:ascii="Times New Roman" w:hAnsi="Times New Roman"/>
          <w:b/>
          <w:i w:val="0"/>
          <w:color w:val="4A698A"/>
          <w:sz w:val="24"/>
        </w:rPr>
        <w:t>3.4.2 Transposition PD et simulation préliminaire</w:t>
      </w:r>
    </w:p>
    <w:p>
      <w:pPr>
        <w:spacing w:before="0" w:after="120"/>
        <w:ind w:firstLine="567"/>
        <w:jc w:val="both"/>
      </w:pPr>
      <w:r>
        <w:rPr>
          <w:rFonts w:ascii="Times New Roman" w:hAnsi="Times New Roman"/>
          <w:b w:val="0"/>
          <w:i w:val="0"/>
          <w:sz w:val="24"/>
        </w:rPr>
        <w:t>La transposition des paramètres PD (Slopes) est plus complexe, car la sensibilité des progéniteurs hématopoïétiques au payload peut varier entre espèces. Une approche conservatrice consiste à utiliser directement les Slopes NHP comme estimation initiale, en attendant des données spécifiques d'espèce (ex. IC50 CFU sur cellules humaines).</w:t>
      </w:r>
    </w:p>
    <w:p>
      <w:pPr>
        <w:spacing w:before="0" w:after="120"/>
        <w:ind w:firstLine="567"/>
        <w:jc w:val="both"/>
      </w:pPr>
      <w:r>
        <w:rPr>
          <w:rFonts w:ascii="Times New Roman" w:hAnsi="Times New Roman"/>
          <w:b w:val="0"/>
          <w:i w:val="0"/>
          <w:sz w:val="24"/>
        </w:rPr>
        <w:t>La simulation préliminaire de la réponse hématologique humaine avec les paramètres transposés indique un profil de toxicité attendu modéré, comparable à celui du T-DXd aux doses thérapeutiques envisagées. Ces projections constituent une base pour la définition de la dose de départ en Premier-en-Homme (FIH), en cohérence avec le NOAEL identifié en NHP.</w:t>
      </w:r>
    </w:p>
    <w:p>
      <w:pPr>
        <w:spacing w:before="160" w:after="80"/>
      </w:pPr>
      <w:r>
        <w:rPr>
          <w:rFonts w:ascii="Times New Roman" w:hAnsi="Times New Roman"/>
          <w:b/>
          <w:i w:val="0"/>
          <w:color w:val="4A698A"/>
          <w:sz w:val="24"/>
        </w:rPr>
        <w:t>3.4.3 Mise en perspective avec le NOAEL NHP</w:t>
      </w:r>
    </w:p>
    <w:p>
      <w:pPr>
        <w:spacing w:before="0" w:after="120"/>
        <w:ind w:firstLine="567"/>
        <w:jc w:val="both"/>
      </w:pPr>
      <w:r>
        <w:rPr>
          <w:rFonts w:ascii="Times New Roman" w:hAnsi="Times New Roman"/>
          <w:b w:val="0"/>
          <w:i w:val="0"/>
          <w:sz w:val="24"/>
        </w:rPr>
        <w:t>Le NOAEL (No Observed Adverse Effect Level)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before="240" w:after="80"/>
      </w:pPr>
      <w:r>
        <w:rPr>
          <w:rFonts w:ascii="Times New Roman" w:hAnsi="Times New Roman"/>
          <w:b/>
          <w:i w:val="0"/>
          <w:color w:val="34495E"/>
          <w:sz w:val="28"/>
        </w:rPr>
        <w:t>4.5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