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grade predictions consistent with clinical data from the regulatory submission to the FDA (BLA 761139, DESTINY-Breast01, n=184); (3) application to an internally developed compound using preclinical NHP data (n=8, 4 dose levels), including non-compartmental analysis, individual 2-compartment PK fitting, and PD calibration; (4) perspectives for clinical translation based on NHP parameters.</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NOAEL</w:t>
            </w:r>
          </w:p>
        </w:tc>
        <w:tc>
          <w:tcPr>
            <w:tcW w:type="dxa" w:w="6803"/>
            <w:shd w:val="clear" w:color="auto" w:fill="F2F2F2"/>
          </w:tcPr>
          <w:p>
            <w:pPr>
              <w:jc w:val="center"/>
            </w:pPr>
            <w:r>
              <w:rPr>
                <w:rFonts w:ascii="Times New Roman" w:hAnsi="Times New Roman"/>
                <w:b w:val="0"/>
                <w:i w:val="0"/>
                <w:sz w:val="20"/>
              </w:rPr>
              <w:t>No Observed Adverse Effect Level</w:t>
            </w:r>
          </w:p>
        </w:tc>
      </w:tr>
      <w:tr>
        <w:tc>
          <w:tcPr>
            <w:tcW w:type="dxa" w:w="1984"/>
            <w:shd w:val="clear" w:color="auto" w:fill="FFFFFF"/>
          </w:tcPr>
          <w:p>
            <w:pPr>
              <w:jc w:val="center"/>
            </w:pPr>
            <w:r>
              <w:rPr>
                <w:rFonts w:ascii="Times New Roman" w:hAnsi="Times New Roman"/>
                <w:b w:val="0"/>
                <w:i w:val="0"/>
                <w:sz w:val="20"/>
              </w:rPr>
              <w:t>ODE</w:t>
            </w:r>
          </w:p>
        </w:tc>
        <w:tc>
          <w:tcPr>
            <w:tcW w:type="dxa" w:w="6803"/>
            <w:shd w:val="clear" w:color="auto" w:fill="FFFFFF"/>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2F2F2"/>
          </w:tcPr>
          <w:p>
            <w:pPr>
              <w:jc w:val="center"/>
            </w:pPr>
            <w:r>
              <w:rPr>
                <w:rFonts w:ascii="Times New Roman" w:hAnsi="Times New Roman"/>
                <w:b w:val="0"/>
                <w:i w:val="0"/>
                <w:sz w:val="20"/>
              </w:rPr>
              <w:t>PD</w:t>
            </w:r>
          </w:p>
        </w:tc>
        <w:tc>
          <w:tcPr>
            <w:tcW w:type="dxa" w:w="6803"/>
            <w:shd w:val="clear" w:color="auto" w:fill="F2F2F2"/>
          </w:tcPr>
          <w:p>
            <w:pPr>
              <w:jc w:val="center"/>
            </w:pPr>
            <w:r>
              <w:rPr>
                <w:rFonts w:ascii="Times New Roman" w:hAnsi="Times New Roman"/>
                <w:b w:val="0"/>
                <w:i w:val="0"/>
                <w:sz w:val="20"/>
              </w:rPr>
              <w:t>Pharmacodynamique</w:t>
            </w:r>
          </w:p>
        </w:tc>
      </w:tr>
      <w:tr>
        <w:tc>
          <w:tcPr>
            <w:tcW w:type="dxa" w:w="1984"/>
            <w:shd w:val="clear" w:color="auto" w:fill="FFFFFF"/>
          </w:tcPr>
          <w:p>
            <w:pPr>
              <w:jc w:val="center"/>
            </w:pPr>
            <w:r>
              <w:rPr>
                <w:rFonts w:ascii="Times New Roman" w:hAnsi="Times New Roman"/>
                <w:b w:val="0"/>
                <w:i w:val="0"/>
                <w:sz w:val="20"/>
              </w:rPr>
              <w:t>PK</w:t>
            </w:r>
          </w:p>
        </w:tc>
        <w:tc>
          <w:tcPr>
            <w:tcW w:type="dxa" w:w="6803"/>
            <w:shd w:val="clear" w:color="auto" w:fill="FFFFFF"/>
          </w:tcPr>
          <w:p>
            <w:pPr>
              <w:jc w:val="center"/>
            </w:pPr>
            <w:r>
              <w:rPr>
                <w:rFonts w:ascii="Times New Roman" w:hAnsi="Times New Roman"/>
                <w:b w:val="0"/>
                <w:i w:val="0"/>
                <w:sz w:val="20"/>
              </w:rPr>
              <w:t>Pharmacocinétique</w:t>
            </w:r>
          </w:p>
        </w:tc>
      </w:tr>
      <w:tr>
        <w:tc>
          <w:tcPr>
            <w:tcW w:type="dxa" w:w="1984"/>
            <w:shd w:val="clear" w:color="auto" w:fill="F2F2F2"/>
          </w:tcPr>
          <w:p>
            <w:pPr>
              <w:jc w:val="center"/>
            </w:pPr>
            <w:r>
              <w:rPr>
                <w:rFonts w:ascii="Times New Roman" w:hAnsi="Times New Roman"/>
                <w:b w:val="0"/>
                <w:i w:val="0"/>
                <w:sz w:val="20"/>
              </w:rPr>
              <w:t>PKPD</w:t>
            </w:r>
          </w:p>
        </w:tc>
        <w:tc>
          <w:tcPr>
            <w:tcW w:type="dxa" w:w="6803"/>
            <w:shd w:val="clear" w:color="auto" w:fill="F2F2F2"/>
          </w:tcPr>
          <w:p>
            <w:pPr>
              <w:jc w:val="center"/>
            </w:pPr>
            <w:r>
              <w:rPr>
                <w:rFonts w:ascii="Times New Roman" w:hAnsi="Times New Roman"/>
                <w:b w:val="0"/>
                <w:i w:val="0"/>
                <w:sz w:val="20"/>
              </w:rPr>
              <w:t>Pharmacocinétique-Pharmacodynamique</w:t>
            </w:r>
          </w:p>
        </w:tc>
      </w:tr>
      <w:tr>
        <w:tc>
          <w:tcPr>
            <w:tcW w:type="dxa" w:w="1984"/>
            <w:shd w:val="clear" w:color="auto" w:fill="FFFFFF"/>
          </w:tcPr>
          <w:p>
            <w:pPr>
              <w:jc w:val="center"/>
            </w:pPr>
            <w:r>
              <w:rPr>
                <w:rFonts w:ascii="Times New Roman" w:hAnsi="Times New Roman"/>
                <w:b w:val="0"/>
                <w:i w:val="0"/>
                <w:sz w:val="20"/>
              </w:rPr>
              <w:t>Q3W</w:t>
            </w:r>
          </w:p>
        </w:tc>
        <w:tc>
          <w:tcPr>
            <w:tcW w:type="dxa" w:w="6803"/>
            <w:shd w:val="clear" w:color="auto" w:fill="FFFFFF"/>
          </w:tcPr>
          <w:p>
            <w:pPr>
              <w:jc w:val="center"/>
            </w:pPr>
            <w:r>
              <w:rPr>
                <w:rFonts w:ascii="Times New Roman" w:hAnsi="Times New Roman"/>
                <w:b w:val="0"/>
                <w:i w:val="0"/>
                <w:sz w:val="20"/>
              </w:rPr>
              <w:t>Every 3 weeks (toutes les 3 semaines)</w:t>
            </w:r>
          </w:p>
        </w:tc>
      </w:tr>
      <w:tr>
        <w:tc>
          <w:tcPr>
            <w:tcW w:type="dxa" w:w="1984"/>
            <w:shd w:val="clear" w:color="auto" w:fill="F2F2F2"/>
          </w:tcPr>
          <w:p>
            <w:pPr>
              <w:jc w:val="center"/>
            </w:pPr>
            <w:r>
              <w:rPr>
                <w:rFonts w:ascii="Times New Roman" w:hAnsi="Times New Roman"/>
                <w:b w:val="0"/>
                <w:i w:val="0"/>
                <w:sz w:val="20"/>
              </w:rPr>
              <w:t>RBC</w:t>
            </w:r>
          </w:p>
        </w:tc>
        <w:tc>
          <w:tcPr>
            <w:tcW w:type="dxa" w:w="6803"/>
            <w:shd w:val="clear" w:color="auto" w:fill="F2F2F2"/>
          </w:tcPr>
          <w:p>
            <w:pPr>
              <w:jc w:val="center"/>
            </w:pPr>
            <w:r>
              <w:rPr>
                <w:rFonts w:ascii="Times New Roman" w:hAnsi="Times New Roman"/>
                <w:b w:val="0"/>
                <w:i w:val="0"/>
                <w:sz w:val="20"/>
              </w:rPr>
              <w:t>Red Blood Cells (érythrocytes)</w:t>
            </w:r>
          </w:p>
        </w:tc>
      </w:tr>
      <w:tr>
        <w:tc>
          <w:tcPr>
            <w:tcW w:type="dxa" w:w="1984"/>
            <w:shd w:val="clear" w:color="auto" w:fill="FFFFFF"/>
          </w:tcPr>
          <w:p>
            <w:pPr>
              <w:jc w:val="center"/>
            </w:pPr>
            <w:r>
              <w:rPr>
                <w:rFonts w:ascii="Times New Roman" w:hAnsi="Times New Roman"/>
                <w:b w:val="0"/>
                <w:i w:val="0"/>
                <w:sz w:val="20"/>
              </w:rPr>
              <w:t>RMSE</w:t>
            </w:r>
          </w:p>
        </w:tc>
        <w:tc>
          <w:tcPr>
            <w:tcW w:type="dxa" w:w="6803"/>
            <w:shd w:val="clear" w:color="auto" w:fill="FFFFFF"/>
          </w:tcPr>
          <w:p>
            <w:pPr>
              <w:jc w:val="center"/>
            </w:pPr>
            <w:r>
              <w:rPr>
                <w:rFonts w:ascii="Times New Roman" w:hAnsi="Times New Roman"/>
                <w:b w:val="0"/>
                <w:i w:val="0"/>
                <w:sz w:val="20"/>
              </w:rPr>
              <w:t>Root Mean Square Error</w:t>
            </w:r>
          </w:p>
        </w:tc>
      </w:tr>
      <w:tr>
        <w:tc>
          <w:tcPr>
            <w:tcW w:type="dxa" w:w="1984"/>
            <w:shd w:val="clear" w:color="auto" w:fill="F2F2F2"/>
          </w:tcPr>
          <w:p>
            <w:pPr>
              <w:jc w:val="center"/>
            </w:pPr>
            <w:r>
              <w:rPr>
                <w:rFonts w:ascii="Times New Roman" w:hAnsi="Times New Roman"/>
                <w:b w:val="0"/>
                <w:i w:val="0"/>
                <w:sz w:val="20"/>
              </w:rPr>
              <w:t>T-DXd</w:t>
            </w:r>
          </w:p>
        </w:tc>
        <w:tc>
          <w:tcPr>
            <w:tcW w:type="dxa" w:w="6803"/>
            <w:shd w:val="clear" w:color="auto" w:fill="F2F2F2"/>
          </w:tcPr>
          <w:p>
            <w:pPr>
              <w:jc w:val="center"/>
            </w:pPr>
            <w:r>
              <w:rPr>
                <w:rFonts w:ascii="Times New Roman" w:hAnsi="Times New Roman"/>
                <w:b w:val="0"/>
                <w:i w:val="0"/>
                <w:sz w:val="20"/>
              </w:rPr>
              <w:t>Trastuzumab deruxtecan (Enhertu®)</w:t>
            </w:r>
          </w:p>
        </w:tc>
      </w:tr>
      <w:tr>
        <w:tc>
          <w:tcPr>
            <w:tcW w:type="dxa" w:w="1984"/>
            <w:shd w:val="clear" w:color="auto" w:fill="FFFFFF"/>
          </w:tcPr>
          <w:p>
            <w:pPr>
              <w:jc w:val="center"/>
            </w:pPr>
            <w:r>
              <w:rPr>
                <w:rFonts w:ascii="Times New Roman" w:hAnsi="Times New Roman"/>
                <w:b w:val="0"/>
                <w:i w:val="0"/>
                <w:sz w:val="20"/>
              </w:rPr>
              <w:t>V1/V2</w:t>
            </w:r>
          </w:p>
        </w:tc>
        <w:tc>
          <w:tcPr>
            <w:tcW w:type="dxa" w:w="6803"/>
            <w:shd w:val="clear" w:color="auto" w:fill="FFFFFF"/>
          </w:tcPr>
          <w:p>
            <w:pPr>
              <w:jc w:val="center"/>
            </w:pPr>
            <w:r>
              <w:rPr>
                <w:rFonts w:ascii="Times New Roman" w:hAnsi="Times New Roman"/>
                <w:b w:val="0"/>
                <w:i w:val="0"/>
                <w:sz w:val="20"/>
              </w:rPr>
              <w:t>Volume de distribution central/périphérique</w:t>
            </w:r>
          </w:p>
        </w:tc>
      </w:tr>
      <w:tr>
        <w:tc>
          <w:tcPr>
            <w:tcW w:type="dxa" w:w="1984"/>
            <w:shd w:val="clear" w:color="auto" w:fill="F2F2F2"/>
          </w:tcPr>
          <w:p>
            <w:pPr>
              <w:jc w:val="center"/>
            </w:pPr>
            <w:r>
              <w:rPr>
                <w:rFonts w:ascii="Times New Roman" w:hAnsi="Times New Roman"/>
                <w:b w:val="0"/>
                <w:i w:val="0"/>
                <w:sz w:val="20"/>
              </w:rPr>
              <w:t>VPC</w:t>
            </w:r>
          </w:p>
        </w:tc>
        <w:tc>
          <w:tcPr>
            <w:tcW w:type="dxa" w:w="6803"/>
            <w:shd w:val="clear" w:color="auto" w:fill="F2F2F2"/>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sensibles au payload cytotoxique libéré de façon non entièrement spécifique.</w:t>
      </w:r>
    </w:p>
    <w:p>
      <w:pPr>
        <w:spacing w:before="0" w:after="120"/>
        <w:ind w:firstLine="567"/>
        <w:jc w:val="both"/>
      </w:pPr>
      <w:r>
        <w:rPr>
          <w:rFonts w:ascii="Times New Roman" w:hAnsi="Times New Roman"/>
          <w:b w:val="0"/>
          <w:i w:val="0"/>
          <w:sz w:val="24"/>
        </w:rPr>
        <w:t>Dans l'essai DESTINY-Breast01, la neutropénie de grade ≥3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sur les données de rat traitées au carboplatine, afin d'établir un cadre méthodologique de référence.</w:t>
      </w:r>
    </w:p>
    <w:p>
      <w:pPr>
        <w:spacing w:after="60"/>
        <w:ind w:left="283" w:hanging="227"/>
      </w:pPr>
      <w:r>
        <w:rPr>
          <w:rFonts w:ascii="Times New Roman" w:hAnsi="Times New Roman"/>
          <w:b w:val="0"/>
          <w:i w:val="0"/>
          <w:sz w:val="22"/>
        </w:rPr>
        <w:t>• Appliquer et adapter ce cadre au T-DXd, en développant une simulation de population virtuelle humaine (N=300) et en validant les prédictions de grades CTCAE v5 contre les données cliniques FDA.</w:t>
      </w:r>
    </w:p>
    <w:p>
      <w:pPr>
        <w:spacing w:after="60"/>
        <w:ind w:left="283" w:hanging="227"/>
      </w:pPr>
      <w:r>
        <w:rPr>
          <w:rFonts w:ascii="Times New Roman" w:hAnsi="Times New Roman"/>
          <w:b w:val="0"/>
          <w:i w:val="0"/>
          <w:sz w:val="22"/>
        </w:rPr>
        <w:t>• Étendre le pipeline à un composé en développement interne, en s'appuyant sur des données précliniques NHP (8 primates non-humains, 4 niveaux de dose) pour la caractérisation PK/PD.</w:t>
      </w:r>
    </w:p>
    <w:p>
      <w:pPr>
        <w:spacing w:after="60"/>
        <w:ind w:left="283" w:hanging="227"/>
      </w:pPr>
      <w:r>
        <w:rPr>
          <w:rFonts w:ascii="Times New Roman" w:hAnsi="Times New Roman"/>
          <w:b w:val="0"/>
          <w:i w:val="0"/>
          <w:sz w:val="22"/>
        </w:rPr>
        <w:t>• Établir les bases méthodologiques d'une traduction clinique, en exploitant les connaissances accumulées sur le T-DXd pour guider l'interprétation des données NHP internes.</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spacing w:before="160" w:after="80"/>
      </w:pPr>
      <w:r>
        <w:rPr>
          <w:rFonts w:ascii="Times New Roman" w:hAnsi="Times New Roman"/>
          <w:b/>
          <w:i w:val="0"/>
          <w:color w:val="4A698A"/>
          <w:sz w:val="24"/>
        </w:rPr>
        <w:t>2.2.2 Équations différentielles</w:t>
      </w:r>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L'évaluation de la toxicité hématologique prédicte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et tous les points temporels, validant la fidélité de l'implémentation par rapport à la publication originale.</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homologue entre espèces permet une transposition raisonnée des paramètres, ce qu'un modèle statistique purement empirique ne permet pas</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Identifiabilité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before="240" w:after="80"/>
      </w:pPr>
      <w:r>
        <w:rPr>
          <w:rFonts w:ascii="Times New Roman" w:hAnsi="Times New Roman"/>
          <w:b/>
          <w:i w:val="0"/>
          <w:color w:val="34495E"/>
          <w:sz w:val="28"/>
        </w:rPr>
        <w:t>4.5 Traduction clinique : perspectives de transposition NHP → humain</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La transposition des paramètres PD (Slopes) est plus délicate, car la sensibilité des progéniteurs hématopoïétiques au payload peut varier entre espèces. Une approche conservatrice consiste à utiliser directement les Slopes NHP comme estimation initiale, en attendant des données d'IC50 sur progéniteurs humains (CFU). Ces projections constituent une base de discussion pour la définition de la dose de départ en Premier-en-Homme (FIH), en cohérence avec le NOAEL identifié en NHP. Dans l'étude préclinique NHP, le NOAEL est défini selon les critères toxicologiques standards — absence d'effet indésirable significatif sur les valeurs hématologiques absolues (nadir des neutrophiles, plaquettes, érythrocytes) par rapport à la baseline individuelle, et absence de signe clinique de détresse.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le décalage cinétique PK/PD caractéristique de ce mécanisme d'action,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