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ODE</w:t>
            </w:r>
          </w:p>
        </w:tc>
        <w:tc>
          <w:tcPr>
            <w:tcW w:type="dxa" w:w="6803"/>
            <w:shd w:val="clear" w:color="auto" w:fill="F2F2F2"/>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FFFFF"/>
          </w:tcPr>
          <w:p>
            <w:pPr>
              <w:jc w:val="center"/>
            </w:pPr>
            <w:r>
              <w:rPr>
                <w:rFonts w:ascii="Times New Roman" w:hAnsi="Times New Roman"/>
                <w:b w:val="0"/>
                <w:i w:val="0"/>
                <w:sz w:val="20"/>
              </w:rPr>
              <w:t>PD</w:t>
            </w:r>
          </w:p>
        </w:tc>
        <w:tc>
          <w:tcPr>
            <w:tcW w:type="dxa" w:w="6803"/>
            <w:shd w:val="clear" w:color="auto" w:fill="FFFFFF"/>
          </w:tcPr>
          <w:p>
            <w:pPr>
              <w:jc w:val="center"/>
            </w:pPr>
            <w:r>
              <w:rPr>
                <w:rFonts w:ascii="Times New Roman" w:hAnsi="Times New Roman"/>
                <w:b w:val="0"/>
                <w:i w:val="0"/>
                <w:sz w:val="20"/>
              </w:rPr>
              <w:t>Pharmacodynamique</w:t>
            </w:r>
          </w:p>
        </w:tc>
      </w:tr>
      <w:tr>
        <w:tc>
          <w:tcPr>
            <w:tcW w:type="dxa" w:w="1984"/>
            <w:shd w:val="clear" w:color="auto" w:fill="F2F2F2"/>
          </w:tcPr>
          <w:p>
            <w:pPr>
              <w:jc w:val="center"/>
            </w:pPr>
            <w:r>
              <w:rPr>
                <w:rFonts w:ascii="Times New Roman" w:hAnsi="Times New Roman"/>
                <w:b w:val="0"/>
                <w:i w:val="0"/>
                <w:sz w:val="20"/>
              </w:rPr>
              <w:t>PK</w:t>
            </w:r>
          </w:p>
        </w:tc>
        <w:tc>
          <w:tcPr>
            <w:tcW w:type="dxa" w:w="6803"/>
            <w:shd w:val="clear" w:color="auto" w:fill="F2F2F2"/>
          </w:tcPr>
          <w:p>
            <w:pPr>
              <w:jc w:val="center"/>
            </w:pPr>
            <w:r>
              <w:rPr>
                <w:rFonts w:ascii="Times New Roman" w:hAnsi="Times New Roman"/>
                <w:b w:val="0"/>
                <w:i w:val="0"/>
                <w:sz w:val="20"/>
              </w:rPr>
              <w:t>Pharmacocinétique</w:t>
            </w:r>
          </w:p>
        </w:tc>
      </w:tr>
      <w:tr>
        <w:tc>
          <w:tcPr>
            <w:tcW w:type="dxa" w:w="1984"/>
            <w:shd w:val="clear" w:color="auto" w:fill="FFFFFF"/>
          </w:tcPr>
          <w:p>
            <w:pPr>
              <w:jc w:val="center"/>
            </w:pPr>
            <w:r>
              <w:rPr>
                <w:rFonts w:ascii="Times New Roman" w:hAnsi="Times New Roman"/>
                <w:b w:val="0"/>
                <w:i w:val="0"/>
                <w:sz w:val="20"/>
              </w:rPr>
              <w:t>PKPD</w:t>
            </w:r>
          </w:p>
        </w:tc>
        <w:tc>
          <w:tcPr>
            <w:tcW w:type="dxa" w:w="6803"/>
            <w:shd w:val="clear" w:color="auto" w:fill="FFFFFF"/>
          </w:tcPr>
          <w:p>
            <w:pPr>
              <w:jc w:val="center"/>
            </w:pPr>
            <w:r>
              <w:rPr>
                <w:rFonts w:ascii="Times New Roman" w:hAnsi="Times New Roman"/>
                <w:b w:val="0"/>
                <w:i w:val="0"/>
                <w:sz w:val="20"/>
              </w:rPr>
              <w:t>Pharmacocinétique-Pharmacodynamique</w:t>
            </w:r>
          </w:p>
        </w:tc>
      </w:tr>
      <w:tr>
        <w:tc>
          <w:tcPr>
            <w:tcW w:type="dxa" w:w="1984"/>
            <w:shd w:val="clear" w:color="auto" w:fill="F2F2F2"/>
          </w:tcPr>
          <w:p>
            <w:pPr>
              <w:jc w:val="center"/>
            </w:pPr>
            <w:r>
              <w:rPr>
                <w:rFonts w:ascii="Times New Roman" w:hAnsi="Times New Roman"/>
                <w:b w:val="0"/>
                <w:i w:val="0"/>
                <w:sz w:val="20"/>
              </w:rPr>
              <w:t>Q3W</w:t>
            </w:r>
          </w:p>
        </w:tc>
        <w:tc>
          <w:tcPr>
            <w:tcW w:type="dxa" w:w="6803"/>
            <w:shd w:val="clear" w:color="auto" w:fill="F2F2F2"/>
          </w:tcPr>
          <w:p>
            <w:pPr>
              <w:jc w:val="center"/>
            </w:pPr>
            <w:r>
              <w:rPr>
                <w:rFonts w:ascii="Times New Roman" w:hAnsi="Times New Roman"/>
                <w:b w:val="0"/>
                <w:i w:val="0"/>
                <w:sz w:val="20"/>
              </w:rPr>
              <w:t>Every 3 weeks (toutes les 3 semaines)</w:t>
            </w:r>
          </w:p>
        </w:tc>
      </w:tr>
      <w:tr>
        <w:tc>
          <w:tcPr>
            <w:tcW w:type="dxa" w:w="1984"/>
            <w:shd w:val="clear" w:color="auto" w:fill="FFFFFF"/>
          </w:tcPr>
          <w:p>
            <w:pPr>
              <w:jc w:val="center"/>
            </w:pPr>
            <w:r>
              <w:rPr>
                <w:rFonts w:ascii="Times New Roman" w:hAnsi="Times New Roman"/>
                <w:b w:val="0"/>
                <w:i w:val="0"/>
                <w:sz w:val="20"/>
              </w:rPr>
              <w:t>RBC</w:t>
            </w:r>
          </w:p>
        </w:tc>
        <w:tc>
          <w:tcPr>
            <w:tcW w:type="dxa" w:w="6803"/>
            <w:shd w:val="clear" w:color="auto" w:fill="FFFFFF"/>
          </w:tcPr>
          <w:p>
            <w:pPr>
              <w:jc w:val="center"/>
            </w:pPr>
            <w:r>
              <w:rPr>
                <w:rFonts w:ascii="Times New Roman" w:hAnsi="Times New Roman"/>
                <w:b w:val="0"/>
                <w:i w:val="0"/>
                <w:sz w:val="20"/>
              </w:rPr>
              <w:t>Red Blood Cells (érythrocytes)</w:t>
            </w:r>
          </w:p>
        </w:tc>
      </w:tr>
      <w:tr>
        <w:tc>
          <w:tcPr>
            <w:tcW w:type="dxa" w:w="1984"/>
            <w:shd w:val="clear" w:color="auto" w:fill="F2F2F2"/>
          </w:tcPr>
          <w:p>
            <w:pPr>
              <w:jc w:val="center"/>
            </w:pPr>
            <w:r>
              <w:rPr>
                <w:rFonts w:ascii="Times New Roman" w:hAnsi="Times New Roman"/>
                <w:b w:val="0"/>
                <w:i w:val="0"/>
                <w:sz w:val="20"/>
              </w:rPr>
              <w:t>RMSE</w:t>
            </w:r>
          </w:p>
        </w:tc>
        <w:tc>
          <w:tcPr>
            <w:tcW w:type="dxa" w:w="6803"/>
            <w:shd w:val="clear" w:color="auto" w:fill="F2F2F2"/>
          </w:tcPr>
          <w:p>
            <w:pPr>
              <w:jc w:val="center"/>
            </w:pPr>
            <w:r>
              <w:rPr>
                <w:rFonts w:ascii="Times New Roman" w:hAnsi="Times New Roman"/>
                <w:b w:val="0"/>
                <w:i w:val="0"/>
                <w:sz w:val="20"/>
              </w:rPr>
              <w:t>Root Mean Square Error</w:t>
            </w:r>
          </w:p>
        </w:tc>
      </w:tr>
      <w:tr>
        <w:tc>
          <w:tcPr>
            <w:tcW w:type="dxa" w:w="1984"/>
            <w:shd w:val="clear" w:color="auto" w:fill="FFFFFF"/>
          </w:tcPr>
          <w:p>
            <w:pPr>
              <w:jc w:val="center"/>
            </w:pPr>
            <w:r>
              <w:rPr>
                <w:rFonts w:ascii="Times New Roman" w:hAnsi="Times New Roman"/>
                <w:b w:val="0"/>
                <w:i w:val="0"/>
                <w:sz w:val="20"/>
              </w:rPr>
              <w:t>T-DXd</w:t>
            </w:r>
          </w:p>
        </w:tc>
        <w:tc>
          <w:tcPr>
            <w:tcW w:type="dxa" w:w="6803"/>
            <w:shd w:val="clear" w:color="auto" w:fill="FFFFFF"/>
          </w:tcPr>
          <w:p>
            <w:pPr>
              <w:jc w:val="center"/>
            </w:pPr>
            <w:r>
              <w:rPr>
                <w:rFonts w:ascii="Times New Roman" w:hAnsi="Times New Roman"/>
                <w:b w:val="0"/>
                <w:i w:val="0"/>
                <w:sz w:val="20"/>
              </w:rPr>
              <w:t>Trastuzumab deruxtecan (Enhertu®)</w:t>
            </w:r>
          </w:p>
        </w:tc>
      </w:tr>
      <w:tr>
        <w:tc>
          <w:tcPr>
            <w:tcW w:type="dxa" w:w="1984"/>
            <w:shd w:val="clear" w:color="auto" w:fill="F2F2F2"/>
          </w:tcPr>
          <w:p>
            <w:pPr>
              <w:jc w:val="center"/>
            </w:pPr>
            <w:r>
              <w:rPr>
                <w:rFonts w:ascii="Times New Roman" w:hAnsi="Times New Roman"/>
                <w:b w:val="0"/>
                <w:i w:val="0"/>
                <w:sz w:val="20"/>
              </w:rPr>
              <w:t>V1/V2</w:t>
            </w:r>
          </w:p>
        </w:tc>
        <w:tc>
          <w:tcPr>
            <w:tcW w:type="dxa" w:w="6803"/>
            <w:shd w:val="clear" w:color="auto" w:fill="F2F2F2"/>
          </w:tcPr>
          <w:p>
            <w:pPr>
              <w:jc w:val="center"/>
            </w:pPr>
            <w:r>
              <w:rPr>
                <w:rFonts w:ascii="Times New Roman" w:hAnsi="Times New Roman"/>
                <w:b w:val="0"/>
                <w:i w:val="0"/>
                <w:sz w:val="20"/>
              </w:rPr>
              <w:t>Volume de distribution central/périphérique</w:t>
            </w:r>
          </w:p>
        </w:tc>
      </w:tr>
      <w:tr>
        <w:tc>
          <w:tcPr>
            <w:tcW w:type="dxa" w:w="1984"/>
            <w:shd w:val="clear" w:color="auto" w:fill="FFFFFF"/>
          </w:tcPr>
          <w:p>
            <w:pPr>
              <w:jc w:val="center"/>
            </w:pPr>
            <w:r>
              <w:rPr>
                <w:rFonts w:ascii="Times New Roman" w:hAnsi="Times New Roman"/>
                <w:b w:val="0"/>
                <w:i w:val="0"/>
                <w:sz w:val="20"/>
              </w:rPr>
              <w:t>VPC</w:t>
            </w:r>
          </w:p>
        </w:tc>
        <w:tc>
          <w:tcPr>
            <w:tcW w:type="dxa" w:w="6803"/>
            <w:shd w:val="clear" w:color="auto" w:fill="FFFFFF"/>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AUCinf : intégrale de la courbe concentration-temps extrapolée à l'infini</w:t>
      </w:r>
    </w:p>
    <w:p>
      <w:pPr>
        <w:spacing w:after="60"/>
        <w:ind w:left="283" w:hanging="227"/>
      </w:pPr>
      <w:r>
        <w:rPr>
          <w:rFonts w:ascii="Times New Roman" w:hAnsi="Times New Roman"/>
          <w:b w:val="0"/>
          <w:i w:val="0"/>
          <w:sz w:val="22"/>
        </w:rPr>
        <w:t>• CL_NCA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CL_NCA / β   [volume de distribution terminal]</w:t>
      </w:r>
    </w:p>
    <w:p>
      <w:pPr>
        <w:spacing w:after="60"/>
        <w:ind w:left="283" w:hanging="227"/>
      </w:pPr>
      <w:r>
        <w:rPr>
          <w:rFonts w:ascii="Times New Roman" w:hAnsi="Times New Roman"/>
          <w:b w:val="0"/>
          <w:i w:val="0"/>
          <w:sz w:val="22"/>
        </w:rPr>
        <w:t>• t½β = ln(2) / β   [demi-vie terminale]</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 correspondant à un effet de taille moyenne selon la classification de Cohen (1988).</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Cette section s'applique exclusivement à l'étape de simulation de population humaine (§3.2.2, T-DXd). Pour l'étude préclinique NHP (§3.3), les résultats sont décrits en termes de nadirs absolus (×10⁹/L pour les neutrophiles et plaquettes, ×10¹²/L pour les RBC) sans attribution de grade CTCAE, classification propre aux essais cliniques et non applicable aux études animales.</w:t>
      </w:r>
    </w:p>
    <w:p>
      <w:pPr>
        <w:spacing w:before="0" w:after="120"/>
        <w:ind w:firstLine="567"/>
        <w:jc w:val="both"/>
      </w:pPr>
      <w:r>
        <w:rPr>
          <w:rFonts w:ascii="Times New Roman" w:hAnsi="Times New Roman"/>
          <w:b w:val="0"/>
          <w:i w:val="0"/>
          <w:sz w:val="24"/>
        </w:rPr>
        <w:t>L'évaluation de la toxicité hématologique prédicte en population humaine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(40 mg/kg IV, toutes les 2 semaines, 8 cycles).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à l'exception d'un point isolé sur la courbe RBC à t=0 (résidu ~700%), identifié comme un artefact de digitalisation de la figure originale (valeur 1003 × 10⁹/L incohérente avec la baseline physiologique du rat ~8000 × 10⁹/L et avec le second point à t=0 = 8506 × 10⁹/L). Ce point a été exclu des métriques de validation. En l'excluant, les résidus restent inférieurs à 15% sur l'ensemble des profils, validant la fidélité de l'implémentation.</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 (hystérèse)</w:t>
      </w:r>
    </w:p>
    <w:p>
      <w:pPr>
        <w:spacing w:before="0" w:after="120"/>
        <w:ind w:firstLine="567"/>
        <w:jc w:val="both"/>
      </w:pPr>
      <w:r>
        <w:rPr>
          <w:rFonts w:ascii="Times New Roman" w:hAnsi="Times New Roman"/>
          <w:b w:val="0"/>
          <w:i w:val="0"/>
          <w:sz w:val="24"/>
        </w:rPr>
        <w:t>On parle d'hystérèse PK/PD lorsque la relation entre la concentration plasmatique et l'effet pharmacologique n'est pas instantanée : pour une même concentration, l'effet observé diffère selon que l'on se trouve en phase d'absorption ou d'élimination, formant une boucle caractéristique sur le graphe effet-concentration. Dans le contexte de la toxicité hématologique, ce phénomène traduit le fait que le nadir des cellules matures survient plusieurs jours à semaines après le pic de concentration plasmatique, en raison du temps de maturation des progéniteurs médullaires.</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de l'hématopoïèse est conservée entre espèces (MPP→CMP/MEP→cellules matures), ce qui permet une transposition raisonnée des paramètres physiologiques (baselines, temps de transit, feedbacks) par allométrie. Pour les paramètres PD (Slopes), la transposition repose sur l'hypothèse que la sensibilité cellulaire au payload est conservée entre espèces pour un même mécanisme d'action — hypothèse qui peut être mise en défaut si l'expression de la cible diffère entre espèces, et qui gagnerait à être validée par des données d'IC50 sur progéniteurs humains (CFU).</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after="60"/>
        <w:ind w:left="283" w:hanging="227"/>
      </w:pPr>
      <w:r>
        <w:rPr>
          <w:rFonts w:ascii="Times New Roman" w:hAnsi="Times New Roman"/>
          <w:b w:val="0"/>
          <w:i w:val="0"/>
          <w:sz w:val="22"/>
        </w:rPr>
        <w:t>• Intégration des données in vitro : le modèle peut être affiné en intégrant des mesures d'IC50 sur lignées hématopoïétiques spécifiques (CFU-GM, BFU-E), ancrant mécanistiquement le paramètre Slope dans une donnée expérimentale directe et réduisant l'incertitude sur la transposition inter-espèces</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Identification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de distributions 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after="60"/>
        <w:ind w:left="283" w:hanging="227"/>
      </w:pPr>
      <w:r>
        <w:rPr>
          <w:rFonts w:ascii="Times New Roman" w:hAnsi="Times New Roman"/>
          <w:b w:val="0"/>
          <w:i w:val="0"/>
          <w:sz w:val="22"/>
        </w:rPr>
        <w:t>• Déconvolution on-target / off-target : une extension du modèle pourrait permettre de dissocier la contribution hématotoxique liée à l'expression de la cible sur les progéniteurs hématopoïétiques (toxicité on-target, médiée par le mécanisme pharmacologique) de celle liée au payload lui-même (toxicité off-target, indépendante de la cible). Cette distinction est essentielle pour guider l'optimisation thérapeutique : une toxicité on-target suggère un compromis dose/efficacité inhérent au mécanisme, tandis qu'une toxicité off-target pourrait être atténuée par une modification du payload ou du coupleur (linker).</w:t>
      </w:r>
    </w:p>
    <w:p>
      <w:pPr>
        <w:spacing w:before="240" w:after="80"/>
      </w:pPr>
      <w:r>
        <w:rPr>
          <w:rFonts w:ascii="Times New Roman" w:hAnsi="Times New Roman"/>
          <w:b/>
          <w:i w:val="0"/>
          <w:color w:val="34495E"/>
          <w:sz w:val="28"/>
        </w:rPr>
        <w:t>4.5 Traduction clinique : perspectives de transposition NHP → humain</w:t>
      </w:r>
    </w:p>
    <w:p>
      <w:pPr>
        <w:spacing w:before="160" w:after="80"/>
      </w:pPr>
      <w:r>
        <w:rPr>
          <w:rFonts w:ascii="Times New Roman" w:hAnsi="Times New Roman"/>
          <w:b/>
          <w:i w:val="0"/>
          <w:color w:val="4A698A"/>
          <w:sz w:val="24"/>
        </w:rPr>
        <w:t>Mise en perspective avec la dose tolérée chez l'animal</w:t>
      </w:r>
    </w:p>
    <w:p>
      <w:pPr>
        <w:spacing w:before="0" w:after="120"/>
        <w:ind w:firstLine="567"/>
        <w:jc w:val="both"/>
      </w:pPr>
      <w:r>
        <w:rPr>
          <w:rFonts w:ascii="Times New Roman" w:hAnsi="Times New Roman"/>
          <w:b w:val="0"/>
          <w:i w:val="0"/>
          <w:sz w:val="24"/>
        </w:rPr>
        <w:t>La dose tolérée identifiée dans l'étude NHP correspond à la dose la plus élevée à laquelle aucune cytopénie sévère (définie par un nadir hématologique franchissant les seuils biologiquement significatifs) n'a été observée. La simulation PK/PD permet de quantifier la marge de sécurité entre cette dose tolérée chez l'animal et les doses humaines envisagées, en intégrant les différences pharmacocinétiques inter-espèces de manière cohérente via l'extrapolation allométrique.</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L'extrapolation allométrique s'applique exclusivement aux paramètres PK — les paramètres PD (Slopes) étant supposés conservés entre espèces pour un même payload (cf. §4.5).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Pour les paramètres PD, l'hypothèse standard retenue est que la sensibilité cellulaire au payload — quantifiée par les Slopes — est conservée entre espèces pour un même mécanisme d'action. Les Slopes calibrés sur NHP sont donc utilisés directement comme point de départ pour l'humain, en l'absence de données d'IC50 sur progéniteurs humains (CFU). Cette hypothèse constitue une perspective de validation (mesure d'IC50 sur CFU-GM, BFU-E humains). Ces projections constituent une base de discussion pour la définition de la dose de départ en Premier-en-Homme (FIH), en cohérence avec la dose tolérée identifiée chez l'animal (NHP).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l'hystérèse PK/PD et le délai de transit hématologique caractéristiques de ce mécanisme d'action (cf. §3.3.3),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