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proportions de patients par grade CTCAE simulées reproduisent fidèlement la Figure 4c de Fornari : la neutropénie tout grade (~40%) et la thrombocytopénie modérée sont cohérentes avec les données de référence. Cette concordance valide la transposabilité inter-espèces du cadre pour le carboplatine et autorise son extension à d'autres composés.</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