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deruxtecan)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clinical data from the regulatory submission to the FDA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NOAEL</w:t>
            </w:r>
          </w:p>
        </w:tc>
        <w:tc>
          <w:tcPr>
            <w:tcW w:type="dxa" w:w="6803"/>
            <w:shd w:val="clear" w:color="auto" w:fill="F2F2F2"/>
          </w:tcPr>
          <w:p>
            <w:pPr>
              <w:jc w:val="center"/>
            </w:pPr>
            <w:r>
              <w:rPr>
                <w:rFonts w:ascii="Times New Roman" w:hAnsi="Times New Roman"/>
                <w:b w:val="0"/>
                <w:i w:val="0"/>
                <w:sz w:val="20"/>
              </w:rPr>
              <w:t>No Observed Adverse Effect Level</w:t>
            </w:r>
          </w:p>
        </w:tc>
      </w:tr>
      <w:tr>
        <w:tc>
          <w:tcPr>
            <w:tcW w:type="dxa" w:w="1984"/>
            <w:shd w:val="clear" w:color="auto" w:fill="FFFFFF"/>
          </w:tcPr>
          <w:p>
            <w:pPr>
              <w:jc w:val="center"/>
            </w:pPr>
            <w:r>
              <w:rPr>
                <w:rFonts w:ascii="Times New Roman" w:hAnsi="Times New Roman"/>
                <w:b w:val="0"/>
                <w:i w:val="0"/>
                <w:sz w:val="20"/>
              </w:rPr>
              <w:t>ODE</w:t>
            </w:r>
          </w:p>
        </w:tc>
        <w:tc>
          <w:tcPr>
            <w:tcW w:type="dxa" w:w="6803"/>
            <w:shd w:val="clear" w:color="auto" w:fill="FFFFFF"/>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2F2F2"/>
          </w:tcPr>
          <w:p>
            <w:pPr>
              <w:jc w:val="center"/>
            </w:pPr>
            <w:r>
              <w:rPr>
                <w:rFonts w:ascii="Times New Roman" w:hAnsi="Times New Roman"/>
                <w:b w:val="0"/>
                <w:i w:val="0"/>
                <w:sz w:val="20"/>
              </w:rPr>
              <w:t>PD</w:t>
            </w:r>
          </w:p>
        </w:tc>
        <w:tc>
          <w:tcPr>
            <w:tcW w:type="dxa" w:w="6803"/>
            <w:shd w:val="clear" w:color="auto" w:fill="F2F2F2"/>
          </w:tcPr>
          <w:p>
            <w:pPr>
              <w:jc w:val="center"/>
            </w:pPr>
            <w:r>
              <w:rPr>
                <w:rFonts w:ascii="Times New Roman" w:hAnsi="Times New Roman"/>
                <w:b w:val="0"/>
                <w:i w:val="0"/>
                <w:sz w:val="20"/>
              </w:rPr>
              <w:t>Pharmacodynamique</w:t>
            </w:r>
          </w:p>
        </w:tc>
      </w:tr>
      <w:tr>
        <w:tc>
          <w:tcPr>
            <w:tcW w:type="dxa" w:w="1984"/>
            <w:shd w:val="clear" w:color="auto" w:fill="FFFFFF"/>
          </w:tcPr>
          <w:p>
            <w:pPr>
              <w:jc w:val="center"/>
            </w:pPr>
            <w:r>
              <w:rPr>
                <w:rFonts w:ascii="Times New Roman" w:hAnsi="Times New Roman"/>
                <w:b w:val="0"/>
                <w:i w:val="0"/>
                <w:sz w:val="20"/>
              </w:rPr>
              <w:t>PK</w:t>
            </w:r>
          </w:p>
        </w:tc>
        <w:tc>
          <w:tcPr>
            <w:tcW w:type="dxa" w:w="6803"/>
            <w:shd w:val="clear" w:color="auto" w:fill="FFFFFF"/>
          </w:tcPr>
          <w:p>
            <w:pPr>
              <w:jc w:val="center"/>
            </w:pPr>
            <w:r>
              <w:rPr>
                <w:rFonts w:ascii="Times New Roman" w:hAnsi="Times New Roman"/>
                <w:b w:val="0"/>
                <w:i w:val="0"/>
                <w:sz w:val="20"/>
              </w:rPr>
              <w:t>Pharmacocinétique</w:t>
            </w:r>
          </w:p>
        </w:tc>
      </w:tr>
      <w:tr>
        <w:tc>
          <w:tcPr>
            <w:tcW w:type="dxa" w:w="1984"/>
            <w:shd w:val="clear" w:color="auto" w:fill="F2F2F2"/>
          </w:tcPr>
          <w:p>
            <w:pPr>
              <w:jc w:val="center"/>
            </w:pPr>
            <w:r>
              <w:rPr>
                <w:rFonts w:ascii="Times New Roman" w:hAnsi="Times New Roman"/>
                <w:b w:val="0"/>
                <w:i w:val="0"/>
                <w:sz w:val="20"/>
              </w:rPr>
              <w:t>PKPD</w:t>
            </w:r>
          </w:p>
        </w:tc>
        <w:tc>
          <w:tcPr>
            <w:tcW w:type="dxa" w:w="6803"/>
            <w:shd w:val="clear" w:color="auto" w:fill="F2F2F2"/>
          </w:tcPr>
          <w:p>
            <w:pPr>
              <w:jc w:val="center"/>
            </w:pPr>
            <w:r>
              <w:rPr>
                <w:rFonts w:ascii="Times New Roman" w:hAnsi="Times New Roman"/>
                <w:b w:val="0"/>
                <w:i w:val="0"/>
                <w:sz w:val="20"/>
              </w:rPr>
              <w:t>Pharmacocinétique-Pharmacodynamique</w:t>
            </w:r>
          </w:p>
        </w:tc>
      </w:tr>
      <w:tr>
        <w:tc>
          <w:tcPr>
            <w:tcW w:type="dxa" w:w="1984"/>
            <w:shd w:val="clear" w:color="auto" w:fill="FFFFFF"/>
          </w:tcPr>
          <w:p>
            <w:pPr>
              <w:jc w:val="center"/>
            </w:pPr>
            <w:r>
              <w:rPr>
                <w:rFonts w:ascii="Times New Roman" w:hAnsi="Times New Roman"/>
                <w:b w:val="0"/>
                <w:i w:val="0"/>
                <w:sz w:val="20"/>
              </w:rPr>
              <w:t>Q3W</w:t>
            </w:r>
          </w:p>
        </w:tc>
        <w:tc>
          <w:tcPr>
            <w:tcW w:type="dxa" w:w="6803"/>
            <w:shd w:val="clear" w:color="auto" w:fill="FFFFFF"/>
          </w:tcPr>
          <w:p>
            <w:pPr>
              <w:jc w:val="center"/>
            </w:pPr>
            <w:r>
              <w:rPr>
                <w:rFonts w:ascii="Times New Roman" w:hAnsi="Times New Roman"/>
                <w:b w:val="0"/>
                <w:i w:val="0"/>
                <w:sz w:val="20"/>
              </w:rPr>
              <w:t>Every 3 weeks (toutes les 3 semaines)</w:t>
            </w:r>
          </w:p>
        </w:tc>
      </w:tr>
      <w:tr>
        <w:tc>
          <w:tcPr>
            <w:tcW w:type="dxa" w:w="1984"/>
            <w:shd w:val="clear" w:color="auto" w:fill="F2F2F2"/>
          </w:tcPr>
          <w:p>
            <w:pPr>
              <w:jc w:val="center"/>
            </w:pPr>
            <w:r>
              <w:rPr>
                <w:rFonts w:ascii="Times New Roman" w:hAnsi="Times New Roman"/>
                <w:b w:val="0"/>
                <w:i w:val="0"/>
                <w:sz w:val="20"/>
              </w:rPr>
              <w:t>RBC</w:t>
            </w:r>
          </w:p>
        </w:tc>
        <w:tc>
          <w:tcPr>
            <w:tcW w:type="dxa" w:w="6803"/>
            <w:shd w:val="clear" w:color="auto" w:fill="F2F2F2"/>
          </w:tcPr>
          <w:p>
            <w:pPr>
              <w:jc w:val="center"/>
            </w:pPr>
            <w:r>
              <w:rPr>
                <w:rFonts w:ascii="Times New Roman" w:hAnsi="Times New Roman"/>
                <w:b w:val="0"/>
                <w:i w:val="0"/>
                <w:sz w:val="20"/>
              </w:rPr>
              <w:t>Red Blood Cells (érythrocytes)</w:t>
            </w:r>
          </w:p>
        </w:tc>
      </w:tr>
      <w:tr>
        <w:tc>
          <w:tcPr>
            <w:tcW w:type="dxa" w:w="1984"/>
            <w:shd w:val="clear" w:color="auto" w:fill="FFFFFF"/>
          </w:tcPr>
          <w:p>
            <w:pPr>
              <w:jc w:val="center"/>
            </w:pPr>
            <w:r>
              <w:rPr>
                <w:rFonts w:ascii="Times New Roman" w:hAnsi="Times New Roman"/>
                <w:b w:val="0"/>
                <w:i w:val="0"/>
                <w:sz w:val="20"/>
              </w:rPr>
              <w:t>RMSE</w:t>
            </w:r>
          </w:p>
        </w:tc>
        <w:tc>
          <w:tcPr>
            <w:tcW w:type="dxa" w:w="6803"/>
            <w:shd w:val="clear" w:color="auto" w:fill="FFFFFF"/>
          </w:tcPr>
          <w:p>
            <w:pPr>
              <w:jc w:val="center"/>
            </w:pPr>
            <w:r>
              <w:rPr>
                <w:rFonts w:ascii="Times New Roman" w:hAnsi="Times New Roman"/>
                <w:b w:val="0"/>
                <w:i w:val="0"/>
                <w:sz w:val="20"/>
              </w:rPr>
              <w:t>Root Mean Square Error</w:t>
            </w:r>
          </w:p>
        </w:tc>
      </w:tr>
      <w:tr>
        <w:tc>
          <w:tcPr>
            <w:tcW w:type="dxa" w:w="1984"/>
            <w:shd w:val="clear" w:color="auto" w:fill="F2F2F2"/>
          </w:tcPr>
          <w:p>
            <w:pPr>
              <w:jc w:val="center"/>
            </w:pPr>
            <w:r>
              <w:rPr>
                <w:rFonts w:ascii="Times New Roman" w:hAnsi="Times New Roman"/>
                <w:b w:val="0"/>
                <w:i w:val="0"/>
                <w:sz w:val="20"/>
              </w:rPr>
              <w:t>T-DXd</w:t>
            </w:r>
          </w:p>
        </w:tc>
        <w:tc>
          <w:tcPr>
            <w:tcW w:type="dxa" w:w="6803"/>
            <w:shd w:val="clear" w:color="auto" w:fill="F2F2F2"/>
          </w:tcPr>
          <w:p>
            <w:pPr>
              <w:jc w:val="center"/>
            </w:pPr>
            <w:r>
              <w:rPr>
                <w:rFonts w:ascii="Times New Roman" w:hAnsi="Times New Roman"/>
                <w:b w:val="0"/>
                <w:i w:val="0"/>
                <w:sz w:val="20"/>
              </w:rPr>
              <w:t>Trastuzumab deruxtecan (Enhertu®)</w:t>
            </w:r>
          </w:p>
        </w:tc>
      </w:tr>
      <w:tr>
        <w:tc>
          <w:tcPr>
            <w:tcW w:type="dxa" w:w="1984"/>
            <w:shd w:val="clear" w:color="auto" w:fill="FFFFFF"/>
          </w:tcPr>
          <w:p>
            <w:pPr>
              <w:jc w:val="center"/>
            </w:pPr>
            <w:r>
              <w:rPr>
                <w:rFonts w:ascii="Times New Roman" w:hAnsi="Times New Roman"/>
                <w:b w:val="0"/>
                <w:i w:val="0"/>
                <w:sz w:val="20"/>
              </w:rPr>
              <w:t>V1/V2</w:t>
            </w:r>
          </w:p>
        </w:tc>
        <w:tc>
          <w:tcPr>
            <w:tcW w:type="dxa" w:w="6803"/>
            <w:shd w:val="clear" w:color="auto" w:fill="FFFFFF"/>
          </w:tcPr>
          <w:p>
            <w:pPr>
              <w:jc w:val="center"/>
            </w:pPr>
            <w:r>
              <w:rPr>
                <w:rFonts w:ascii="Times New Roman" w:hAnsi="Times New Roman"/>
                <w:b w:val="0"/>
                <w:i w:val="0"/>
                <w:sz w:val="20"/>
              </w:rPr>
              <w:t>Volume de distribution central/périphérique</w:t>
            </w:r>
          </w:p>
        </w:tc>
      </w:tr>
      <w:tr>
        <w:tc>
          <w:tcPr>
            <w:tcW w:type="dxa" w:w="1984"/>
            <w:shd w:val="clear" w:color="auto" w:fill="F2F2F2"/>
          </w:tcPr>
          <w:p>
            <w:pPr>
              <w:jc w:val="center"/>
            </w:pPr>
            <w:r>
              <w:rPr>
                <w:rFonts w:ascii="Times New Roman" w:hAnsi="Times New Roman"/>
                <w:b w:val="0"/>
                <w:i w:val="0"/>
                <w:sz w:val="20"/>
              </w:rPr>
              <w:t>VPC</w:t>
            </w:r>
          </w:p>
        </w:tc>
        <w:tc>
          <w:tcPr>
            <w:tcW w:type="dxa" w:w="6803"/>
            <w:shd w:val="clear" w:color="auto" w:fill="F2F2F2"/>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deruxtecan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deruxtecan)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f_feedback le feedback homéostatique, C_in le flux entrant depuis le compartiment précédent, Damage l'état d'endommagement cellulaire accumulé (défini en §2.3), et Slope le paramètre de sensibilité de la lignée au médicament (défini en §2.5).</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calibrés sur les données hématologiques observées.</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160" w:after="80"/>
      </w:pPr>
      <w:r>
        <w:rPr>
          <w:rFonts w:ascii="Times New Roman" w:hAnsi="Times New Roman"/>
          <w:b/>
          <w:i w:val="0"/>
          <w:color w:val="4A698A"/>
          <w:sz w:val="24"/>
        </w:rPr>
        <w:t>2.4.2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outliers),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a été produit en portant les proportions prédites en abscisse et les proportions observées en ordonnée, pour chacune des 6 comparaisons. La droite d'identité (y = x) constitue la référence d'un modèle parfaitement calibré. Les points situés au-dessus de cette droite indiquent une sous-prédiction (le modèle sous-estime la toxicité observée) ; ceux situés en dessous indiquent une sur-prédiction. Les barres d'erreur représentent les IC95% de Wilson sur les proportions prédites. Ce graphique constitue un outil de diagnostic visuel permettant d'identifier des biais systématiques par type de toxicité.</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L'évaluation de la toxicité hématologique prédicte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ne comportent pas de profils individuels de cytopénie en fonction du temps, mais uniquement des pourcentages de grades agrégés sur l'ensemble du traitement (grade maximal observé par patient, worst-case grading). La validation repose donc sur la comparaison des distributions de grades CTCAE v5 au nadir simulé — et non sur des profils temporels — ce qui constitue la seule métrique disponible dans les rapports réglementaires publics. Cette métrique est par ailleurs directement pertinente sur le plan clinique, car c'est le grade maximal atteint qui conditionne les décisions de gestion thérapeutique (réduction de dose, interruption, hospitalisation).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et tous les points temporels, validant la fidélité de l'implémentation par rapport à la publication originale.</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 La RMSE sur l'ensemble des 6 comparaisons prédites vs BLA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homologue entre espèces permet une transposition raisonnée des paramètres, ce qu'un modèle statistique purement empirique ne permet pas</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Identifiabilité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before="240" w:after="80"/>
      </w:pPr>
      <w:r>
        <w:rPr>
          <w:rFonts w:ascii="Times New Roman" w:hAnsi="Times New Roman"/>
          <w:b/>
          <w:i w:val="0"/>
          <w:color w:val="34495E"/>
          <w:sz w:val="28"/>
        </w:rPr>
        <w:t>4.5 Traduction clinique : perspectives de transposition NHP → humain</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La transposition des paramètres PD (Slopes) est plus délicate, car la sensibilité des progéniteurs hématopoïétiques au payload peut varier entre espèces. Une approche conservatrice consiste à utiliser directement les Slopes NHP comme estimation initiale, en attendant des données d'IC50 sur progéniteurs humains (CFU). Ces projections constituent une base de discussion pour la définition de la dose de départ en Premier-en-Homme (FIH), en cohérence avec le NOAEL identifié en NHP. Dans l'étude préclinique NHP, le NOAEL est défini selon les critères toxicologiques standards — absence d'effet indésirable significatif sur les valeurs hématologiques absolues (nadir des neutrophiles, plaquettes, érythrocytes) par rapport à la baseline individuelle, et absence de signe clinique de détresse. Les grades CTCAE v5 sont une classification propre aux essais cliniques humains et ne s'appliquent pas directement aux études précliniques NHP.</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le décalage cinétique PK/PD caractéristique de ce mécanisme d'action,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