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hematotoxicity grade predictions consistent with clinical data from the regulatory submission to the FDA (BLA 761139, DESTINY-Breast01, n=184); (3) application of the model to an internally developed compound using preclinical data from non-human primates (NHP) (n=8, 4 dose levels), including non-compartmental analysis, individual 2-compartment PK fitting, and PD calibration; (4) clinical translation based on NHP parameters.</w:t>
      </w:r>
    </w:p>
    <w:p>
      <w:pPr>
        <w:spacing w:before="0" w:after="120"/>
        <w:ind w:firstLine="567"/>
        <w:jc w:val="both"/>
      </w:pPr>
      <w:r>
        <w:rPr>
          <w:rFonts w:ascii="Times New Roman" w:hAnsi="Times New Roman"/>
          <w:b w:val="0"/>
          <w:i w:val="0"/>
          <w:sz w:val="24"/>
        </w:rPr>
        <w:t>The results demonstrate the robustness and genericity of the pipeline, capable of integrating data from multiple species and compounds within a unified and reproducible methodological framework.</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ODE</w:t>
            </w:r>
          </w:p>
        </w:tc>
        <w:tc>
          <w:tcPr>
            <w:tcW w:type="dxa" w:w="6803"/>
            <w:shd w:val="clear" w:color="auto" w:fill="F2F2F2"/>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FFFFF"/>
          </w:tcPr>
          <w:p>
            <w:pPr>
              <w:jc w:val="center"/>
            </w:pPr>
            <w:r>
              <w:rPr>
                <w:rFonts w:ascii="Times New Roman" w:hAnsi="Times New Roman"/>
                <w:b w:val="0"/>
                <w:i w:val="0"/>
                <w:sz w:val="20"/>
              </w:rPr>
              <w:t>PD</w:t>
            </w:r>
          </w:p>
        </w:tc>
        <w:tc>
          <w:tcPr>
            <w:tcW w:type="dxa" w:w="6803"/>
            <w:shd w:val="clear" w:color="auto" w:fill="FFFFFF"/>
          </w:tcPr>
          <w:p>
            <w:pPr>
              <w:jc w:val="center"/>
            </w:pPr>
            <w:r>
              <w:rPr>
                <w:rFonts w:ascii="Times New Roman" w:hAnsi="Times New Roman"/>
                <w:b w:val="0"/>
                <w:i w:val="0"/>
                <w:sz w:val="20"/>
              </w:rPr>
              <w:t>Pharmacodynamique</w:t>
            </w:r>
          </w:p>
        </w:tc>
      </w:tr>
      <w:tr>
        <w:tc>
          <w:tcPr>
            <w:tcW w:type="dxa" w:w="1984"/>
            <w:shd w:val="clear" w:color="auto" w:fill="F2F2F2"/>
          </w:tcPr>
          <w:p>
            <w:pPr>
              <w:jc w:val="center"/>
            </w:pPr>
            <w:r>
              <w:rPr>
                <w:rFonts w:ascii="Times New Roman" w:hAnsi="Times New Roman"/>
                <w:b w:val="0"/>
                <w:i w:val="0"/>
                <w:sz w:val="20"/>
              </w:rPr>
              <w:t>PK</w:t>
            </w:r>
          </w:p>
        </w:tc>
        <w:tc>
          <w:tcPr>
            <w:tcW w:type="dxa" w:w="6803"/>
            <w:shd w:val="clear" w:color="auto" w:fill="F2F2F2"/>
          </w:tcPr>
          <w:p>
            <w:pPr>
              <w:jc w:val="center"/>
            </w:pPr>
            <w:r>
              <w:rPr>
                <w:rFonts w:ascii="Times New Roman" w:hAnsi="Times New Roman"/>
                <w:b w:val="0"/>
                <w:i w:val="0"/>
                <w:sz w:val="20"/>
              </w:rPr>
              <w:t>Pharmacocinétique</w:t>
            </w:r>
          </w:p>
        </w:tc>
      </w:tr>
      <w:tr>
        <w:tc>
          <w:tcPr>
            <w:tcW w:type="dxa" w:w="1984"/>
            <w:shd w:val="clear" w:color="auto" w:fill="FFFFFF"/>
          </w:tcPr>
          <w:p>
            <w:pPr>
              <w:jc w:val="center"/>
            </w:pPr>
            <w:r>
              <w:rPr>
                <w:rFonts w:ascii="Times New Roman" w:hAnsi="Times New Roman"/>
                <w:b w:val="0"/>
                <w:i w:val="0"/>
                <w:sz w:val="20"/>
              </w:rPr>
              <w:t>PKPD</w:t>
            </w:r>
          </w:p>
        </w:tc>
        <w:tc>
          <w:tcPr>
            <w:tcW w:type="dxa" w:w="6803"/>
            <w:shd w:val="clear" w:color="auto" w:fill="FFFFFF"/>
          </w:tcPr>
          <w:p>
            <w:pPr>
              <w:jc w:val="center"/>
            </w:pPr>
            <w:r>
              <w:rPr>
                <w:rFonts w:ascii="Times New Roman" w:hAnsi="Times New Roman"/>
                <w:b w:val="0"/>
                <w:i w:val="0"/>
                <w:sz w:val="20"/>
              </w:rPr>
              <w:t>Pharmacocinétique-Pharmacodynamique</w:t>
            </w:r>
          </w:p>
        </w:tc>
      </w:tr>
      <w:tr>
        <w:tc>
          <w:tcPr>
            <w:tcW w:type="dxa" w:w="1984"/>
            <w:shd w:val="clear" w:color="auto" w:fill="F2F2F2"/>
          </w:tcPr>
          <w:p>
            <w:pPr>
              <w:jc w:val="center"/>
            </w:pPr>
            <w:r>
              <w:rPr>
                <w:rFonts w:ascii="Times New Roman" w:hAnsi="Times New Roman"/>
                <w:b w:val="0"/>
                <w:i w:val="0"/>
                <w:sz w:val="20"/>
              </w:rPr>
              <w:t>Q3W</w:t>
            </w:r>
          </w:p>
        </w:tc>
        <w:tc>
          <w:tcPr>
            <w:tcW w:type="dxa" w:w="6803"/>
            <w:shd w:val="clear" w:color="auto" w:fill="F2F2F2"/>
          </w:tcPr>
          <w:p>
            <w:pPr>
              <w:jc w:val="center"/>
            </w:pPr>
            <w:r>
              <w:rPr>
                <w:rFonts w:ascii="Times New Roman" w:hAnsi="Times New Roman"/>
                <w:b w:val="0"/>
                <w:i w:val="0"/>
                <w:sz w:val="20"/>
              </w:rPr>
              <w:t>Every 3 weeks (toutes les 3 semaines)</w:t>
            </w:r>
          </w:p>
        </w:tc>
      </w:tr>
      <w:tr>
        <w:tc>
          <w:tcPr>
            <w:tcW w:type="dxa" w:w="1984"/>
            <w:shd w:val="clear" w:color="auto" w:fill="FFFFFF"/>
          </w:tcPr>
          <w:p>
            <w:pPr>
              <w:jc w:val="center"/>
            </w:pPr>
            <w:r>
              <w:rPr>
                <w:rFonts w:ascii="Times New Roman" w:hAnsi="Times New Roman"/>
                <w:b w:val="0"/>
                <w:i w:val="0"/>
                <w:sz w:val="20"/>
              </w:rPr>
              <w:t>RBC</w:t>
            </w:r>
          </w:p>
        </w:tc>
        <w:tc>
          <w:tcPr>
            <w:tcW w:type="dxa" w:w="6803"/>
            <w:shd w:val="clear" w:color="auto" w:fill="FFFFFF"/>
          </w:tcPr>
          <w:p>
            <w:pPr>
              <w:jc w:val="center"/>
            </w:pPr>
            <w:r>
              <w:rPr>
                <w:rFonts w:ascii="Times New Roman" w:hAnsi="Times New Roman"/>
                <w:b w:val="0"/>
                <w:i w:val="0"/>
                <w:sz w:val="20"/>
              </w:rPr>
              <w:t>Red Blood Cells (érythrocytes)</w:t>
            </w:r>
          </w:p>
        </w:tc>
      </w:tr>
      <w:tr>
        <w:tc>
          <w:tcPr>
            <w:tcW w:type="dxa" w:w="1984"/>
            <w:shd w:val="clear" w:color="auto" w:fill="F2F2F2"/>
          </w:tcPr>
          <w:p>
            <w:pPr>
              <w:jc w:val="center"/>
            </w:pPr>
            <w:r>
              <w:rPr>
                <w:rFonts w:ascii="Times New Roman" w:hAnsi="Times New Roman"/>
                <w:b w:val="0"/>
                <w:i w:val="0"/>
                <w:sz w:val="20"/>
              </w:rPr>
              <w:t>RMSE</w:t>
            </w:r>
          </w:p>
        </w:tc>
        <w:tc>
          <w:tcPr>
            <w:tcW w:type="dxa" w:w="6803"/>
            <w:shd w:val="clear" w:color="auto" w:fill="F2F2F2"/>
          </w:tcPr>
          <w:p>
            <w:pPr>
              <w:jc w:val="center"/>
            </w:pPr>
            <w:r>
              <w:rPr>
                <w:rFonts w:ascii="Times New Roman" w:hAnsi="Times New Roman"/>
                <w:b w:val="0"/>
                <w:i w:val="0"/>
                <w:sz w:val="20"/>
              </w:rPr>
              <w:t>Root Mean Square Error</w:t>
            </w:r>
          </w:p>
        </w:tc>
      </w:tr>
      <w:tr>
        <w:tc>
          <w:tcPr>
            <w:tcW w:type="dxa" w:w="1984"/>
            <w:shd w:val="clear" w:color="auto" w:fill="FFFFFF"/>
          </w:tcPr>
          <w:p>
            <w:pPr>
              <w:jc w:val="center"/>
            </w:pPr>
            <w:r>
              <w:rPr>
                <w:rFonts w:ascii="Times New Roman" w:hAnsi="Times New Roman"/>
                <w:b w:val="0"/>
                <w:i w:val="0"/>
                <w:sz w:val="20"/>
              </w:rPr>
              <w:t>T-DXd</w:t>
            </w:r>
          </w:p>
        </w:tc>
        <w:tc>
          <w:tcPr>
            <w:tcW w:type="dxa" w:w="6803"/>
            <w:shd w:val="clear" w:color="auto" w:fill="FFFFFF"/>
          </w:tcPr>
          <w:p>
            <w:pPr>
              <w:jc w:val="center"/>
            </w:pPr>
            <w:r>
              <w:rPr>
                <w:rFonts w:ascii="Times New Roman" w:hAnsi="Times New Roman"/>
                <w:b w:val="0"/>
                <w:i w:val="0"/>
                <w:sz w:val="20"/>
              </w:rPr>
              <w:t>Trastuzumab deruxtecan (Enhertu®)</w:t>
            </w:r>
          </w:p>
        </w:tc>
      </w:tr>
      <w:tr>
        <w:tc>
          <w:tcPr>
            <w:tcW w:type="dxa" w:w="1984"/>
            <w:shd w:val="clear" w:color="auto" w:fill="F2F2F2"/>
          </w:tcPr>
          <w:p>
            <w:pPr>
              <w:jc w:val="center"/>
            </w:pPr>
            <w:r>
              <w:rPr>
                <w:rFonts w:ascii="Times New Roman" w:hAnsi="Times New Roman"/>
                <w:b w:val="0"/>
                <w:i w:val="0"/>
                <w:sz w:val="20"/>
              </w:rPr>
              <w:t>V1/V2</w:t>
            </w:r>
          </w:p>
        </w:tc>
        <w:tc>
          <w:tcPr>
            <w:tcW w:type="dxa" w:w="6803"/>
            <w:shd w:val="clear" w:color="auto" w:fill="F2F2F2"/>
          </w:tcPr>
          <w:p>
            <w:pPr>
              <w:jc w:val="center"/>
            </w:pPr>
            <w:r>
              <w:rPr>
                <w:rFonts w:ascii="Times New Roman" w:hAnsi="Times New Roman"/>
                <w:b w:val="0"/>
                <w:i w:val="0"/>
                <w:sz w:val="20"/>
              </w:rPr>
              <w:t>Volume de distribution central/périphérique</w:t>
            </w:r>
          </w:p>
        </w:tc>
      </w:tr>
      <w:tr>
        <w:tc>
          <w:tcPr>
            <w:tcW w:type="dxa" w:w="1984"/>
            <w:shd w:val="clear" w:color="auto" w:fill="FFFFFF"/>
          </w:tcPr>
          <w:p>
            <w:pPr>
              <w:jc w:val="center"/>
            </w:pPr>
            <w:r>
              <w:rPr>
                <w:rFonts w:ascii="Times New Roman" w:hAnsi="Times New Roman"/>
                <w:b w:val="0"/>
                <w:i w:val="0"/>
                <w:sz w:val="20"/>
              </w:rPr>
              <w:t>VPC</w:t>
            </w:r>
          </w:p>
        </w:tc>
        <w:tc>
          <w:tcPr>
            <w:tcW w:type="dxa" w:w="6803"/>
            <w:shd w:val="clear" w:color="auto" w:fill="FFFFFF"/>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AUCinf : intégrale de la courbe concentration-temps extrapolée à l'infini</w:t>
      </w:r>
    </w:p>
    <w:p>
      <w:pPr>
        <w:spacing w:after="60"/>
        <w:ind w:left="283" w:hanging="227"/>
      </w:pPr>
      <w:r>
        <w:rPr>
          <w:rFonts w:ascii="Times New Roman" w:hAnsi="Times New Roman"/>
          <w:b w:val="0"/>
          <w:i w:val="0"/>
          <w:sz w:val="22"/>
        </w:rPr>
        <w:t>• CL_NCA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CL_NCA / β   [volume de distribution terminal]</w:t>
      </w:r>
    </w:p>
    <w:p>
      <w:pPr>
        <w:spacing w:after="60"/>
        <w:ind w:left="283" w:hanging="227"/>
      </w:pPr>
      <w:r>
        <w:rPr>
          <w:rFonts w:ascii="Times New Roman" w:hAnsi="Times New Roman"/>
          <w:b w:val="0"/>
          <w:i w:val="0"/>
          <w:sz w:val="22"/>
        </w:rPr>
        <w:t>• t½β = ln(2) / β   [demi-vie terminale]</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Cette section s'applique exclusivement à l'étape de simulation de population humaine (§3.2.2, T-DXd). Pour l'étude préclinique NHP (§3.3), les résultats sont décrits en termes de nadirs absolus (×10⁹/L pour les neutrophiles et plaquettes, ×10¹²/L pour les RBC) sans attribution de grade CTCAE, classification propre aux essais cliniques et non applicable aux études animales.</w:t>
      </w:r>
    </w:p>
    <w:p>
      <w:pPr>
        <w:spacing w:before="0" w:after="120"/>
        <w:ind w:firstLine="567"/>
        <w:jc w:val="both"/>
      </w:pPr>
      <w:r>
        <w:rPr>
          <w:rFonts w:ascii="Times New Roman" w:hAnsi="Times New Roman"/>
          <w:b w:val="0"/>
          <w:i w:val="0"/>
          <w:sz w:val="24"/>
        </w:rPr>
        <w:t>L'évaluation de la toxicité hématologique prédicte en population humaine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(40 mg/kg IV, toutes les 2 semaines, 8 cycles).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à l'exception d'un point isolé sur la courbe RBC à t=0 (résidu ~700%), identifié comme un artefact de digitalisation de la figure originale (valeur 1003 × 10⁹/L incohérente avec la baseline physiologique du rat ~8000 × 10⁹/L et avec le second point à t=0 = 8506 × 10⁹/L). Ce point a été exclu des métriques de validation. En l'excluant, les résidus restent inférieurs à 15% sur l'ensemble des profils, validant la fidélité de l'implémentation.</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160" w:after="80"/>
      </w:pPr>
      <w:r>
        <w:rPr>
          <w:rFonts w:ascii="Times New Roman" w:hAnsi="Times New Roman"/>
          <w:b/>
          <w:i w:val="0"/>
          <w:color w:val="4A698A"/>
          <w:sz w:val="24"/>
        </w:rPr>
        <w:t>3.1.3 Transposition rat → humain pour le carboplatine : validation intermédiaire</w:t>
      </w:r>
    </w:p>
    <w:p>
      <w:pPr>
        <w:spacing w:before="0" w:after="120"/>
        <w:ind w:firstLine="567"/>
        <w:jc w:val="both"/>
      </w:pPr>
      <w:r>
        <w:rPr>
          <w:rFonts w:ascii="Times New Roman" w:hAnsi="Times New Roman"/>
          <w:b w:val="0"/>
          <w:i w:val="0"/>
          <w:sz w:val="24"/>
        </w:rPr>
        <w:t>Avant d'appliquer le pipeline à un nouveau composé, une étape intermédiaire de validation a été réalisée : la transposition du modèle carboplatine calibré sur données de rat vers la population humaine. Cette étape constitue un garde-fou méthodologique, visant à vérifier que la chaîne complète — extrapolation allométrique des paramètres PK, paramètres PD de rat appliqués à l'humain — reproduit les prédictions publiées par Fornari et al. (2019).</w:t>
      </w:r>
    </w:p>
    <w:p>
      <w:pPr>
        <w:spacing w:before="0" w:after="120"/>
        <w:ind w:firstLine="567"/>
        <w:jc w:val="both"/>
      </w:pPr>
      <w:r>
        <w:rPr>
          <w:rFonts w:ascii="Times New Roman" w:hAnsi="Times New Roman"/>
          <w:b w:val="0"/>
          <w:i w:val="0"/>
          <w:sz w:val="24"/>
        </w:rPr>
        <w:t>Le protocole simulé correspond au schéma de la Figure 4c de Fornari : carboplatine dosé selon la formule de Calvert (AUC cible = 5 mg·mL⁻¹·min, GFR = 125 mL/min, soit une dose de 750 mg), administré en 2 cycles Q21D. Une cohorte virtuelle de N=1000 patients a été générée avec variabilité résiduelle log-additive (σ issu du Tableau S4 de Fornari). Les paramètres biologiques humains de base (Tableau 1 de Fornari) ont remplacé ceux du rat.</w:t>
      </w:r>
    </w:p>
    <w:p>
      <w:pPr>
        <w:spacing w:before="0" w:after="120"/>
        <w:ind w:firstLine="567"/>
        <w:jc w:val="both"/>
      </w:pPr>
      <w:r>
        <w:rPr>
          <w:rFonts w:ascii="Times New Roman" w:hAnsi="Times New Roman"/>
          <w:b w:val="0"/>
          <w:i w:val="0"/>
          <w:sz w:val="24"/>
        </w:rPr>
        <w:t>Les profils de neutrophiles simulés reproduisent fidèlement la Figure 4c de Fornari, validant la transposabilité inter-espèces du cadre pour le carboplatine. En revanche, le profil thrombocytaire présente un accord moins satisfaisant : le nadir prédit est décalé temporellement par rapport aux données de référence, reflet d'une limitation connue du modèle de Fornari pour les plaquettes — dont la cinétique est plus complexe (régulation thrombopoïétine, durée de vie hétérogène des populations plaquettaires). Ce point constitue une limite de la transposition directe des paramètres δ_Plt du rat à l'humain sans recalibration.</w:t>
      </w:r>
    </w:p>
    <w:p>
      <w:pPr>
        <w:jc w:val="center"/>
      </w:pPr>
      <w:r>
        <w:rPr>
          <w:rFonts w:ascii="Times New Roman" w:hAnsi="Times New Roman"/>
          <w:b w:val="0"/>
          <w:i/>
          <w:color w:val="646464"/>
          <w:sz w:val="20"/>
        </w:rPr>
        <w:t>[Figure — Insérer ici : etape2_carboplatin_humain/results/Figure4c_grades_AUC5.pdf]</w:t>
      </w:r>
    </w:p>
    <w:p>
      <w:pPr>
        <w:jc w:val="center"/>
      </w:pPr>
      <w:r>
        <w:rPr>
          <w:rFonts w:ascii="Times New Roman" w:hAnsi="Times New Roman"/>
          <w:b w:val="0"/>
          <w:i/>
          <w:sz w:val="20"/>
        </w:rPr>
        <w:t>Figure 1b. Distribution simulée des grades CTCAE — Carboplatine AUC=5, Q21D×2, N=1000 patients virtuels. Reproduction de la Figure 4c de Fornari et al. (2019).</w:t>
      </w:r>
    </w:p>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 (hystérèse)</w:t>
      </w:r>
    </w:p>
    <w:p>
      <w:pPr>
        <w:spacing w:before="0" w:after="120"/>
        <w:ind w:firstLine="567"/>
        <w:jc w:val="both"/>
      </w:pPr>
      <w:r>
        <w:rPr>
          <w:rFonts w:ascii="Times New Roman" w:hAnsi="Times New Roman"/>
          <w:b w:val="0"/>
          <w:i w:val="0"/>
          <w:sz w:val="24"/>
        </w:rPr>
        <w:t>On parle d'hystérèse PK/PD lorsque la relation entre la concentration plasmatique et l'effet pharmacologique n'est pas instantanée : pour une même concentration, l'effet observé diffère selon que l'on se trouve en phase d'absorption ou d'élimination, formant une boucle caractéristique sur le graphe effet-concentration. Dans le contexte de la toxicité hématologique, ce phénomène traduit le fait que le nadir des cellules matures survient plusieurs jours à semaines après le pic de concentration plasmatique, en raison du temps de maturation des progéniteurs médullaires.</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de l'hématopoïèse est conservée entre espèces (MPP→CMP/MEP→cellules matures), ce qui permet une transposition raisonnée des paramètres physiologiques (baselines, temps de transit, feedbacks) par allométrie. Pour les paramètres PD (Slopes), la transposition repose sur l'hypothèse que la sensibilité cellulaire au payload est conservée entre espèces pour un même mécanisme d'action — hypothèse qui peut être mise en défaut si l'expression de la cible diffère entre espèces, et qui gagnerait à être validée par des données d'IC50 sur progéniteurs humains (CFU).</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after="60"/>
        <w:ind w:left="283" w:hanging="227"/>
      </w:pPr>
      <w:r>
        <w:rPr>
          <w:rFonts w:ascii="Times New Roman" w:hAnsi="Times New Roman"/>
          <w:b w:val="0"/>
          <w:i w:val="0"/>
          <w:sz w:val="22"/>
        </w:rPr>
        <w:t>• Intégration des données in vitro : le modèle peut être affiné en intégrant des mesures d'IC50 sur lignées hématopoïétiques spécifiques (CFU-GM, BFU-E), ancrant mécanistiquement le paramètre Slope dans une donnée expérimentale directe et réduisant l'incertitude sur la transposition inter-espèces</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Identification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de distributions 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after="60"/>
        <w:ind w:left="283" w:hanging="227"/>
      </w:pPr>
      <w:r>
        <w:rPr>
          <w:rFonts w:ascii="Times New Roman" w:hAnsi="Times New Roman"/>
          <w:b w:val="0"/>
          <w:i w:val="0"/>
          <w:sz w:val="22"/>
        </w:rPr>
        <w:t>• Déconvolution on-target / off-target : une extension du modèle pourrait permettre de dissocier la part de toxicité hématologique liée à l'expression de la cible sur les progéniteurs (on-target) de celle liée au payload indépendamment de la cible (off-target), orientant ainsi l'optimisation du conjugué.</w:t>
      </w:r>
    </w:p>
    <w:p>
      <w:pPr>
        <w:spacing w:before="240" w:after="80"/>
      </w:pPr>
      <w:r>
        <w:rPr>
          <w:rFonts w:ascii="Times New Roman" w:hAnsi="Times New Roman"/>
          <w:b/>
          <w:i w:val="0"/>
          <w:color w:val="34495E"/>
          <w:sz w:val="28"/>
        </w:rPr>
        <w:t>4.5 Traduction clinique : perspectives de transposition NHP → humain</w:t>
      </w:r>
    </w:p>
    <w:p>
      <w:pPr>
        <w:spacing w:before="160" w:after="80"/>
      </w:pPr>
      <w:r>
        <w:rPr>
          <w:rFonts w:ascii="Times New Roman" w:hAnsi="Times New Roman"/>
          <w:b/>
          <w:i w:val="0"/>
          <w:color w:val="4A698A"/>
          <w:sz w:val="24"/>
        </w:rPr>
        <w:t>Mise en perspective avec la dose tolérée chez l'animal</w:t>
      </w:r>
    </w:p>
    <w:p>
      <w:pPr>
        <w:spacing w:before="0" w:after="120"/>
        <w:ind w:firstLine="567"/>
        <w:jc w:val="both"/>
      </w:pPr>
      <w:r>
        <w:rPr>
          <w:rFonts w:ascii="Times New Roman" w:hAnsi="Times New Roman"/>
          <w:b w:val="0"/>
          <w:i w:val="0"/>
          <w:sz w:val="24"/>
        </w:rPr>
        <w:t>La dose tolérée identifiée dans l'étude NHP correspond à la dose la plus élevée à laquelle aucune cytopénie sévère (définie par un nadir hématologique franchissant les seuils biologiquement significatifs) n'a été observée. La simulation PK/PD permet de quantifier la marge de sécurité entre cette dose tolérée chez l'animal et les doses humaines envisagées, en intégrant les différences pharmacocinétiques inter-espèces de manière cohérente via l'extrapolation allométrique.</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L'extrapolation allométrique s'applique exclusivement aux paramètres PK — les paramètres PD (Slopes) étant supposés conservés entre espèces pour un même payload (cf. §4.5).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Pour les paramètres PD, l'hypothèse standard retenue est que la sensibilité cellulaire au payload — quantifiée par les Slopes — est conservée entre espèces pour un même mécanisme d'action. Les Slopes calibrés sur NHP sont donc utilisés directement comme point de départ pour l'humain, en l'absence de données d'IC50 sur progéniteurs humains (CFU). Cette hypothèse constitue une perspective de validation (mesure d'IC50 sur CFU-GM, BFU-E humains). Ces projections constituent une base de discussion pour la définition de la dose de départ en Premier-en-Homme (FIH), en cohérence avec la dose tolérée identifiée chez l'animal (NHP).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l'hystérèse PK/PD et le délai de transit hématologique caractéristiques de ce mécanisme d'action (cf. §3.3.3),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