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ODE</w:t>
            </w:r>
          </w:p>
        </w:tc>
        <w:tc>
          <w:tcPr>
            <w:tcW w:type="dxa" w:w="6803"/>
            <w:shd w:val="clear" w:color="auto" w:fill="F2F2F2"/>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FFFFF"/>
          </w:tcPr>
          <w:p>
            <w:pPr>
              <w:jc w:val="center"/>
            </w:pPr>
            <w:r>
              <w:rPr>
                <w:rFonts w:ascii="Times New Roman" w:hAnsi="Times New Roman"/>
                <w:b w:val="0"/>
                <w:i w:val="0"/>
                <w:sz w:val="20"/>
              </w:rPr>
              <w:t>PD</w:t>
            </w:r>
          </w:p>
        </w:tc>
        <w:tc>
          <w:tcPr>
            <w:tcW w:type="dxa" w:w="6803"/>
            <w:shd w:val="clear" w:color="auto" w:fill="FFFFFF"/>
          </w:tcPr>
          <w:p>
            <w:pPr>
              <w:jc w:val="center"/>
            </w:pPr>
            <w:r>
              <w:rPr>
                <w:rFonts w:ascii="Times New Roman" w:hAnsi="Times New Roman"/>
                <w:b w:val="0"/>
                <w:i w:val="0"/>
                <w:sz w:val="20"/>
              </w:rPr>
              <w:t>Pharmacodynamique</w:t>
            </w:r>
          </w:p>
        </w:tc>
      </w:tr>
      <w:tr>
        <w:tc>
          <w:tcPr>
            <w:tcW w:type="dxa" w:w="1984"/>
            <w:shd w:val="clear" w:color="auto" w:fill="F2F2F2"/>
          </w:tcPr>
          <w:p>
            <w:pPr>
              <w:jc w:val="center"/>
            </w:pPr>
            <w:r>
              <w:rPr>
                <w:rFonts w:ascii="Times New Roman" w:hAnsi="Times New Roman"/>
                <w:b w:val="0"/>
                <w:i w:val="0"/>
                <w:sz w:val="20"/>
              </w:rPr>
              <w:t>PK</w:t>
            </w:r>
          </w:p>
        </w:tc>
        <w:tc>
          <w:tcPr>
            <w:tcW w:type="dxa" w:w="6803"/>
            <w:shd w:val="clear" w:color="auto" w:fill="F2F2F2"/>
          </w:tcPr>
          <w:p>
            <w:pPr>
              <w:jc w:val="center"/>
            </w:pPr>
            <w:r>
              <w:rPr>
                <w:rFonts w:ascii="Times New Roman" w:hAnsi="Times New Roman"/>
                <w:b w:val="0"/>
                <w:i w:val="0"/>
                <w:sz w:val="20"/>
              </w:rPr>
              <w:t>Pharmacocinétique</w:t>
            </w:r>
          </w:p>
        </w:tc>
      </w:tr>
      <w:tr>
        <w:tc>
          <w:tcPr>
            <w:tcW w:type="dxa" w:w="1984"/>
            <w:shd w:val="clear" w:color="auto" w:fill="FFFFFF"/>
          </w:tcPr>
          <w:p>
            <w:pPr>
              <w:jc w:val="center"/>
            </w:pPr>
            <w:r>
              <w:rPr>
                <w:rFonts w:ascii="Times New Roman" w:hAnsi="Times New Roman"/>
                <w:b w:val="0"/>
                <w:i w:val="0"/>
                <w:sz w:val="20"/>
              </w:rPr>
              <w:t>PKPD</w:t>
            </w:r>
          </w:p>
        </w:tc>
        <w:tc>
          <w:tcPr>
            <w:tcW w:type="dxa" w:w="6803"/>
            <w:shd w:val="clear" w:color="auto" w:fill="FFFFFF"/>
          </w:tcPr>
          <w:p>
            <w:pPr>
              <w:jc w:val="center"/>
            </w:pPr>
            <w:r>
              <w:rPr>
                <w:rFonts w:ascii="Times New Roman" w:hAnsi="Times New Roman"/>
                <w:b w:val="0"/>
                <w:i w:val="0"/>
                <w:sz w:val="20"/>
              </w:rPr>
              <w:t>Pharmacocinétique-Pharmacodynamique</w:t>
            </w:r>
          </w:p>
        </w:tc>
      </w:tr>
      <w:tr>
        <w:tc>
          <w:tcPr>
            <w:tcW w:type="dxa" w:w="1984"/>
            <w:shd w:val="clear" w:color="auto" w:fill="F2F2F2"/>
          </w:tcPr>
          <w:p>
            <w:pPr>
              <w:jc w:val="center"/>
            </w:pPr>
            <w:r>
              <w:rPr>
                <w:rFonts w:ascii="Times New Roman" w:hAnsi="Times New Roman"/>
                <w:b w:val="0"/>
                <w:i w:val="0"/>
                <w:sz w:val="20"/>
              </w:rPr>
              <w:t>Q3W</w:t>
            </w:r>
          </w:p>
        </w:tc>
        <w:tc>
          <w:tcPr>
            <w:tcW w:type="dxa" w:w="6803"/>
            <w:shd w:val="clear" w:color="auto" w:fill="F2F2F2"/>
          </w:tcPr>
          <w:p>
            <w:pPr>
              <w:jc w:val="center"/>
            </w:pPr>
            <w:r>
              <w:rPr>
                <w:rFonts w:ascii="Times New Roman" w:hAnsi="Times New Roman"/>
                <w:b w:val="0"/>
                <w:i w:val="0"/>
                <w:sz w:val="20"/>
              </w:rPr>
              <w:t>Every 3 weeks (toutes les 3 semaines)</w:t>
            </w:r>
          </w:p>
        </w:tc>
      </w:tr>
      <w:tr>
        <w:tc>
          <w:tcPr>
            <w:tcW w:type="dxa" w:w="1984"/>
            <w:shd w:val="clear" w:color="auto" w:fill="FFFFFF"/>
          </w:tcPr>
          <w:p>
            <w:pPr>
              <w:jc w:val="center"/>
            </w:pPr>
            <w:r>
              <w:rPr>
                <w:rFonts w:ascii="Times New Roman" w:hAnsi="Times New Roman"/>
                <w:b w:val="0"/>
                <w:i w:val="0"/>
                <w:sz w:val="20"/>
              </w:rPr>
              <w:t>RBC</w:t>
            </w:r>
          </w:p>
        </w:tc>
        <w:tc>
          <w:tcPr>
            <w:tcW w:type="dxa" w:w="6803"/>
            <w:shd w:val="clear" w:color="auto" w:fill="FFFFFF"/>
          </w:tcPr>
          <w:p>
            <w:pPr>
              <w:jc w:val="center"/>
            </w:pPr>
            <w:r>
              <w:rPr>
                <w:rFonts w:ascii="Times New Roman" w:hAnsi="Times New Roman"/>
                <w:b w:val="0"/>
                <w:i w:val="0"/>
                <w:sz w:val="20"/>
              </w:rPr>
              <w:t>Red Blood Cells (érythrocytes)</w:t>
            </w:r>
          </w:p>
        </w:tc>
      </w:tr>
      <w:tr>
        <w:tc>
          <w:tcPr>
            <w:tcW w:type="dxa" w:w="1984"/>
            <w:shd w:val="clear" w:color="auto" w:fill="F2F2F2"/>
          </w:tcPr>
          <w:p>
            <w:pPr>
              <w:jc w:val="center"/>
            </w:pPr>
            <w:r>
              <w:rPr>
                <w:rFonts w:ascii="Times New Roman" w:hAnsi="Times New Roman"/>
                <w:b w:val="0"/>
                <w:i w:val="0"/>
                <w:sz w:val="20"/>
              </w:rPr>
              <w:t>RMSE</w:t>
            </w:r>
          </w:p>
        </w:tc>
        <w:tc>
          <w:tcPr>
            <w:tcW w:type="dxa" w:w="6803"/>
            <w:shd w:val="clear" w:color="auto" w:fill="F2F2F2"/>
          </w:tcPr>
          <w:p>
            <w:pPr>
              <w:jc w:val="center"/>
            </w:pPr>
            <w:r>
              <w:rPr>
                <w:rFonts w:ascii="Times New Roman" w:hAnsi="Times New Roman"/>
                <w:b w:val="0"/>
                <w:i w:val="0"/>
                <w:sz w:val="20"/>
              </w:rPr>
              <w:t>Root Mean Square Error</w:t>
            </w:r>
          </w:p>
        </w:tc>
      </w:tr>
      <w:tr>
        <w:tc>
          <w:tcPr>
            <w:tcW w:type="dxa" w:w="1984"/>
            <w:shd w:val="clear" w:color="auto" w:fill="FFFFFF"/>
          </w:tcPr>
          <w:p>
            <w:pPr>
              <w:jc w:val="center"/>
            </w:pPr>
            <w:r>
              <w:rPr>
                <w:rFonts w:ascii="Times New Roman" w:hAnsi="Times New Roman"/>
                <w:b w:val="0"/>
                <w:i w:val="0"/>
                <w:sz w:val="20"/>
              </w:rPr>
              <w:t>T-DXd</w:t>
            </w:r>
          </w:p>
        </w:tc>
        <w:tc>
          <w:tcPr>
            <w:tcW w:type="dxa" w:w="6803"/>
            <w:shd w:val="clear" w:color="auto" w:fill="FFFFFF"/>
          </w:tcPr>
          <w:p>
            <w:pPr>
              <w:jc w:val="center"/>
            </w:pPr>
            <w:r>
              <w:rPr>
                <w:rFonts w:ascii="Times New Roman" w:hAnsi="Times New Roman"/>
                <w:b w:val="0"/>
                <w:i w:val="0"/>
                <w:sz w:val="20"/>
              </w:rPr>
              <w:t>Trastuzumab deruxtecan (Enhertu®)</w:t>
            </w:r>
          </w:p>
        </w:tc>
      </w:tr>
      <w:tr>
        <w:tc>
          <w:tcPr>
            <w:tcW w:type="dxa" w:w="1984"/>
            <w:shd w:val="clear" w:color="auto" w:fill="F2F2F2"/>
          </w:tcPr>
          <w:p>
            <w:pPr>
              <w:jc w:val="center"/>
            </w:pPr>
            <w:r>
              <w:rPr>
                <w:rFonts w:ascii="Times New Roman" w:hAnsi="Times New Roman"/>
                <w:b w:val="0"/>
                <w:i w:val="0"/>
                <w:sz w:val="20"/>
              </w:rPr>
              <w:t>V1/V2</w:t>
            </w:r>
          </w:p>
        </w:tc>
        <w:tc>
          <w:tcPr>
            <w:tcW w:type="dxa" w:w="6803"/>
            <w:shd w:val="clear" w:color="auto" w:fill="F2F2F2"/>
          </w:tcPr>
          <w:p>
            <w:pPr>
              <w:jc w:val="center"/>
            </w:pPr>
            <w:r>
              <w:rPr>
                <w:rFonts w:ascii="Times New Roman" w:hAnsi="Times New Roman"/>
                <w:b w:val="0"/>
                <w:i w:val="0"/>
                <w:sz w:val="20"/>
              </w:rPr>
              <w:t>Volume de distribution central/périphérique</w:t>
            </w:r>
          </w:p>
        </w:tc>
      </w:tr>
      <w:tr>
        <w:tc>
          <w:tcPr>
            <w:tcW w:type="dxa" w:w="1984"/>
            <w:shd w:val="clear" w:color="auto" w:fill="FFFFFF"/>
          </w:tcPr>
          <w:p>
            <w:pPr>
              <w:jc w:val="center"/>
            </w:pPr>
            <w:r>
              <w:rPr>
                <w:rFonts w:ascii="Times New Roman" w:hAnsi="Times New Roman"/>
                <w:b w:val="0"/>
                <w:i w:val="0"/>
                <w:sz w:val="20"/>
              </w:rPr>
              <w:t>VPC</w:t>
            </w:r>
          </w:p>
        </w:tc>
        <w:tc>
          <w:tcPr>
            <w:tcW w:type="dxa" w:w="6803"/>
            <w:shd w:val="clear" w:color="auto" w:fill="FFFFFF"/>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AUCinf : intégrale de la courbe concentration-temps extrapolée à l'infini</w:t>
      </w:r>
    </w:p>
    <w:p>
      <w:pPr>
        <w:spacing w:after="60"/>
        <w:ind w:left="283" w:hanging="227"/>
      </w:pPr>
      <w:r>
        <w:rPr>
          <w:rFonts w:ascii="Times New Roman" w:hAnsi="Times New Roman"/>
          <w:b w:val="0"/>
          <w:i w:val="0"/>
          <w:sz w:val="22"/>
        </w:rPr>
        <w:t>• CL_NCA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CL_NCA / β   [volume de distribution terminal]</w:t>
      </w:r>
    </w:p>
    <w:p>
      <w:pPr>
        <w:spacing w:after="60"/>
        <w:ind w:left="283" w:hanging="227"/>
      </w:pPr>
      <w:r>
        <w:rPr>
          <w:rFonts w:ascii="Times New Roman" w:hAnsi="Times New Roman"/>
          <w:b w:val="0"/>
          <w:i w:val="0"/>
          <w:sz w:val="22"/>
        </w:rPr>
        <w:t>• t½β = ln(2) / β   [demi-vie terminale]</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 correspondant à un effet de taille moyenne selon la classification de Cohen (1988).</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Cette section s'applique exclusivement à l'étape de simulation de population humaine (§3.2.2, T-DXd). Pour l'étude préclinique NHP (§3.3), les résultats sont décrits en termes de nadirs absolus (×10⁹/L pour les neutrophiles et plaquettes, ×10¹²/L pour les RBC) sans attribution de grade CTCAE, classification propre aux essais cliniques et non applicable aux études animales.</w:t>
      </w:r>
    </w:p>
    <w:p>
      <w:pPr>
        <w:spacing w:before="0" w:after="120"/>
        <w:ind w:firstLine="567"/>
        <w:jc w:val="both"/>
      </w:pPr>
      <w:r>
        <w:rPr>
          <w:rFonts w:ascii="Times New Roman" w:hAnsi="Times New Roman"/>
          <w:b w:val="0"/>
          <w:i w:val="0"/>
          <w:sz w:val="24"/>
        </w:rPr>
        <w:t>L'évaluation de la toxicité hématologique prédicte en population humaine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(40 mg/kg IV, toutes les 2 semaines, 8 cycles).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à l'exception d'un point isolé sur la courbe RBC à t=0 (résidu ~700%), identifié comme un artefact de digitalisation de la figure originale (valeur 1003 × 10⁹/L incohérente avec la baseline physiologique du rat ~8000 × 10⁹/L et avec le second point à t=0 = 8506 × 10⁹/L). Ce point a été exclu des métriques de validation. En l'excluant, les résidus restent inférieurs à 15% sur l'ensemble des profils, validant la fidélité de l'implémentation.</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 (hystérèse)</w:t>
      </w:r>
    </w:p>
    <w:p>
      <w:pPr>
        <w:spacing w:before="0" w:after="120"/>
        <w:ind w:firstLine="567"/>
        <w:jc w:val="both"/>
      </w:pPr>
      <w:r>
        <w:rPr>
          <w:rFonts w:ascii="Times New Roman" w:hAnsi="Times New Roman"/>
          <w:b w:val="0"/>
          <w:i w:val="0"/>
          <w:sz w:val="24"/>
        </w:rPr>
        <w:t>On parle d'hystérèse PK/PD lorsque la relation entre la concentration plasmatique et l'effet pharmacologique n'est pas instantanée : pour une même concentration, l'effet observé diffère selon que l'on se trouve en phase d'absorption ou d'élimination, formant une boucle caractéristique sur le graphe effet-concentration. Dans le contexte de la toxicité hématologique, ce phénomène traduit le fait que le nadir des cellules matures survient plusieurs jours à semaines après le pic de concentration plasmatique, en raison du temps de maturation des progéniteurs médullaires.</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de l'hématopoïèse est conservée entre espèces (MPP→CMP/MEP→cellules matures), ce qui permet une transposition raisonnée des paramètres physiologiques (baselines, temps de transit, feedbacks) par allométrie. Pour les paramètres PD (Slopes), la transposition repose sur l'hypothèse que la sensibilité cellulaire au payload est conservée entre espèces pour un même mécanisme d'action — hypothèse qui peut être mise en défaut si l'expression de la cible diffère entre espèces, et qui gagnerait à être validée par des données d'IC50 sur progéniteurs humains (CFU).</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after="60"/>
        <w:ind w:left="283" w:hanging="227"/>
      </w:pPr>
      <w:r>
        <w:rPr>
          <w:rFonts w:ascii="Times New Roman" w:hAnsi="Times New Roman"/>
          <w:b w:val="0"/>
          <w:i w:val="0"/>
          <w:sz w:val="22"/>
        </w:rPr>
        <w:t>• Intégration des données in vitro : le modèle peut être affiné en intégrant des mesures d'IC50 sur lignées hématopoïétiques spécifiques (CFU-GM, BFU-E), ancrant mécanistiquement le paramètre Slope dans une donnée expérimentale directe et réduisant l'incertitude sur la transposition inter-espèces</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Identification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de distributions 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L'extrapolation allométrique s'applique exclusivement aux paramètres PK — les paramètres PD (Slopes) étant supposés conservés entre espèces pour un même payload (cf. §4.5).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Pour les paramètres PD, l'hypothèse standard retenue est que la sensibilité cellulaire au payload — quantifiée par les Slopes — est conservée entre espèces pour un même mécanisme d'action. Les Slopes calibrés sur NHP sont donc utilisés directement comme point de départ pour l'humain, en l'absence de données d'IC50 sur progéniteurs humains (CFU). Cette hypothèse constitue une perspective de validation (mesure d'IC50 sur CFU-GM, BFU-E humains). Ces projections constituent une base de discussion pour la définition de la dose de départ en Premier-en-Homme (FIH), en cohérence avec la dose tolérée identifiée chez l'animal (NHP).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