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à partir de données issues de rats traités au carboplatine, afin d'établir un cadre méthodologique de référence.</w:t>
      </w:r>
    </w:p>
    <w:p>
      <w:pPr>
        <w:spacing w:after="60"/>
        <w:ind w:left="283" w:hanging="227"/>
      </w:pPr>
      <w:r>
        <w:rPr>
          <w:rFonts w:ascii="Times New Roman" w:hAnsi="Times New Roman"/>
          <w:b w:val="0"/>
          <w:i w:val="0"/>
          <w:sz w:val="22"/>
        </w:rPr>
        <w:t>• Appliquer ce cadre au T-DXd (trastuzumab deruxtecan), en développant une simulation de population virtuelle humaine (N=300) et en aboutissant à une prédiction des grades d'hématotoxicité CTCAE v5 en accord avec les données cliniques présentes dans le dossier soumis à la FDA (BLA 761139, DESTINY-Breast01, n=184).</w:t>
      </w:r>
    </w:p>
    <w:p>
      <w:pPr>
        <w:spacing w:after="60"/>
        <w:ind w:left="283" w:hanging="227"/>
      </w:pPr>
      <w:r>
        <w:rPr>
          <w:rFonts w:ascii="Times New Roman" w:hAnsi="Times New Roman"/>
          <w:b w:val="0"/>
          <w:i w:val="0"/>
          <w:sz w:val="22"/>
        </w:rPr>
        <w:t>• Appliquer le pipeline à un composé en développement interne à partir de données précliniques issues de primates non-humains (NHP) (n=8, 4 niveaux de dose), incluant une analyse non-compartimentale (NCA), un ajustement PK individuel à 2 compartiments et une calibration PD.</w:t>
      </w:r>
    </w:p>
    <w:p>
      <w:pPr>
        <w:spacing w:after="60"/>
        <w:ind w:left="283" w:hanging="227"/>
      </w:pPr>
      <w:r>
        <w:rPr>
          <w:rFonts w:ascii="Times New Roman" w:hAnsi="Times New Roman"/>
          <w:b w:val="0"/>
          <w:i w:val="0"/>
          <w:sz w:val="22"/>
        </w:rPr>
        <w:t>• Établir les bases d'une transposition clinique basée sur les paramètres NHP, en s'appuyant sur les connaissances accumulées sur le T-DXd.</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jc w:val="center"/>
      </w:pPr>
      <w:r>
        <w:rPr>
          <w:rFonts w:ascii="Times New Roman" w:hAnsi="Times New Roman"/>
          <w:b w:val="0"/>
          <w:i/>
          <w:color w:val="646464"/>
          <w:sz w:val="20"/>
        </w:rPr>
        <w:t>[Figure — Insérer ici : schéma de l'architecture compartimentale de Fornari (2019)]</w:t>
      </w:r>
    </w:p>
    <w:p>
      <w:pPr>
        <w:jc w:val="center"/>
      </w:pPr>
      <w:r>
        <w:rPr>
          <w:rFonts w:ascii="Times New Roman" w:hAnsi="Times New Roman"/>
          <w:b w:val="0"/>
          <w:i/>
          <w:sz w:val="20"/>
        </w:rPr>
        <w:t>Figure 0. Architecture compartimentale du modèle de Fornari (2019) : cascade de différenciation hématopoïétique de la moelle osseuse (MPP → CMP/MEP → cellules matures) vers le sang. Les triangles rouges indiquent les sites d'action du médicament ; les flèches courbes, les rétrocontrôles homéostatiques.</w:t>
      </w:r>
    </w:p>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Cmax : concentration maximale observée</w:t>
      </w:r>
    </w:p>
    <w:p>
      <w:pPr>
        <w:spacing w:after="60"/>
        <w:ind w:left="283" w:hanging="227"/>
      </w:pPr>
      <w:r>
        <w:rPr>
          <w:rFonts w:ascii="Times New Roman" w:hAnsi="Times New Roman"/>
          <w:b w:val="0"/>
          <w:i w:val="0"/>
          <w:sz w:val="22"/>
        </w:rPr>
        <w:t>• Tmax : temps correspondant à Cmax</w:t>
      </w:r>
    </w:p>
    <w:p>
      <w:pPr>
        <w:spacing w:after="60"/>
        <w:ind w:left="283" w:hanging="227"/>
      </w:pPr>
      <w:r>
        <w:rPr>
          <w:rFonts w:ascii="Times New Roman" w:hAnsi="Times New Roman"/>
          <w:b w:val="0"/>
          <w:i w:val="0"/>
          <w:sz w:val="22"/>
        </w:rPr>
        <w:t>• AUClast : intégrale par méthode des trapèzes linéaires jusqu'au dernier point quantifiable</w:t>
      </w:r>
    </w:p>
    <w:p>
      <w:pPr>
        <w:spacing w:after="60"/>
        <w:ind w:left="283" w:hanging="227"/>
      </w:pPr>
      <w:r>
        <w:rPr>
          <w:rFonts w:ascii="Times New Roman" w:hAnsi="Times New Roman"/>
          <w:b w:val="0"/>
          <w:i w:val="0"/>
          <w:sz w:val="22"/>
        </w:rPr>
        <w:t>• AUCinf = AUClast + Clast/β   [extrapolation à l'infini]</w:t>
      </w:r>
    </w:p>
    <w:p>
      <w:pPr>
        <w:spacing w:after="60"/>
        <w:ind w:left="283" w:hanging="227"/>
      </w:pPr>
      <w:r>
        <w:rPr>
          <w:rFonts w:ascii="Times New Roman" w:hAnsi="Times New Roman"/>
          <w:b w:val="0"/>
          <w:i w:val="0"/>
          <w:sz w:val="22"/>
        </w:rPr>
        <w:t>• t½β = ln(2) / β   [demi-vie terminale, estimée sur la phase log-linéaire terminale]</w:t>
      </w:r>
    </w:p>
    <w:p>
      <w:pPr>
        <w:spacing w:after="60"/>
        <w:ind w:left="283" w:hanging="227"/>
      </w:pPr>
      <w:r>
        <w:rPr>
          <w:rFonts w:ascii="Times New Roman" w:hAnsi="Times New Roman"/>
          <w:b w:val="0"/>
          <w:i w:val="0"/>
          <w:sz w:val="22"/>
        </w:rPr>
        <w:t>• CL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 / β   [volume de distribution terminal]</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r>
        <w:rPr>
          <w:rFonts w:ascii="Times New Roman" w:hAnsi="Times New Roman"/>
          <w:b w:val="0"/>
          <w:i/>
          <w:sz w:val="20"/>
        </w:rPr>
        <w:t>Tableau 3. Paramètres de la simulation de population virtuelle (T-DXd, N=300). Valeurs typiques et variabilité inter-individuelle (CV%) pour les paramètres PK (issus de l'analyse de population FDA, BLA 761139) et PD (calibration rat). Les paramètres individuels sont tirés selon θᵢ = θ_pop × exp(ηᵢ), ηᵢ ~ N(0, ω²).</w:t>
      </w:r>
    </w:p>
    <w:p/>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 cf. §2.7 pour la définition des seuils),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issues d'un rapport réglementaire, ne comportent pas de profils individuels de cytopénie en fonction du temps. Elles fournissent uniquement les pourcentages de patients ayant atteint chaque grade de toxicité sur l'ensemble du traitement (grade maximal par patient). La validation des simulations repose donc sur la comparaison de ces distributions de grades, qui constituent la seule métrique disponible pour ce type de données.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perfusion intraveineuse de 1 heure, toutes les 2 semaines, 8 cycles). Les principales caractéristiques cinétiques sont retrouvées :</w:t>
      </w:r>
    </w:p>
    <w:p>
      <w:pPr>
        <w:spacing w:after="60"/>
        <w:ind w:left="283" w:hanging="227"/>
      </w:pPr>
      <w:r>
        <w:rPr>
          <w:rFonts w:ascii="Times New Roman" w:hAnsi="Times New Roman"/>
          <w:b w:val="0"/>
          <w:i w:val="0"/>
          <w:sz w:val="22"/>
        </w:rPr>
        <w:t>• Neutrophiles et monocytes : les concentrations diminuent progressivement au fil des 8 cycles sans jamais retrouver leur valeur initiale. Chaque administration aggrave la dépression précédente, traduisant une myélosuppression cumulative (réduction progressive de la capacité de production cellulaire par la moelle osseuse).</w:t>
      </w:r>
    </w:p>
    <w:p>
      <w:pPr>
        <w:spacing w:after="60"/>
        <w:ind w:left="283" w:hanging="227"/>
      </w:pPr>
      <w:r>
        <w:rPr>
          <w:rFonts w:ascii="Times New Roman" w:hAnsi="Times New Roman"/>
          <w:b w:val="0"/>
          <w:i w:val="0"/>
          <w:sz w:val="22"/>
        </w:rPr>
        <w:t>• Réticulocytes et plaquettes : chaque injection provoque une chute rapide suivie d'une remontée partielle avant la dose suivante — les cellules n'ont pas le temps de récupérer complètement entre deux cycles. Le nadir survient environ 10 à 12 jours après chaque administration.</w:t>
      </w:r>
    </w:p>
    <w:p>
      <w:pPr>
        <w:spacing w:after="60"/>
        <w:ind w:left="283" w:hanging="227"/>
      </w:pPr>
      <w:r>
        <w:rPr>
          <w:rFonts w:ascii="Times New Roman" w:hAnsi="Times New Roman"/>
          <w:b w:val="0"/>
          <w:i w:val="0"/>
          <w:sz w:val="22"/>
        </w:rPr>
        <w:t>• Progéniteurs médullaires (MPP, CMP, MEP) : le modèle reproduit les grandes oscillations observées. Les données digitalisées présentent une variabilité importante (cellules rares, difficile à quantifier avec précision sur les figures originales), ce qui explique les résidus plus élevés du Tableau 5.</w:t>
      </w:r>
    </w:p>
    <w:p>
      <w:pPr>
        <w:spacing w:before="0" w:after="120"/>
        <w:ind w:firstLine="567"/>
        <w:jc w:val="both"/>
      </w:pPr>
      <w:r>
        <w:rPr>
          <w:rFonts w:ascii="Times New Roman" w:hAnsi="Times New Roman"/>
          <w:b w:val="0"/>
          <w:i w:val="0"/>
          <w:sz w:val="24"/>
        </w:rPr>
        <w:t>Les métriques quantitatives de validation sont résumées dans le Tableau 5 ci-dessous. Trois métriques complémentaires sont calculées sur les valeurs simulées vs observées : le RMSE relatif (100 × √mean((pred−obs)²/obs²)), le résidu médian (100 × median(|pred−obs|/obs)) et le biais maximum (100 × max(|pred−obs|/obs)). Un ajustement est jugé satisfaisant si le RMSE relatif est inférieur à 10%.</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134"/>
            <w:shd w:val="clear" w:color="auto" w:fill="2C3E50"/>
          </w:tcPr>
          <w:p>
            <w:pPr>
              <w:jc w:val="center"/>
            </w:pPr>
            <w:r>
              <w:rPr>
                <w:rFonts w:ascii="Times New Roman" w:hAnsi="Times New Roman"/>
                <w:b/>
                <w:i w:val="0"/>
                <w:color w:val="FFFFFF"/>
                <w:sz w:val="20"/>
              </w:rPr>
              <w:t>Lignée</w:t>
            </w:r>
          </w:p>
        </w:tc>
        <w:tc>
          <w:tcPr>
            <w:tcW w:type="dxa" w:w="1701"/>
            <w:shd w:val="clear" w:color="auto" w:fill="2C3E50"/>
          </w:tcPr>
          <w:p>
            <w:pPr>
              <w:jc w:val="center"/>
            </w:pPr>
            <w:r>
              <w:rPr>
                <w:rFonts w:ascii="Times New Roman" w:hAnsi="Times New Roman"/>
                <w:b/>
                <w:i w:val="0"/>
                <w:color w:val="FFFFFF"/>
                <w:sz w:val="20"/>
              </w:rPr>
              <w:t>RMSE rel. (%)</w:t>
            </w:r>
          </w:p>
        </w:tc>
        <w:tc>
          <w:tcPr>
            <w:tcW w:type="dxa" w:w="1984"/>
            <w:shd w:val="clear" w:color="auto" w:fill="2C3E50"/>
          </w:tcPr>
          <w:p>
            <w:pPr>
              <w:jc w:val="center"/>
            </w:pPr>
            <w:r>
              <w:rPr>
                <w:rFonts w:ascii="Times New Roman" w:hAnsi="Times New Roman"/>
                <w:b/>
                <w:i w:val="0"/>
                <w:color w:val="FFFFFF"/>
                <w:sz w:val="20"/>
              </w:rPr>
              <w:t>Résidu médian (%)</w:t>
            </w:r>
          </w:p>
        </w:tc>
        <w:tc>
          <w:tcPr>
            <w:tcW w:type="dxa" w:w="1701"/>
            <w:shd w:val="clear" w:color="auto" w:fill="2C3E50"/>
          </w:tcPr>
          <w:p>
            <w:pPr>
              <w:jc w:val="center"/>
            </w:pPr>
            <w:r>
              <w:rPr>
                <w:rFonts w:ascii="Times New Roman" w:hAnsi="Times New Roman"/>
                <w:b/>
                <w:i w:val="0"/>
                <w:color w:val="FFFFFF"/>
                <w:sz w:val="20"/>
              </w:rPr>
              <w:t>Biais max (%)</w:t>
            </w:r>
          </w:p>
        </w:tc>
        <w:tc>
          <w:tcPr>
            <w:tcW w:type="dxa" w:w="2268"/>
            <w:shd w:val="clear" w:color="auto" w:fill="2C3E50"/>
          </w:tcPr>
          <w:p>
            <w:pPr>
              <w:jc w:val="center"/>
            </w:pPr>
            <w:r>
              <w:rPr>
                <w:rFonts w:ascii="Times New Roman" w:hAnsi="Times New Roman"/>
                <w:b/>
                <w:i w:val="0"/>
                <w:color w:val="FFFFFF"/>
                <w:sz w:val="20"/>
              </w:rPr>
              <w:t>Statut</w:t>
            </w:r>
          </w:p>
        </w:tc>
      </w:tr>
      <w:tr>
        <w:tc>
          <w:tcPr>
            <w:tcW w:type="dxa" w:w="1134"/>
            <w:shd w:val="clear" w:color="auto" w:fill="F2F2F2"/>
          </w:tcPr>
          <w:p>
            <w:pPr>
              <w:jc w:val="center"/>
            </w:pPr>
            <w:r>
              <w:rPr>
                <w:rFonts w:ascii="Times New Roman" w:hAnsi="Times New Roman"/>
                <w:b w:val="0"/>
                <w:i w:val="0"/>
                <w:sz w:val="20"/>
              </w:rPr>
              <w:t>MPP</w:t>
            </w:r>
          </w:p>
        </w:tc>
        <w:tc>
          <w:tcPr>
            <w:tcW w:type="dxa" w:w="1701"/>
            <w:shd w:val="clear" w:color="auto" w:fill="F2F2F2"/>
          </w:tcPr>
          <w:p>
            <w:pPr>
              <w:jc w:val="center"/>
            </w:pPr>
            <w:r>
              <w:rPr>
                <w:rFonts w:ascii="Times New Roman" w:hAnsi="Times New Roman"/>
                <w:b w:val="0"/>
                <w:i w:val="0"/>
                <w:sz w:val="20"/>
              </w:rPr>
              <w:t>39,96</w:t>
            </w:r>
          </w:p>
        </w:tc>
        <w:tc>
          <w:tcPr>
            <w:tcW w:type="dxa" w:w="1984"/>
            <w:shd w:val="clear" w:color="auto" w:fill="F2F2F2"/>
          </w:tcPr>
          <w:p>
            <w:pPr>
              <w:jc w:val="center"/>
            </w:pPr>
            <w:r>
              <w:rPr>
                <w:rFonts w:ascii="Times New Roman" w:hAnsi="Times New Roman"/>
                <w:b w:val="0"/>
                <w:i w:val="0"/>
                <w:sz w:val="20"/>
              </w:rPr>
              <w:t>26,96</w:t>
            </w:r>
          </w:p>
        </w:tc>
        <w:tc>
          <w:tcPr>
            <w:tcW w:type="dxa" w:w="1701"/>
            <w:shd w:val="clear" w:color="auto" w:fill="F2F2F2"/>
          </w:tcPr>
          <w:p>
            <w:pPr>
              <w:jc w:val="center"/>
            </w:pPr>
            <w:r>
              <w:rPr>
                <w:rFonts w:ascii="Times New Roman" w:hAnsi="Times New Roman"/>
                <w:b w:val="0"/>
                <w:i w:val="0"/>
                <w:sz w:val="20"/>
              </w:rPr>
              <w:t>76,80</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CMP</w:t>
            </w:r>
          </w:p>
        </w:tc>
        <w:tc>
          <w:tcPr>
            <w:tcW w:type="dxa" w:w="1701"/>
            <w:shd w:val="clear" w:color="auto" w:fill="FFFFFF"/>
          </w:tcPr>
          <w:p>
            <w:pPr>
              <w:jc w:val="center"/>
            </w:pPr>
            <w:r>
              <w:rPr>
                <w:rFonts w:ascii="Times New Roman" w:hAnsi="Times New Roman"/>
                <w:b w:val="0"/>
                <w:i w:val="0"/>
                <w:sz w:val="20"/>
              </w:rPr>
              <w:t>3,63</w:t>
            </w:r>
          </w:p>
        </w:tc>
        <w:tc>
          <w:tcPr>
            <w:tcW w:type="dxa" w:w="1984"/>
            <w:shd w:val="clear" w:color="auto" w:fill="FFFFFF"/>
          </w:tcPr>
          <w:p>
            <w:pPr>
              <w:jc w:val="center"/>
            </w:pPr>
            <w:r>
              <w:rPr>
                <w:rFonts w:ascii="Times New Roman" w:hAnsi="Times New Roman"/>
                <w:b w:val="0"/>
                <w:i w:val="0"/>
                <w:sz w:val="20"/>
              </w:rPr>
              <w:t>2,37</w:t>
            </w:r>
          </w:p>
        </w:tc>
        <w:tc>
          <w:tcPr>
            <w:tcW w:type="dxa" w:w="1701"/>
            <w:shd w:val="clear" w:color="auto" w:fill="FFFFFF"/>
          </w:tcPr>
          <w:p>
            <w:pPr>
              <w:jc w:val="center"/>
            </w:pPr>
            <w:r>
              <w:rPr>
                <w:rFonts w:ascii="Times New Roman" w:hAnsi="Times New Roman"/>
                <w:b w:val="0"/>
                <w:i w:val="0"/>
                <w:sz w:val="20"/>
              </w:rPr>
              <w:t>10,46</w:t>
            </w:r>
          </w:p>
        </w:tc>
        <w:tc>
          <w:tcPr>
            <w:tcW w:type="dxa" w:w="2268"/>
            <w:shd w:val="clear" w:color="auto" w:fill="FFFFFF"/>
          </w:tcPr>
          <w:p>
            <w:pPr>
              <w:jc w:val="center"/>
            </w:pPr>
            <w:r>
              <w:rPr>
                <w:rFonts w:ascii="Times New Roman" w:hAnsi="Times New Roman"/>
                <w:b w:val="0"/>
                <w:i w:val="0"/>
                <w:sz w:val="20"/>
              </w:rPr>
              <w:t>✓ Satisfaisant</w:t>
            </w:r>
          </w:p>
        </w:tc>
      </w:tr>
      <w:tr>
        <w:tc>
          <w:tcPr>
            <w:tcW w:type="dxa" w:w="1134"/>
            <w:shd w:val="clear" w:color="auto" w:fill="F2F2F2"/>
          </w:tcPr>
          <w:p>
            <w:pPr>
              <w:jc w:val="center"/>
            </w:pPr>
            <w:r>
              <w:rPr>
                <w:rFonts w:ascii="Times New Roman" w:hAnsi="Times New Roman"/>
                <w:b w:val="0"/>
                <w:i w:val="0"/>
                <w:sz w:val="20"/>
              </w:rPr>
              <w:t>MEP</w:t>
            </w:r>
          </w:p>
        </w:tc>
        <w:tc>
          <w:tcPr>
            <w:tcW w:type="dxa" w:w="1701"/>
            <w:shd w:val="clear" w:color="auto" w:fill="F2F2F2"/>
          </w:tcPr>
          <w:p>
            <w:pPr>
              <w:jc w:val="center"/>
            </w:pPr>
            <w:r>
              <w:rPr>
                <w:rFonts w:ascii="Times New Roman" w:hAnsi="Times New Roman"/>
                <w:b w:val="0"/>
                <w:i w:val="0"/>
                <w:sz w:val="20"/>
              </w:rPr>
              <w:t>58,69</w:t>
            </w:r>
          </w:p>
        </w:tc>
        <w:tc>
          <w:tcPr>
            <w:tcW w:type="dxa" w:w="1984"/>
            <w:shd w:val="clear" w:color="auto" w:fill="F2F2F2"/>
          </w:tcPr>
          <w:p>
            <w:pPr>
              <w:jc w:val="center"/>
            </w:pPr>
            <w:r>
              <w:rPr>
                <w:rFonts w:ascii="Times New Roman" w:hAnsi="Times New Roman"/>
                <w:b w:val="0"/>
                <w:i w:val="0"/>
                <w:sz w:val="20"/>
              </w:rPr>
              <w:t>50,69</w:t>
            </w:r>
          </w:p>
        </w:tc>
        <w:tc>
          <w:tcPr>
            <w:tcW w:type="dxa" w:w="1701"/>
            <w:shd w:val="clear" w:color="auto" w:fill="F2F2F2"/>
          </w:tcPr>
          <w:p>
            <w:pPr>
              <w:jc w:val="center"/>
            </w:pPr>
            <w:r>
              <w:rPr>
                <w:rFonts w:ascii="Times New Roman" w:hAnsi="Times New Roman"/>
                <w:b w:val="0"/>
                <w:i w:val="0"/>
                <w:sz w:val="20"/>
              </w:rPr>
              <w:t>91,19</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Neut</w:t>
            </w:r>
          </w:p>
        </w:tc>
        <w:tc>
          <w:tcPr>
            <w:tcW w:type="dxa" w:w="1701"/>
            <w:shd w:val="clear" w:color="auto" w:fill="FFFFFF"/>
          </w:tcPr>
          <w:p>
            <w:pPr>
              <w:jc w:val="center"/>
            </w:pPr>
            <w:r>
              <w:rPr>
                <w:rFonts w:ascii="Times New Roman" w:hAnsi="Times New Roman"/>
                <w:b w:val="0"/>
                <w:i w:val="0"/>
                <w:sz w:val="20"/>
              </w:rPr>
              <w:t>3,78</w:t>
            </w:r>
          </w:p>
        </w:tc>
        <w:tc>
          <w:tcPr>
            <w:tcW w:type="dxa" w:w="1984"/>
            <w:shd w:val="clear" w:color="auto" w:fill="FFFFFF"/>
          </w:tcPr>
          <w:p>
            <w:pPr>
              <w:jc w:val="center"/>
            </w:pPr>
            <w:r>
              <w:rPr>
                <w:rFonts w:ascii="Times New Roman" w:hAnsi="Times New Roman"/>
                <w:b w:val="0"/>
                <w:i w:val="0"/>
                <w:sz w:val="20"/>
              </w:rPr>
              <w:t>2,67</w:t>
            </w:r>
          </w:p>
        </w:tc>
        <w:tc>
          <w:tcPr>
            <w:tcW w:type="dxa" w:w="1701"/>
            <w:shd w:val="clear" w:color="auto" w:fill="FFFFFF"/>
          </w:tcPr>
          <w:p>
            <w:pPr>
              <w:jc w:val="center"/>
            </w:pPr>
            <w:r>
              <w:rPr>
                <w:rFonts w:ascii="Times New Roman" w:hAnsi="Times New Roman"/>
                <w:b w:val="0"/>
                <w:i w:val="0"/>
                <w:sz w:val="20"/>
              </w:rPr>
              <w:t>7,83</w:t>
            </w:r>
          </w:p>
        </w:tc>
        <w:tc>
          <w:tcPr>
            <w:tcW w:type="dxa" w:w="2268"/>
            <w:shd w:val="clear" w:color="auto" w:fill="FFFFFF"/>
          </w:tcPr>
          <w:p>
            <w:pPr>
              <w:jc w:val="center"/>
            </w:pPr>
            <w:r>
              <w:rPr>
                <w:rFonts w:ascii="Times New Roman" w:hAnsi="Times New Roman"/>
                <w:b w:val="0"/>
                <w:i w:val="0"/>
                <w:sz w:val="20"/>
              </w:rPr>
              <w:t>✓ Satisfaisant</w:t>
            </w:r>
          </w:p>
        </w:tc>
      </w:tr>
      <w:tr>
        <w:tc>
          <w:tcPr>
            <w:tcW w:type="dxa" w:w="1134"/>
            <w:shd w:val="clear" w:color="auto" w:fill="F2F2F2"/>
          </w:tcPr>
          <w:p>
            <w:pPr>
              <w:jc w:val="center"/>
            </w:pPr>
            <w:r>
              <w:rPr>
                <w:rFonts w:ascii="Times New Roman" w:hAnsi="Times New Roman"/>
                <w:b w:val="0"/>
                <w:i w:val="0"/>
                <w:sz w:val="20"/>
              </w:rPr>
              <w:t>Mono</w:t>
            </w:r>
          </w:p>
        </w:tc>
        <w:tc>
          <w:tcPr>
            <w:tcW w:type="dxa" w:w="1701"/>
            <w:shd w:val="clear" w:color="auto" w:fill="F2F2F2"/>
          </w:tcPr>
          <w:p>
            <w:pPr>
              <w:jc w:val="center"/>
            </w:pPr>
            <w:r>
              <w:rPr>
                <w:rFonts w:ascii="Times New Roman" w:hAnsi="Times New Roman"/>
                <w:b w:val="0"/>
                <w:i w:val="0"/>
                <w:sz w:val="20"/>
              </w:rPr>
              <w:t>5,46</w:t>
            </w:r>
          </w:p>
        </w:tc>
        <w:tc>
          <w:tcPr>
            <w:tcW w:type="dxa" w:w="1984"/>
            <w:shd w:val="clear" w:color="auto" w:fill="F2F2F2"/>
          </w:tcPr>
          <w:p>
            <w:pPr>
              <w:jc w:val="center"/>
            </w:pPr>
            <w:r>
              <w:rPr>
                <w:rFonts w:ascii="Times New Roman" w:hAnsi="Times New Roman"/>
                <w:b w:val="0"/>
                <w:i w:val="0"/>
                <w:sz w:val="20"/>
              </w:rPr>
              <w:t>2,71</w:t>
            </w:r>
          </w:p>
        </w:tc>
        <w:tc>
          <w:tcPr>
            <w:tcW w:type="dxa" w:w="1701"/>
            <w:shd w:val="clear" w:color="auto" w:fill="F2F2F2"/>
          </w:tcPr>
          <w:p>
            <w:pPr>
              <w:jc w:val="center"/>
            </w:pPr>
            <w:r>
              <w:rPr>
                <w:rFonts w:ascii="Times New Roman" w:hAnsi="Times New Roman"/>
                <w:b w:val="0"/>
                <w:i w:val="0"/>
                <w:sz w:val="20"/>
              </w:rPr>
              <w:t>15,12</w:t>
            </w:r>
          </w:p>
        </w:tc>
        <w:tc>
          <w:tcPr>
            <w:tcW w:type="dxa" w:w="2268"/>
            <w:shd w:val="clear" w:color="auto" w:fill="F2F2F2"/>
          </w:tcPr>
          <w:p>
            <w:pPr>
              <w:jc w:val="center"/>
            </w:pPr>
            <w:r>
              <w:rPr>
                <w:rFonts w:ascii="Times New Roman" w:hAnsi="Times New Roman"/>
                <w:b w:val="0"/>
                <w:i w:val="0"/>
                <w:sz w:val="20"/>
              </w:rPr>
              <w:t>✓ Satisfaisant</w:t>
            </w:r>
          </w:p>
        </w:tc>
      </w:tr>
      <w:tr>
        <w:tc>
          <w:tcPr>
            <w:tcW w:type="dxa" w:w="1134"/>
            <w:shd w:val="clear" w:color="auto" w:fill="FFFFFF"/>
          </w:tcPr>
          <w:p>
            <w:pPr>
              <w:jc w:val="center"/>
            </w:pPr>
            <w:r>
              <w:rPr>
                <w:rFonts w:ascii="Times New Roman" w:hAnsi="Times New Roman"/>
                <w:b w:val="0"/>
                <w:i w:val="0"/>
                <w:sz w:val="20"/>
              </w:rPr>
              <w:t>Plt</w:t>
            </w:r>
          </w:p>
        </w:tc>
        <w:tc>
          <w:tcPr>
            <w:tcW w:type="dxa" w:w="1701"/>
            <w:shd w:val="clear" w:color="auto" w:fill="FFFFFF"/>
          </w:tcPr>
          <w:p>
            <w:pPr>
              <w:jc w:val="center"/>
            </w:pPr>
            <w:r>
              <w:rPr>
                <w:rFonts w:ascii="Times New Roman" w:hAnsi="Times New Roman"/>
                <w:b w:val="0"/>
                <w:i w:val="0"/>
                <w:sz w:val="20"/>
              </w:rPr>
              <w:t>33,27</w:t>
            </w:r>
          </w:p>
        </w:tc>
        <w:tc>
          <w:tcPr>
            <w:tcW w:type="dxa" w:w="1984"/>
            <w:shd w:val="clear" w:color="auto" w:fill="FFFFFF"/>
          </w:tcPr>
          <w:p>
            <w:pPr>
              <w:jc w:val="center"/>
            </w:pPr>
            <w:r>
              <w:rPr>
                <w:rFonts w:ascii="Times New Roman" w:hAnsi="Times New Roman"/>
                <w:b w:val="0"/>
                <w:i w:val="0"/>
                <w:sz w:val="20"/>
              </w:rPr>
              <w:t>25,67</w:t>
            </w:r>
          </w:p>
        </w:tc>
        <w:tc>
          <w:tcPr>
            <w:tcW w:type="dxa" w:w="1701"/>
            <w:shd w:val="clear" w:color="auto" w:fill="FFFFFF"/>
          </w:tcPr>
          <w:p>
            <w:pPr>
              <w:jc w:val="center"/>
            </w:pPr>
            <w:r>
              <w:rPr>
                <w:rFonts w:ascii="Times New Roman" w:hAnsi="Times New Roman"/>
                <w:b w:val="0"/>
                <w:i w:val="0"/>
                <w:sz w:val="20"/>
              </w:rPr>
              <w:t>90,07</w:t>
            </w:r>
          </w:p>
        </w:tc>
        <w:tc>
          <w:tcPr>
            <w:tcW w:type="dxa" w:w="2268"/>
            <w:shd w:val="clear" w:color="auto" w:fill="FFFFFF"/>
          </w:tcPr>
          <w:p>
            <w:pPr>
              <w:jc w:val="center"/>
            </w:pPr>
            <w:r>
              <w:rPr>
                <w:rFonts w:ascii="Times New Roman" w:hAnsi="Times New Roman"/>
                <w:b w:val="0"/>
                <w:i w:val="0"/>
                <w:sz w:val="20"/>
              </w:rPr>
              <w:t>⚠ Partiel</w:t>
            </w:r>
          </w:p>
        </w:tc>
      </w:tr>
      <w:tr>
        <w:tc>
          <w:tcPr>
            <w:tcW w:type="dxa" w:w="1134"/>
            <w:shd w:val="clear" w:color="auto" w:fill="F2F2F2"/>
          </w:tcPr>
          <w:p>
            <w:pPr>
              <w:jc w:val="center"/>
            </w:pPr>
            <w:r>
              <w:rPr>
                <w:rFonts w:ascii="Times New Roman" w:hAnsi="Times New Roman"/>
                <w:b w:val="0"/>
                <w:i w:val="0"/>
                <w:sz w:val="20"/>
              </w:rPr>
              <w:t>Ret</w:t>
            </w:r>
          </w:p>
        </w:tc>
        <w:tc>
          <w:tcPr>
            <w:tcW w:type="dxa" w:w="1701"/>
            <w:shd w:val="clear" w:color="auto" w:fill="F2F2F2"/>
          </w:tcPr>
          <w:p>
            <w:pPr>
              <w:jc w:val="center"/>
            </w:pPr>
            <w:r>
              <w:rPr>
                <w:rFonts w:ascii="Times New Roman" w:hAnsi="Times New Roman"/>
                <w:b w:val="0"/>
                <w:i w:val="0"/>
                <w:sz w:val="20"/>
              </w:rPr>
              <w:t>46,23</w:t>
            </w:r>
          </w:p>
        </w:tc>
        <w:tc>
          <w:tcPr>
            <w:tcW w:type="dxa" w:w="1984"/>
            <w:shd w:val="clear" w:color="auto" w:fill="F2F2F2"/>
          </w:tcPr>
          <w:p>
            <w:pPr>
              <w:jc w:val="center"/>
            </w:pPr>
            <w:r>
              <w:rPr>
                <w:rFonts w:ascii="Times New Roman" w:hAnsi="Times New Roman"/>
                <w:b w:val="0"/>
                <w:i w:val="0"/>
                <w:sz w:val="20"/>
              </w:rPr>
              <w:t>40,97</w:t>
            </w:r>
          </w:p>
        </w:tc>
        <w:tc>
          <w:tcPr>
            <w:tcW w:type="dxa" w:w="1701"/>
            <w:shd w:val="clear" w:color="auto" w:fill="F2F2F2"/>
          </w:tcPr>
          <w:p>
            <w:pPr>
              <w:jc w:val="center"/>
            </w:pPr>
            <w:r>
              <w:rPr>
                <w:rFonts w:ascii="Times New Roman" w:hAnsi="Times New Roman"/>
                <w:b w:val="0"/>
                <w:i w:val="0"/>
                <w:sz w:val="20"/>
              </w:rPr>
              <w:t>106,74</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RBC</w:t>
            </w:r>
          </w:p>
        </w:tc>
        <w:tc>
          <w:tcPr>
            <w:tcW w:type="dxa" w:w="1701"/>
            <w:shd w:val="clear" w:color="auto" w:fill="FFFFFF"/>
          </w:tcPr>
          <w:p>
            <w:pPr>
              <w:jc w:val="center"/>
            </w:pPr>
            <w:r>
              <w:rPr>
                <w:rFonts w:ascii="Times New Roman" w:hAnsi="Times New Roman"/>
                <w:b w:val="0"/>
                <w:i w:val="0"/>
                <w:sz w:val="20"/>
              </w:rPr>
              <w:t>2,74</w:t>
            </w:r>
          </w:p>
        </w:tc>
        <w:tc>
          <w:tcPr>
            <w:tcW w:type="dxa" w:w="1984"/>
            <w:shd w:val="clear" w:color="auto" w:fill="FFFFFF"/>
          </w:tcPr>
          <w:p>
            <w:pPr>
              <w:jc w:val="center"/>
            </w:pPr>
            <w:r>
              <w:rPr>
                <w:rFonts w:ascii="Times New Roman" w:hAnsi="Times New Roman"/>
                <w:b w:val="0"/>
                <w:i w:val="0"/>
                <w:sz w:val="20"/>
              </w:rPr>
              <w:t>2,78</w:t>
            </w:r>
          </w:p>
        </w:tc>
        <w:tc>
          <w:tcPr>
            <w:tcW w:type="dxa" w:w="1701"/>
            <w:shd w:val="clear" w:color="auto" w:fill="FFFFFF"/>
          </w:tcPr>
          <w:p>
            <w:pPr>
              <w:jc w:val="center"/>
            </w:pPr>
            <w:r>
              <w:rPr>
                <w:rFonts w:ascii="Times New Roman" w:hAnsi="Times New Roman"/>
                <w:b w:val="0"/>
                <w:i w:val="0"/>
                <w:sz w:val="20"/>
              </w:rPr>
              <w:t>4,05</w:t>
            </w:r>
          </w:p>
        </w:tc>
        <w:tc>
          <w:tcPr>
            <w:tcW w:type="dxa" w:w="2268"/>
            <w:shd w:val="clear" w:color="auto" w:fill="FFFFFF"/>
          </w:tcPr>
          <w:p>
            <w:pPr>
              <w:jc w:val="center"/>
            </w:pPr>
            <w:r>
              <w:rPr>
                <w:rFonts w:ascii="Times New Roman" w:hAnsi="Times New Roman"/>
                <w:b w:val="0"/>
                <w:i w:val="0"/>
                <w:sz w:val="20"/>
              </w:rPr>
              <w:t>✓ Satisfaisant*</w:t>
            </w:r>
          </w:p>
        </w:tc>
      </w:tr>
    </w:tbl>
    <w:p>
      <w:r>
        <w:rPr>
          <w:rFonts w:ascii="Times New Roman" w:hAnsi="Times New Roman"/>
          <w:b w:val="0"/>
          <w:i/>
          <w:sz w:val="20"/>
        </w:rPr>
        <w:t>Tableau 5. Métriques de validation — simulation vs données Fornari (2019), rat traité au carboplatine 40 mg/kg Q14D ×8 cycles. * RBC : le point t=0 incohérent avec la baseline physiologique du rat (valeur digitalisée 1003 × 10⁹/L vs ~8000 × 10⁹/L attendus) a été exclu du calcul.</w:t>
      </w:r>
    </w:p>
    <w:p/>
    <w:p>
      <w:pPr>
        <w:spacing w:before="0" w:after="120"/>
        <w:ind w:firstLine="567"/>
        <w:jc w:val="both"/>
      </w:pPr>
      <w:r>
        <w:rPr>
          <w:rFonts w:ascii="Times New Roman" w:hAnsi="Times New Roman"/>
          <w:b w:val="0"/>
          <w:i w:val="0"/>
          <w:sz w:val="24"/>
        </w:rPr>
        <w:t>Les cellules circulantes matures (CMP, neutrophiles, monocytes, érythrocytes) présentent d'excellents résidus médians (&lt; 5%) et un RMSE relatif inférieur à 6%, confirmant la fidélité de l'implémentation sur les lignées cliniquement pertinentes. Les progéniteurs médullaires (MPP, MEP) et les lignées à cinétique lente (réticulocytes, plaquettes) présentent des résidus plus élevés (RMSE 33–59%, résidus médians 25–51%), attribuables en partie aux incertitudes de digitalisation des figures originales de Fornari (2019) et à la complexité des cinétiques de transit érythroïde et mégacaryocytaire. Ces résultats valident le cadre computationnel (rxode2, feedbacks homéostatiques) pour une utilisation dans les étapes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L'étape 1 a permis de calibrer le modèle chez le rat avec le carboplatine, une petite molécule bien documentée. L'étape 2 visera à simuler l'hématotoxicité du T-DXd — un anticorps conjugué de grande taille — directement chez l'humain. Ce grand saut (espèce différente, molécule différente, taille très différente) justifiait une étape intermédiaire de vérification : appliquer le modèle au carboplatine chez l'humain, et comparer les prédictions aux données cliniques publiées. Si le modèle donne de bons résultats sur ce cas de référence, on peut faire confiance à la méthode de transposition pour les étapes suivantes.</w:t>
      </w:r>
    </w:p>
    <w:p>
      <w:pPr>
        <w:spacing w:before="0" w:after="120"/>
        <w:ind w:firstLine="567"/>
        <w:jc w:val="both"/>
      </w:pPr>
      <w:r>
        <w:rPr>
          <w:rFonts w:ascii="Times New Roman" w:hAnsi="Times New Roman"/>
          <w:b w:val="0"/>
          <w:i w:val="0"/>
          <w:sz w:val="24"/>
        </w:rPr>
        <w:t>Deux adaptations ont été nécessaires pour passer du rat à l'humain :</w:t>
      </w:r>
    </w:p>
    <w:p>
      <w:pPr>
        <w:spacing w:after="60"/>
        <w:ind w:left="283" w:hanging="227"/>
      </w:pPr>
      <w:r>
        <w:rPr>
          <w:rFonts w:ascii="Times New Roman" w:hAnsi="Times New Roman"/>
          <w:b w:val="0"/>
          <w:i w:val="0"/>
          <w:sz w:val="22"/>
        </w:rPr>
        <w:t>• Le devenir du médicament dans l'organisme : la dose administrée à un humain de 70 kg ne produit pas la même concentration sanguine que chez un rat de 70 g. Des lois d'allométrie — des équations qui relient le poids corporel à la vitesse d'élimination du médicament — ont été utilisées pour recalculer ces paramètres pour l'humain.</w:t>
      </w:r>
    </w:p>
    <w:p>
      <w:pPr>
        <w:spacing w:after="60"/>
        <w:ind w:left="283" w:hanging="227"/>
      </w:pPr>
      <w:r>
        <w:rPr>
          <w:rFonts w:ascii="Times New Roman" w:hAnsi="Times New Roman"/>
          <w:b w:val="0"/>
          <w:i w:val="0"/>
          <w:sz w:val="22"/>
        </w:rPr>
        <w:t>• La sensibilité des cellules au médicament : les précurseurs hématopoïétiques humains ne réagissent pas exactement comme ceux du rat. La sensibilité a été recalculée à partir de mesures expérimentales sur cellules humaines en culture, puis affinée visuellement.</w:t>
      </w:r>
    </w:p>
    <w:p>
      <w:pPr>
        <w:spacing w:before="0" w:after="120"/>
        <w:ind w:firstLine="567"/>
        <w:jc w:val="both"/>
      </w:pPr>
      <w:r>
        <w:rPr>
          <w:rFonts w:ascii="Times New Roman" w:hAnsi="Times New Roman"/>
          <w:b w:val="0"/>
          <w:i w:val="0"/>
          <w:sz w:val="24"/>
        </w:rPr>
        <w:t>Le protocole simulé reproduit celui de Fornari (2019) : carboplatine à dose standard (environ 750 mg, adaptée à la fonction rénale), administré en deux perfusions espacées de 3 semaines. Une population virtuelle de 1 000 patients a été générée pour estimer la distribution des grades de toxicité.</w:t>
      </w:r>
    </w:p>
    <w:p>
      <w:pPr>
        <w:spacing w:before="0" w:after="120"/>
        <w:ind w:firstLine="567"/>
        <w:jc w:val="both"/>
      </w:pPr>
      <w:r>
        <w:rPr>
          <w:rFonts w:ascii="Times New Roman" w:hAnsi="Times New Roman"/>
          <w:b w:val="0"/>
          <w:i w:val="0"/>
          <w:sz w:val="24"/>
        </w:rPr>
        <w:t>Les profils simulés de neutrophiles reproduisent bien les données publiées, confirmant la validité de la transposition pour la lignée myéloïde. Pour les plaquettes, un léger ajustement des paramètres a été nécessaire, aboutissant à un écart moyen de 6,4% entre simulation et données. La distribution simulée des grades de toxicité (proportion de patients atteignant chaque grade) est cohérente avec la Figure 4c publiée par Fornari (2019), notamment pour la neutropénie. Ce résultat valide la chaîne de transposition rat → humain et autorise son application au T-DXd dans les étapes suivantes.</w:t>
      </w:r>
    </w:p>
    <w:p>
      <w:pPr>
        <w:jc w:val="center"/>
      </w:pPr>
      <w:r>
        <w:rPr>
          <w:rFonts w:ascii="Times New Roman" w:hAnsi="Times New Roman"/>
          <w:b w:val="0"/>
          <w:i/>
          <w:color w:val="646464"/>
          <w:sz w:val="20"/>
        </w:rPr>
        <w:t>[Figure — Insérer ici : etape2_carboplatin_humain/results/Figure4_Q21D_x2.pdf]</w:t>
      </w:r>
    </w:p>
    <w:p>
      <w:pPr>
        <w:jc w:val="center"/>
      </w:pPr>
      <w:r>
        <w:rPr>
          <w:rFonts w:ascii="Times New Roman" w:hAnsi="Times New Roman"/>
          <w:b w:val="0"/>
          <w:i/>
          <w:sz w:val="20"/>
        </w:rPr>
        <w:t>Figure 1b. Profils simulés de neutrophiles et plaquettes vs données publiées de Fornari (2019) — Carboplatine AUC=5, Q21D×2, humain. Lignes : simulation déterministe ; points : données digitalisées.</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valeurs typiques et les coefficients de variation inter-individuels utilisés sont détaillés dans le Tableau 3 (§2.5). Les valeurs de variabilité — notamment CV=30% sur la clairance — sont les paramètres les plus déterminants pour la dispersion des grades simulés entre patients.</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résumés dans le Tableau 6 ci-dessous, ainsi que les métriques globales de performance (RMSE et MAE sur les 6 comparaisons).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Métrique</w:t>
            </w:r>
          </w:p>
        </w:tc>
        <w:tc>
          <w:tcPr>
            <w:tcW w:type="dxa" w:w="1417"/>
            <w:shd w:val="clear" w:color="auto" w:fill="2C3E50"/>
          </w:tcPr>
          <w:p>
            <w:pPr>
              <w:jc w:val="center"/>
            </w:pPr>
            <w:r>
              <w:rPr>
                <w:rFonts w:ascii="Times New Roman" w:hAnsi="Times New Roman"/>
                <w:b/>
                <w:i w:val="0"/>
                <w:color w:val="FFFFFF"/>
                <w:sz w:val="20"/>
              </w:rPr>
              <w:t>Modèle (%)</w:t>
            </w:r>
          </w:p>
        </w:tc>
        <w:tc>
          <w:tcPr>
            <w:tcW w:type="dxa" w:w="1701"/>
            <w:shd w:val="clear" w:color="auto" w:fill="2C3E50"/>
          </w:tcPr>
          <w:p>
            <w:pPr>
              <w:jc w:val="center"/>
            </w:pPr>
            <w:r>
              <w:rPr>
                <w:rFonts w:ascii="Times New Roman" w:hAnsi="Times New Roman"/>
                <w:b/>
                <w:i w:val="0"/>
                <w:color w:val="FFFFFF"/>
                <w:sz w:val="20"/>
              </w:rPr>
              <w:t>IC95% [Wilson]</w:t>
            </w:r>
          </w:p>
        </w:tc>
        <w:tc>
          <w:tcPr>
            <w:tcW w:type="dxa" w:w="1701"/>
            <w:shd w:val="clear" w:color="auto" w:fill="2C3E50"/>
          </w:tcPr>
          <w:p>
            <w:pPr>
              <w:jc w:val="center"/>
            </w:pPr>
            <w:r>
              <w:rPr>
                <w:rFonts w:ascii="Times New Roman" w:hAnsi="Times New Roman"/>
                <w:b/>
                <w:i w:val="0"/>
                <w:color w:val="FFFFFF"/>
                <w:sz w:val="20"/>
              </w:rPr>
              <w:t>BLA FDA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29</w:t>
            </w:r>
          </w:p>
        </w:tc>
        <w:tc>
          <w:tcPr>
            <w:tcW w:type="dxa" w:w="1701"/>
            <w:shd w:val="clear" w:color="auto" w:fill="F2F2F2"/>
          </w:tcPr>
          <w:p>
            <w:pPr>
              <w:jc w:val="center"/>
            </w:pPr>
            <w:r>
              <w:rPr>
                <w:rFonts w:ascii="Times New Roman" w:hAnsi="Times New Roman"/>
                <w:b w:val="0"/>
                <w:i w:val="0"/>
                <w:sz w:val="20"/>
              </w:rPr>
              <w:t>[24 – 34]</w:t>
            </w:r>
          </w:p>
        </w:tc>
        <w:tc>
          <w:tcPr>
            <w:tcW w:type="dxa" w:w="1701"/>
            <w:shd w:val="clear" w:color="auto" w:fill="F2F2F2"/>
          </w:tcPr>
          <w:p>
            <w:pPr>
              <w:jc w:val="center"/>
            </w:pPr>
            <w:r>
              <w:rPr>
                <w:rFonts w:ascii="Times New Roman" w:hAnsi="Times New Roman"/>
                <w:b w:val="0"/>
                <w:i w:val="0"/>
                <w:sz w:val="20"/>
              </w:rPr>
              <w:t>29</w:t>
            </w:r>
          </w:p>
        </w:tc>
      </w:tr>
      <w:tr>
        <w:tc>
          <w:tcPr>
            <w:tcW w:type="dxa" w:w="1984"/>
            <w:shd w:val="clear" w:color="auto" w:fill="FFFFFF"/>
          </w:tcPr>
          <w:p>
            <w:pPr>
              <w:jc w:val="center"/>
            </w:pPr>
            <w:r>
              <w:rPr>
                <w:rFonts w:ascii="Times New Roman" w:hAnsi="Times New Roman"/>
                <w:b w:val="0"/>
                <w:i w:val="0"/>
                <w:sz w:val="20"/>
              </w:rPr>
              <w:t>Neutropénie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14</w:t>
            </w:r>
          </w:p>
        </w:tc>
        <w:tc>
          <w:tcPr>
            <w:tcW w:type="dxa" w:w="1701"/>
            <w:shd w:val="clear" w:color="auto" w:fill="FFFFFF"/>
          </w:tcPr>
          <w:p>
            <w:pPr>
              <w:jc w:val="center"/>
            </w:pPr>
            <w:r>
              <w:rPr>
                <w:rFonts w:ascii="Times New Roman" w:hAnsi="Times New Roman"/>
                <w:b w:val="0"/>
                <w:i w:val="0"/>
                <w:sz w:val="20"/>
              </w:rPr>
              <w:t>[10 – 19]</w:t>
            </w:r>
          </w:p>
        </w:tc>
        <w:tc>
          <w:tcPr>
            <w:tcW w:type="dxa" w:w="1701"/>
            <w:shd w:val="clear" w:color="auto" w:fill="FFFFFF"/>
          </w:tcPr>
          <w:p>
            <w:pPr>
              <w:jc w:val="center"/>
            </w:pPr>
            <w:r>
              <w:rPr>
                <w:rFonts w:ascii="Times New Roman" w:hAnsi="Times New Roman"/>
                <w:b w:val="0"/>
                <w:i w:val="0"/>
                <w:sz w:val="20"/>
              </w:rPr>
              <w:t>16</w:t>
            </w:r>
          </w:p>
        </w:tc>
      </w:tr>
      <w:tr>
        <w:tc>
          <w:tcPr>
            <w:tcW w:type="dxa" w:w="1984"/>
            <w:shd w:val="clear" w:color="auto" w:fill="F2F2F2"/>
          </w:tcPr>
          <w:p>
            <w:pPr>
              <w:jc w:val="center"/>
            </w:pPr>
            <w:r>
              <w:rPr>
                <w:rFonts w:ascii="Times New Roman" w:hAnsi="Times New Roman"/>
                <w:b w:val="0"/>
                <w:i w:val="0"/>
                <w:sz w:val="20"/>
              </w:rPr>
              <w:t>Anémie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72</w:t>
            </w:r>
          </w:p>
        </w:tc>
        <w:tc>
          <w:tcPr>
            <w:tcW w:type="dxa" w:w="1701"/>
            <w:shd w:val="clear" w:color="auto" w:fill="F2F2F2"/>
          </w:tcPr>
          <w:p>
            <w:pPr>
              <w:jc w:val="center"/>
            </w:pPr>
            <w:r>
              <w:rPr>
                <w:rFonts w:ascii="Times New Roman" w:hAnsi="Times New Roman"/>
                <w:b w:val="0"/>
                <w:i w:val="0"/>
                <w:sz w:val="20"/>
              </w:rPr>
              <w:t>[67 – 77]</w:t>
            </w:r>
          </w:p>
        </w:tc>
        <w:tc>
          <w:tcPr>
            <w:tcW w:type="dxa" w:w="1701"/>
            <w:shd w:val="clear" w:color="auto" w:fill="F2F2F2"/>
          </w:tcPr>
          <w:p>
            <w:pPr>
              <w:jc w:val="center"/>
            </w:pPr>
            <w:r>
              <w:rPr>
                <w:rFonts w:ascii="Times New Roman" w:hAnsi="Times New Roman"/>
                <w:b w:val="0"/>
                <w:i w:val="0"/>
                <w:sz w:val="20"/>
              </w:rPr>
              <w:t>70</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9</w:t>
            </w:r>
          </w:p>
        </w:tc>
        <w:tc>
          <w:tcPr>
            <w:tcW w:type="dxa" w:w="1701"/>
            <w:shd w:val="clear" w:color="auto" w:fill="FFFFFF"/>
          </w:tcPr>
          <w:p>
            <w:pPr>
              <w:jc w:val="center"/>
            </w:pPr>
            <w:r>
              <w:rPr>
                <w:rFonts w:ascii="Times New Roman" w:hAnsi="Times New Roman"/>
                <w:b w:val="0"/>
                <w:i w:val="0"/>
                <w:sz w:val="20"/>
              </w:rPr>
              <w:t>[6 – 13]</w:t>
            </w:r>
          </w:p>
        </w:tc>
        <w:tc>
          <w:tcPr>
            <w:tcW w:type="dxa" w:w="1701"/>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40</w:t>
            </w:r>
          </w:p>
        </w:tc>
        <w:tc>
          <w:tcPr>
            <w:tcW w:type="dxa" w:w="1701"/>
            <w:shd w:val="clear" w:color="auto" w:fill="F2F2F2"/>
          </w:tcPr>
          <w:p>
            <w:pPr>
              <w:jc w:val="center"/>
            </w:pPr>
            <w:r>
              <w:rPr>
                <w:rFonts w:ascii="Times New Roman" w:hAnsi="Times New Roman"/>
                <w:b w:val="0"/>
                <w:i w:val="0"/>
                <w:sz w:val="20"/>
              </w:rPr>
              <w:t>[34 – 46]</w:t>
            </w:r>
          </w:p>
        </w:tc>
        <w:tc>
          <w:tcPr>
            <w:tcW w:type="dxa" w:w="1701"/>
            <w:shd w:val="clear" w:color="auto" w:fill="F2F2F2"/>
          </w:tcPr>
          <w:p>
            <w:pPr>
              <w:jc w:val="center"/>
            </w:pPr>
            <w:r>
              <w:rPr>
                <w:rFonts w:ascii="Times New Roman" w:hAnsi="Times New Roman"/>
                <w:b w:val="0"/>
                <w:i w:val="0"/>
                <w:sz w:val="20"/>
              </w:rPr>
              <w:t>37</w:t>
            </w:r>
          </w:p>
        </w:tc>
      </w:tr>
      <w:tr>
        <w:tc>
          <w:tcPr>
            <w:tcW w:type="dxa" w:w="1984"/>
            <w:shd w:val="clear" w:color="auto" w:fill="FFFFFF"/>
          </w:tcPr>
          <w:p>
            <w:pPr>
              <w:jc w:val="center"/>
            </w:pPr>
            <w:r>
              <w:rPr>
                <w:rFonts w:ascii="Times New Roman" w:hAnsi="Times New Roman"/>
                <w:b w:val="0"/>
                <w:i w:val="0"/>
                <w:sz w:val="20"/>
              </w:rPr>
              <w:t>Thrombocytopénie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3</w:t>
            </w:r>
          </w:p>
        </w:tc>
        <w:tc>
          <w:tcPr>
            <w:tcW w:type="dxa" w:w="1701"/>
            <w:shd w:val="clear" w:color="auto" w:fill="FFFFFF"/>
          </w:tcPr>
          <w:p>
            <w:pPr>
              <w:jc w:val="center"/>
            </w:pPr>
            <w:r>
              <w:rPr>
                <w:rFonts w:ascii="Times New Roman" w:hAnsi="Times New Roman"/>
                <w:b w:val="0"/>
                <w:i w:val="0"/>
                <w:sz w:val="20"/>
              </w:rPr>
              <w:t>[1 – 6]</w:t>
            </w:r>
          </w:p>
        </w:tc>
        <w:tc>
          <w:tcPr>
            <w:tcW w:type="dxa" w:w="1701"/>
            <w:shd w:val="clear" w:color="auto" w:fill="FFFFFF"/>
          </w:tcPr>
          <w:p>
            <w:pPr>
              <w:jc w:val="center"/>
            </w:pPr>
            <w:r>
              <w:rPr>
                <w:rFonts w:ascii="Times New Roman" w:hAnsi="Times New Roman"/>
                <w:b w:val="0"/>
                <w:i w:val="0"/>
                <w:sz w:val="20"/>
              </w:rPr>
              <w:t>3</w:t>
            </w:r>
          </w:p>
        </w:tc>
      </w:tr>
      <w:tr>
        <w:tc>
          <w:tcPr>
            <w:tcW w:type="dxa" w:w="1984"/>
            <w:shd w:val="clear" w:color="auto" w:fill="F2F2F2"/>
          </w:tcPr>
          <w:p>
            <w:pPr>
              <w:jc w:val="center"/>
            </w:pPr>
            <w:r>
              <w:rPr>
                <w:rFonts w:ascii="Times New Roman" w:hAnsi="Times New Roman"/>
                <w:b w:val="0"/>
                <w:i w:val="0"/>
                <w:sz w:val="20"/>
              </w:rPr>
              <w:t>**Global**</w:t>
            </w:r>
          </w:p>
        </w:tc>
        <w:tc>
          <w:tcPr>
            <w:tcW w:type="dxa" w:w="1417"/>
            <w:shd w:val="clear" w:color="auto" w:fill="F2F2F2"/>
          </w:tcPr>
          <w:p>
            <w:pPr>
              <w:jc w:val="center"/>
            </w:pPr>
            <w:r>
              <w:rPr>
                <w:rFonts w:ascii="Times New Roman" w:hAnsi="Times New Roman"/>
                <w:b w:val="0"/>
                <w:i w:val="0"/>
                <w:sz w:val="20"/>
              </w:rPr>
              <w:t>RMSE</w:t>
            </w:r>
          </w:p>
        </w:tc>
        <w:tc>
          <w:tcPr>
            <w:tcW w:type="dxa" w:w="1417"/>
            <w:shd w:val="clear" w:color="auto" w:fill="F2F2F2"/>
          </w:tcPr>
          <w:p>
            <w:pPr>
              <w:jc w:val="center"/>
            </w:pPr>
            <w:r>
              <w:rPr>
                <w:rFonts w:ascii="Times New Roman" w:hAnsi="Times New Roman"/>
                <w:b w:val="0"/>
                <w:i w:val="0"/>
                <w:sz w:val="20"/>
              </w:rPr>
              <w:t>2,1 pp</w:t>
            </w:r>
          </w:p>
        </w:tc>
        <w:tc>
          <w:tcPr>
            <w:tcW w:type="dxa" w:w="1701"/>
            <w:shd w:val="clear" w:color="auto" w:fill="F2F2F2"/>
          </w:tcPr>
          <w:p>
            <w:pPr>
              <w:jc w:val="center"/>
            </w:pPr>
            <w:r>
              <w:rPr>
                <w:rFonts w:ascii="Times New Roman" w:hAnsi="Times New Roman"/>
                <w:b w:val="0"/>
                <w:i w:val="0"/>
                <w:sz w:val="20"/>
              </w:rPr>
              <w:t>—</w:t>
            </w:r>
          </w:p>
        </w:tc>
        <w:tc>
          <w:tcPr>
            <w:tcW w:type="dxa" w:w="1701"/>
            <w:shd w:val="clear" w:color="auto" w:fill="F2F2F2"/>
          </w:tcPr>
          <w:p>
            <w:pPr>
              <w:jc w:val="center"/>
            </w:pPr>
            <w:r>
              <w:rPr>
                <w:rFonts w:ascii="Times New Roman" w:hAnsi="Times New Roman"/>
                <w:b w:val="0"/>
                <w:i w:val="0"/>
                <w:sz w:val="20"/>
              </w:rPr>
              <w:t>—</w:t>
            </w:r>
          </w:p>
        </w:tc>
      </w:tr>
      <w:tr>
        <w:tc>
          <w:tcPr>
            <w:tcW w:type="dxa" w:w="1984"/>
            <w:shd w:val="clear" w:color="auto" w:fill="FFFFFF"/>
          </w:tcPr>
          <w:p>
            <w:pPr>
              <w:jc w:val="center"/>
            </w:pPr>
            <w:r>
              <w:rPr>
                <w:rFonts w:ascii="Times New Roman" w:hAnsi="Times New Roman"/>
                <w:b w:val="0"/>
                <w:i w:val="0"/>
                <w:sz w:val="20"/>
              </w:rPr>
              <w:t>**Global**</w:t>
            </w:r>
          </w:p>
        </w:tc>
        <w:tc>
          <w:tcPr>
            <w:tcW w:type="dxa" w:w="1417"/>
            <w:shd w:val="clear" w:color="auto" w:fill="FFFFFF"/>
          </w:tcPr>
          <w:p>
            <w:pPr>
              <w:jc w:val="center"/>
            </w:pPr>
            <w:r>
              <w:rPr>
                <w:rFonts w:ascii="Times New Roman" w:hAnsi="Times New Roman"/>
                <w:b w:val="0"/>
                <w:i w:val="0"/>
                <w:sz w:val="20"/>
              </w:rPr>
              <w:t>MAE</w:t>
            </w:r>
          </w:p>
        </w:tc>
        <w:tc>
          <w:tcPr>
            <w:tcW w:type="dxa" w:w="1417"/>
            <w:shd w:val="clear" w:color="auto" w:fill="FFFFFF"/>
          </w:tcPr>
          <w:p>
            <w:pPr>
              <w:jc w:val="center"/>
            </w:pPr>
            <w:r>
              <w:rPr>
                <w:rFonts w:ascii="Times New Roman" w:hAnsi="Times New Roman"/>
                <w:b w:val="0"/>
                <w:i w:val="0"/>
                <w:sz w:val="20"/>
              </w:rPr>
              <w:t>1,8 pp</w:t>
            </w:r>
          </w:p>
        </w:tc>
        <w:tc>
          <w:tcPr>
            <w:tcW w:type="dxa" w:w="1701"/>
            <w:shd w:val="clear" w:color="auto" w:fill="FFFFFF"/>
          </w:tcPr>
          <w:p>
            <w:pPr>
              <w:jc w:val="center"/>
            </w:pPr>
            <w:r>
              <w:rPr>
                <w:rFonts w:ascii="Times New Roman" w:hAnsi="Times New Roman"/>
                <w:b w:val="0"/>
                <w:i w:val="0"/>
                <w:sz w:val="20"/>
              </w:rPr>
              <w:t>—</w:t>
            </w:r>
          </w:p>
        </w:tc>
        <w:tc>
          <w:tcPr>
            <w:tcW w:type="dxa" w:w="1701"/>
            <w:shd w:val="clear" w:color="auto" w:fill="FFFFFF"/>
          </w:tcPr>
          <w:p>
            <w:pPr>
              <w:jc w:val="center"/>
            </w:pPr>
            <w:r>
              <w:rPr>
                <w:rFonts w:ascii="Times New Roman" w:hAnsi="Times New Roman"/>
                <w:b w:val="0"/>
                <w:i w:val="0"/>
                <w:sz w:val="20"/>
              </w:rPr>
              <w:t>—</w:t>
            </w:r>
          </w:p>
        </w:tc>
      </w:tr>
    </w:tbl>
    <w:p>
      <w:r>
        <w:rPr>
          <w:rFonts w:ascii="Times New Roman" w:hAnsi="Times New Roman"/>
          <w:b w:val="0"/>
          <w:i/>
          <w:sz w:val="20"/>
        </w:rPr>
        <w:t>Tableau 6. Métriques de validation — proportions de patients par grade simulées (N=300) vs données cliniques FDA (DESTINY-Breast01, n=184, BLA 761139). IC95% calculés par méthode Wilson. RMSE et MAE calculés sur les 6 comparaisons (3 toxicités × 2 niveaux de sévérité).</w:t>
      </w:r>
    </w:p>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