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ECCB" w14:textId="77777777" w:rsidR="006573EB" w:rsidRPr="00463A58" w:rsidRDefault="00000000">
      <w:pPr>
        <w:spacing w:before="800"/>
        <w:jc w:val="center"/>
        <w:rPr>
          <w:lang w:val="fr-FR"/>
        </w:rPr>
      </w:pPr>
      <w:r w:rsidRPr="00463A58">
        <w:rPr>
          <w:rFonts w:ascii="Times New Roman" w:hAnsi="Times New Roman"/>
          <w:b/>
          <w:color w:val="2C3E50"/>
          <w:sz w:val="28"/>
          <w:lang w:val="fr-FR"/>
        </w:rPr>
        <w:t>MÉMOIRE DE STAGE DE MASTER 2</w:t>
      </w:r>
    </w:p>
    <w:p w14:paraId="6BD5FBF7" w14:textId="77777777" w:rsidR="006573EB" w:rsidRPr="00463A58" w:rsidRDefault="00000000">
      <w:pPr>
        <w:spacing w:before="80" w:after="80"/>
        <w:jc w:val="center"/>
        <w:rPr>
          <w:lang w:val="fr-FR"/>
        </w:rPr>
      </w:pPr>
      <w:r w:rsidRPr="00463A58">
        <w:rPr>
          <w:rFonts w:ascii="Times New Roman" w:hAnsi="Times New Roman"/>
          <w:i/>
          <w:sz w:val="26"/>
          <w:lang w:val="fr-FR"/>
        </w:rPr>
        <w:t>Sciences de la Donnée de Santé</w:t>
      </w:r>
    </w:p>
    <w:p w14:paraId="0B3012DE" w14:textId="77777777" w:rsidR="006573EB" w:rsidRPr="00463A58" w:rsidRDefault="006573EB">
      <w:pPr>
        <w:rPr>
          <w:lang w:val="fr-FR"/>
        </w:rPr>
      </w:pPr>
    </w:p>
    <w:p w14:paraId="4E5083EC" w14:textId="77777777" w:rsidR="006573EB" w:rsidRPr="00463A58" w:rsidRDefault="006573EB">
      <w:pPr>
        <w:rPr>
          <w:lang w:val="fr-FR"/>
        </w:rPr>
      </w:pPr>
    </w:p>
    <w:p w14:paraId="01E1D432" w14:textId="77777777" w:rsidR="006573EB" w:rsidRPr="00463A58" w:rsidRDefault="00000000">
      <w:pPr>
        <w:jc w:val="center"/>
        <w:rPr>
          <w:lang w:val="fr-FR"/>
        </w:rPr>
      </w:pPr>
      <w:r w:rsidRPr="00463A58">
        <w:rPr>
          <w:rFonts w:ascii="Times New Roman" w:hAnsi="Times New Roman"/>
          <w:b/>
          <w:color w:val="2C3E50"/>
          <w:sz w:val="36"/>
          <w:lang w:val="fr-FR"/>
        </w:rPr>
        <w:t>Modélisation semi-mécaniste de l'</w:t>
      </w:r>
      <w:proofErr w:type="spellStart"/>
      <w:r w:rsidRPr="00463A58">
        <w:rPr>
          <w:rFonts w:ascii="Times New Roman" w:hAnsi="Times New Roman"/>
          <w:b/>
          <w:color w:val="2C3E50"/>
          <w:sz w:val="36"/>
          <w:lang w:val="fr-FR"/>
        </w:rPr>
        <w:t>hématotoxicité</w:t>
      </w:r>
      <w:proofErr w:type="spellEnd"/>
      <w:r w:rsidRPr="00463A58">
        <w:rPr>
          <w:rFonts w:ascii="Times New Roman" w:hAnsi="Times New Roman"/>
          <w:b/>
          <w:color w:val="2C3E50"/>
          <w:sz w:val="36"/>
          <w:lang w:val="fr-FR"/>
        </w:rPr>
        <w:br/>
        <w:t>induite par les anticorps-drogue conjugués :</w:t>
      </w:r>
      <w:r w:rsidRPr="00463A58">
        <w:rPr>
          <w:rFonts w:ascii="Times New Roman" w:hAnsi="Times New Roman"/>
          <w:b/>
          <w:color w:val="2C3E50"/>
          <w:sz w:val="36"/>
          <w:lang w:val="fr-FR"/>
        </w:rPr>
        <w:br/>
        <w:t>développement d'un pipeline PK/PD</w:t>
      </w:r>
      <w:r w:rsidRPr="00463A58">
        <w:rPr>
          <w:rFonts w:ascii="Times New Roman" w:hAnsi="Times New Roman"/>
          <w:b/>
          <w:color w:val="2C3E50"/>
          <w:sz w:val="36"/>
          <w:lang w:val="fr-FR"/>
        </w:rPr>
        <w:br/>
        <w:t>de l'animal au patient</w:t>
      </w:r>
    </w:p>
    <w:p w14:paraId="4F964560" w14:textId="77777777" w:rsidR="006573EB" w:rsidRPr="00463A58" w:rsidRDefault="006573EB">
      <w:pPr>
        <w:rPr>
          <w:lang w:val="fr-FR"/>
        </w:rPr>
      </w:pPr>
    </w:p>
    <w:p w14:paraId="5C3CAAAE" w14:textId="77777777" w:rsidR="006573EB" w:rsidRPr="00463A58" w:rsidRDefault="006573EB">
      <w:pPr>
        <w:rPr>
          <w:lang w:val="fr-FR"/>
        </w:rPr>
      </w:pPr>
    </w:p>
    <w:p w14:paraId="1E6CBD83" w14:textId="77777777" w:rsidR="006573EB" w:rsidRPr="00463A58" w:rsidRDefault="006573EB">
      <w:pPr>
        <w:rPr>
          <w:lang w:val="fr-FR"/>
        </w:rPr>
      </w:pPr>
    </w:p>
    <w:tbl>
      <w:tblPr>
        <w:tblStyle w:val="Grilledutableau"/>
        <w:tblW w:w="0" w:type="auto"/>
        <w:tblLook w:val="04A0" w:firstRow="1" w:lastRow="0" w:firstColumn="1" w:lastColumn="0" w:noHBand="0" w:noVBand="1"/>
      </w:tblPr>
      <w:tblGrid>
        <w:gridCol w:w="4561"/>
        <w:gridCol w:w="4561"/>
      </w:tblGrid>
      <w:tr w:rsidR="006573EB" w14:paraId="374E45FD" w14:textId="77777777">
        <w:tc>
          <w:tcPr>
            <w:tcW w:w="4561" w:type="dxa"/>
          </w:tcPr>
          <w:p w14:paraId="4CAF1E6F" w14:textId="77777777" w:rsidR="006573EB" w:rsidRDefault="00000000">
            <w:proofErr w:type="spellStart"/>
            <w:r>
              <w:rPr>
                <w:rFonts w:ascii="Times New Roman" w:hAnsi="Times New Roman"/>
                <w:b/>
              </w:rPr>
              <w:t>Étudiant</w:t>
            </w:r>
            <w:proofErr w:type="spellEnd"/>
            <w:r>
              <w:rPr>
                <w:rFonts w:ascii="Times New Roman" w:hAnsi="Times New Roman"/>
                <w:b/>
              </w:rPr>
              <w:t>(e)</w:t>
            </w:r>
          </w:p>
        </w:tc>
        <w:tc>
          <w:tcPr>
            <w:tcW w:w="4561" w:type="dxa"/>
          </w:tcPr>
          <w:p w14:paraId="752F6BFA" w14:textId="3B2577D4" w:rsidR="006573EB" w:rsidRDefault="00463A58">
            <w:r>
              <w:t>Omar HASSANI</w:t>
            </w:r>
          </w:p>
        </w:tc>
      </w:tr>
      <w:tr w:rsidR="006573EB" w14:paraId="7956F836" w14:textId="77777777">
        <w:tc>
          <w:tcPr>
            <w:tcW w:w="4561" w:type="dxa"/>
          </w:tcPr>
          <w:p w14:paraId="50DFD19A" w14:textId="77777777" w:rsidR="006573EB" w:rsidRDefault="00000000">
            <w:r>
              <w:rPr>
                <w:rFonts w:ascii="Times New Roman" w:hAnsi="Times New Roman"/>
                <w:b/>
              </w:rPr>
              <w:t>Encadrant(e) académique</w:t>
            </w:r>
          </w:p>
        </w:tc>
        <w:tc>
          <w:tcPr>
            <w:tcW w:w="4561" w:type="dxa"/>
          </w:tcPr>
          <w:p w14:paraId="3578E0DB" w14:textId="6B5759AD" w:rsidR="006573EB" w:rsidRDefault="00463A58">
            <w:r>
              <w:t>Hervé PERDRY</w:t>
            </w:r>
          </w:p>
        </w:tc>
      </w:tr>
      <w:tr w:rsidR="006573EB" w14:paraId="168FB06E" w14:textId="77777777">
        <w:tc>
          <w:tcPr>
            <w:tcW w:w="4561" w:type="dxa"/>
          </w:tcPr>
          <w:p w14:paraId="187D3AD6" w14:textId="77777777" w:rsidR="006573EB" w:rsidRDefault="00000000">
            <w:r>
              <w:rPr>
                <w:rFonts w:ascii="Times New Roman" w:hAnsi="Times New Roman"/>
                <w:b/>
              </w:rPr>
              <w:t>Maître de stage</w:t>
            </w:r>
          </w:p>
        </w:tc>
        <w:tc>
          <w:tcPr>
            <w:tcW w:w="4561" w:type="dxa"/>
          </w:tcPr>
          <w:p w14:paraId="1746EA1A" w14:textId="73077A08" w:rsidR="006573EB" w:rsidRDefault="00463A58">
            <w:r>
              <w:rPr>
                <w:rFonts w:ascii="Times New Roman" w:hAnsi="Times New Roman"/>
              </w:rPr>
              <w:t>Aurélie PETAIN</w:t>
            </w:r>
          </w:p>
        </w:tc>
      </w:tr>
      <w:tr w:rsidR="006573EB" w14:paraId="6B158C67" w14:textId="77777777">
        <w:tc>
          <w:tcPr>
            <w:tcW w:w="4561" w:type="dxa"/>
          </w:tcPr>
          <w:p w14:paraId="21701C4B" w14:textId="77777777" w:rsidR="006573EB" w:rsidRDefault="00000000">
            <w:r>
              <w:rPr>
                <w:rFonts w:ascii="Times New Roman" w:hAnsi="Times New Roman"/>
                <w:b/>
              </w:rPr>
              <w:t>Établissement d'accueil</w:t>
            </w:r>
          </w:p>
        </w:tc>
        <w:tc>
          <w:tcPr>
            <w:tcW w:w="4561" w:type="dxa"/>
          </w:tcPr>
          <w:p w14:paraId="64FA22CA" w14:textId="4D89D0FA" w:rsidR="006573EB" w:rsidRDefault="00463A58">
            <w:r>
              <w:t>Pierre Fabre</w:t>
            </w:r>
          </w:p>
        </w:tc>
      </w:tr>
      <w:tr w:rsidR="006573EB" w14:paraId="169E155E" w14:textId="77777777">
        <w:tc>
          <w:tcPr>
            <w:tcW w:w="4561" w:type="dxa"/>
          </w:tcPr>
          <w:p w14:paraId="34B83046" w14:textId="77777777" w:rsidR="006573EB" w:rsidRDefault="00000000">
            <w:r>
              <w:rPr>
                <w:rFonts w:ascii="Times New Roman" w:hAnsi="Times New Roman"/>
                <w:b/>
              </w:rPr>
              <w:t>Année universitaire</w:t>
            </w:r>
          </w:p>
        </w:tc>
        <w:tc>
          <w:tcPr>
            <w:tcW w:w="4561" w:type="dxa"/>
          </w:tcPr>
          <w:p w14:paraId="1920B3CA" w14:textId="77777777" w:rsidR="006573EB" w:rsidRDefault="00000000">
            <w:r>
              <w:rPr>
                <w:rFonts w:ascii="Times New Roman" w:hAnsi="Times New Roman"/>
              </w:rPr>
              <w:t>2025–2026</w:t>
            </w:r>
          </w:p>
        </w:tc>
      </w:tr>
    </w:tbl>
    <w:p w14:paraId="49A6677A" w14:textId="77777777" w:rsidR="006573EB" w:rsidRDefault="00000000">
      <w:r>
        <w:br w:type="page"/>
      </w:r>
    </w:p>
    <w:p w14:paraId="0FDC933B" w14:textId="77777777" w:rsidR="006573EB" w:rsidRDefault="00000000">
      <w:pPr>
        <w:keepNext/>
        <w:spacing w:before="360" w:after="80"/>
      </w:pPr>
      <w:r>
        <w:rPr>
          <w:rFonts w:ascii="Times New Roman" w:hAnsi="Times New Roman"/>
          <w:b/>
          <w:color w:val="2C3E50"/>
          <w:sz w:val="32"/>
          <w:u w:val="single"/>
        </w:rPr>
        <w:lastRenderedPageBreak/>
        <w:t>Remerciements</w:t>
      </w:r>
    </w:p>
    <w:p w14:paraId="1C090518" w14:textId="0B1B9CF8" w:rsidR="006573EB" w:rsidRPr="00463A58" w:rsidRDefault="00000000">
      <w:pPr>
        <w:spacing w:after="120"/>
        <w:ind w:firstLine="567"/>
        <w:jc w:val="both"/>
        <w:rPr>
          <w:lang w:val="fr-FR"/>
        </w:rPr>
      </w:pPr>
      <w:r w:rsidRPr="00463A58">
        <w:rPr>
          <w:rFonts w:ascii="Times New Roman" w:hAnsi="Times New Roman"/>
          <w:sz w:val="24"/>
          <w:lang w:val="fr-FR"/>
        </w:rPr>
        <w:t xml:space="preserve">Je tiens à remercier chaleureusement mon maître de stage </w:t>
      </w:r>
      <w:r w:rsidR="00463A58" w:rsidRPr="00463A58">
        <w:rPr>
          <w:rFonts w:ascii="Times New Roman" w:hAnsi="Times New Roman"/>
          <w:lang w:val="fr-FR"/>
        </w:rPr>
        <w:t>Aurélie PETAIN</w:t>
      </w:r>
      <w:r w:rsidR="00463A58">
        <w:rPr>
          <w:rFonts w:ascii="Times New Roman" w:hAnsi="Times New Roman"/>
          <w:sz w:val="24"/>
          <w:lang w:val="fr-FR"/>
        </w:rPr>
        <w:t xml:space="preserve"> </w:t>
      </w:r>
      <w:r w:rsidRPr="00463A58">
        <w:rPr>
          <w:rFonts w:ascii="Times New Roman" w:hAnsi="Times New Roman"/>
          <w:sz w:val="24"/>
          <w:lang w:val="fr-FR"/>
        </w:rPr>
        <w:t>pour m'avoir confié ce projet ambitieux alliant modélisation mathématique, pharmacologie quantitative et analyse de données de santé. Sa disponibilité, ses conseils scientifiques et sa rigueur ont été déterminants dans l'avancement de ce travail.</w:t>
      </w:r>
    </w:p>
    <w:p w14:paraId="21152836" w14:textId="2C694398" w:rsidR="006573EB" w:rsidRPr="00463A58" w:rsidRDefault="00000000">
      <w:pPr>
        <w:spacing w:after="120"/>
        <w:ind w:firstLine="567"/>
        <w:jc w:val="both"/>
        <w:rPr>
          <w:lang w:val="fr-FR"/>
        </w:rPr>
      </w:pPr>
      <w:r w:rsidRPr="00463A58">
        <w:rPr>
          <w:rFonts w:ascii="Times New Roman" w:hAnsi="Times New Roman"/>
          <w:sz w:val="24"/>
          <w:lang w:val="fr-FR"/>
        </w:rPr>
        <w:t>Je remercie également l'ensemble de</w:t>
      </w:r>
      <w:r w:rsidR="00A65238">
        <w:rPr>
          <w:rFonts w:ascii="Times New Roman" w:hAnsi="Times New Roman"/>
          <w:sz w:val="24"/>
          <w:lang w:val="fr-FR"/>
        </w:rPr>
        <w:t>s</w:t>
      </w:r>
      <w:r w:rsidRPr="00463A58">
        <w:rPr>
          <w:rFonts w:ascii="Times New Roman" w:hAnsi="Times New Roman"/>
          <w:sz w:val="24"/>
          <w:lang w:val="fr-FR"/>
        </w:rPr>
        <w:t xml:space="preserve"> équipe</w:t>
      </w:r>
      <w:r w:rsidR="00A65238">
        <w:rPr>
          <w:rFonts w:ascii="Times New Roman" w:hAnsi="Times New Roman"/>
          <w:sz w:val="24"/>
          <w:lang w:val="fr-FR"/>
        </w:rPr>
        <w:t>s PK et TOX</w:t>
      </w:r>
      <w:r w:rsidRPr="00463A58">
        <w:rPr>
          <w:rFonts w:ascii="Times New Roman" w:hAnsi="Times New Roman"/>
          <w:sz w:val="24"/>
          <w:lang w:val="fr-FR"/>
        </w:rPr>
        <w:t xml:space="preserve"> pour son accueil, les discussions scientifiques enrichissantes et le partage des données expérimentales précliniques qui ont constitué le socle empirique de cette étude.</w:t>
      </w:r>
    </w:p>
    <w:p w14:paraId="43B465D3" w14:textId="58B10011" w:rsidR="006573EB" w:rsidRPr="00463A58" w:rsidRDefault="00000000">
      <w:pPr>
        <w:spacing w:after="120"/>
        <w:ind w:firstLine="567"/>
        <w:jc w:val="both"/>
        <w:rPr>
          <w:lang w:val="fr-FR"/>
        </w:rPr>
      </w:pPr>
      <w:r w:rsidRPr="00463A58">
        <w:rPr>
          <w:rFonts w:ascii="Times New Roman" w:hAnsi="Times New Roman"/>
          <w:sz w:val="24"/>
          <w:lang w:val="fr-FR"/>
        </w:rPr>
        <w:t xml:space="preserve">Enfin, je remercie </w:t>
      </w:r>
      <w:r w:rsidR="00A65238" w:rsidRPr="00463A58">
        <w:rPr>
          <w:rFonts w:ascii="Times New Roman" w:hAnsi="Times New Roman"/>
          <w:sz w:val="24"/>
          <w:lang w:val="fr-FR"/>
        </w:rPr>
        <w:t>m</w:t>
      </w:r>
      <w:r w:rsidR="00A65238">
        <w:rPr>
          <w:rFonts w:ascii="Times New Roman" w:hAnsi="Times New Roman"/>
          <w:sz w:val="24"/>
          <w:lang w:val="fr-FR"/>
        </w:rPr>
        <w:t>es</w:t>
      </w:r>
      <w:r w:rsidR="00A65238" w:rsidRPr="00463A58">
        <w:rPr>
          <w:rFonts w:ascii="Times New Roman" w:hAnsi="Times New Roman"/>
          <w:sz w:val="24"/>
          <w:lang w:val="fr-FR"/>
        </w:rPr>
        <w:t xml:space="preserve"> encadrant</w:t>
      </w:r>
      <w:r w:rsidR="00A65238">
        <w:rPr>
          <w:rFonts w:ascii="Times New Roman" w:hAnsi="Times New Roman"/>
          <w:sz w:val="24"/>
          <w:lang w:val="fr-FR"/>
        </w:rPr>
        <w:t>s</w:t>
      </w:r>
      <w:r w:rsidR="00A65238" w:rsidRPr="00463A58">
        <w:rPr>
          <w:rFonts w:ascii="Times New Roman" w:hAnsi="Times New Roman"/>
          <w:sz w:val="24"/>
          <w:lang w:val="fr-FR"/>
        </w:rPr>
        <w:t xml:space="preserve"> académiques</w:t>
      </w:r>
      <w:r w:rsidRPr="00463A58">
        <w:rPr>
          <w:rFonts w:ascii="Times New Roman" w:hAnsi="Times New Roman"/>
          <w:sz w:val="24"/>
          <w:lang w:val="fr-FR"/>
        </w:rPr>
        <w:t xml:space="preserve"> ainsi que l'ensemble du corps enseignant du Master 2 Sciences de la Donnée de Santé pour la formation solide en biostatistiques, modélisation et programmation qui m'a permis de mener à bien ce projet.</w:t>
      </w:r>
    </w:p>
    <w:p w14:paraId="7AB3310E" w14:textId="77777777" w:rsidR="006573EB" w:rsidRPr="00463A58" w:rsidRDefault="00000000">
      <w:pPr>
        <w:rPr>
          <w:lang w:val="fr-FR"/>
        </w:rPr>
      </w:pPr>
      <w:r w:rsidRPr="00463A58">
        <w:rPr>
          <w:lang w:val="fr-FR"/>
        </w:rPr>
        <w:br w:type="page"/>
      </w:r>
    </w:p>
    <w:p w14:paraId="476DEB62"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Résumé</w:t>
      </w:r>
    </w:p>
    <w:p w14:paraId="5EEBEDD5" w14:textId="77777777" w:rsidR="006573EB" w:rsidRPr="00463A58" w:rsidRDefault="00000000">
      <w:pPr>
        <w:spacing w:after="120"/>
        <w:ind w:firstLine="567"/>
        <w:jc w:val="both"/>
        <w:rPr>
          <w:lang w:val="fr-FR"/>
        </w:rPr>
      </w:pPr>
      <w:r w:rsidRPr="00463A58">
        <w:rPr>
          <w:rFonts w:ascii="Times New Roman" w:hAnsi="Times New Roman"/>
          <w:sz w:val="24"/>
          <w:lang w:val="fr-FR"/>
        </w:rPr>
        <w:t>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représente la principale toxicité dose-limitante des anticorps-drogue conjugués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une classe thérapeutique en plein essor en oncologie. Sa prédiction précoce et quantitative est un enjeu majeur pour la sécurité des patients et l'optimisation des schémas posologiques.</w:t>
      </w:r>
    </w:p>
    <w:p w14:paraId="1C0FFF6A" w14:textId="1909BA8A" w:rsidR="006573EB" w:rsidRPr="00463A58" w:rsidRDefault="00000000">
      <w:pPr>
        <w:spacing w:after="120"/>
        <w:ind w:firstLine="567"/>
        <w:jc w:val="both"/>
        <w:rPr>
          <w:lang w:val="fr-FR"/>
        </w:rPr>
      </w:pPr>
      <w:r w:rsidRPr="00463A58">
        <w:rPr>
          <w:rFonts w:ascii="Times New Roman" w:hAnsi="Times New Roman"/>
          <w:sz w:val="24"/>
          <w:lang w:val="fr-FR"/>
        </w:rPr>
        <w:t xml:space="preserve">Ce mémoire présente le développement d'un pipeline computationnel PK/PD semi-mécaniste, implémenté sous R, permettant de simuler la dynamique hématologique de patients traités par </w:t>
      </w:r>
      <w:r w:rsidR="00463A58">
        <w:rPr>
          <w:rFonts w:ascii="Times New Roman" w:hAnsi="Times New Roman"/>
          <w:sz w:val="24"/>
          <w:lang w:val="fr-FR"/>
        </w:rPr>
        <w:t>différents médicaments</w:t>
      </w:r>
      <w:r w:rsidRPr="00463A58">
        <w:rPr>
          <w:rFonts w:ascii="Times New Roman" w:hAnsi="Times New Roman"/>
          <w:sz w:val="24"/>
          <w:lang w:val="fr-FR"/>
        </w:rPr>
        <w:t xml:space="preserve">. Le cadre théorique repose sur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qui décrit l'hématopoïèse en compartiments successifs (MPP, CMP/MEP, neutrophiles, monocytes, réticulocytes, érythrocytes, plaquettes) régulés par des feedbacks homéostatiques.</w:t>
      </w:r>
    </w:p>
    <w:p w14:paraId="2CC642BA"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pipeline a été développé en quatre étapes progressives : (1) reproduction et validation du modèle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sur données de rat traitées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xml:space="preserve"> ; (2) application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(trastuzumab </w:t>
      </w:r>
      <w:proofErr w:type="spellStart"/>
      <w:r w:rsidRPr="00463A58">
        <w:rPr>
          <w:rFonts w:ascii="Times New Roman" w:hAnsi="Times New Roman"/>
          <w:sz w:val="24"/>
          <w:lang w:val="fr-FR"/>
        </w:rPr>
        <w:t>déruxtécan</w:t>
      </w:r>
      <w:proofErr w:type="spellEnd"/>
      <w:r w:rsidRPr="00463A58">
        <w:rPr>
          <w:rFonts w:ascii="Times New Roman" w:hAnsi="Times New Roman"/>
          <w:sz w:val="24"/>
          <w:lang w:val="fr-FR"/>
        </w:rPr>
        <w:t>) avec simulation de population virtuelle de 300 patients, aboutissant à une prédiction des grades CTCAE v5 en accord avec les données cliniques FDA (BLA 761139, DESTINY-Breast01, n=184) ; (3) application à un composé en développement interne sur données NHP précliniques (n=8, 4 niveaux de dose), incluant une analyse non-compartimentale, un ajustement PK individuel à 2 compartiments et une calibration PD ; (4) perspectives de traduction clinique basées sur les paramètres NHP.</w:t>
      </w:r>
    </w:p>
    <w:p w14:paraId="4CFA9C68" w14:textId="77777777" w:rsidR="006573EB" w:rsidRPr="00463A58" w:rsidRDefault="00000000">
      <w:pPr>
        <w:spacing w:after="120"/>
        <w:ind w:firstLine="567"/>
        <w:jc w:val="both"/>
        <w:rPr>
          <w:lang w:val="fr-FR"/>
        </w:rPr>
      </w:pPr>
      <w:r w:rsidRPr="00463A58">
        <w:rPr>
          <w:rFonts w:ascii="Times New Roman" w:hAnsi="Times New Roman"/>
          <w:sz w:val="24"/>
          <w:lang w:val="fr-FR"/>
        </w:rPr>
        <w:t>Les résultats démontrent la robustesse et la généricité du pipeline, capable d'intégrer des données de plusieurs espèces et composés dans un cadre méthodologique unifié et reproductible.</w:t>
      </w:r>
    </w:p>
    <w:p w14:paraId="454F1C85" w14:textId="77777777" w:rsidR="006573EB" w:rsidRPr="00463A58" w:rsidRDefault="006573EB">
      <w:pPr>
        <w:rPr>
          <w:lang w:val="fr-FR"/>
        </w:rPr>
      </w:pPr>
    </w:p>
    <w:p w14:paraId="0705F2E3" w14:textId="77777777" w:rsidR="006573EB" w:rsidRPr="00463A58" w:rsidRDefault="00000000">
      <w:pPr>
        <w:rPr>
          <w:lang w:val="fr-FR"/>
        </w:rPr>
      </w:pPr>
      <w:r w:rsidRPr="00463A58">
        <w:rPr>
          <w:rFonts w:ascii="Times New Roman" w:hAnsi="Times New Roman"/>
          <w:b/>
          <w:lang w:val="fr-FR"/>
        </w:rPr>
        <w:t xml:space="preserve">Mots-clés : </w:t>
      </w:r>
      <w:r w:rsidRPr="00463A58">
        <w:rPr>
          <w:rFonts w:ascii="Times New Roman" w:hAnsi="Times New Roman"/>
          <w:i/>
          <w:lang w:val="fr-FR"/>
        </w:rPr>
        <w:t xml:space="preserve">PK/PD, </w:t>
      </w:r>
      <w:proofErr w:type="spellStart"/>
      <w:r w:rsidRPr="00463A58">
        <w:rPr>
          <w:rFonts w:ascii="Times New Roman" w:hAnsi="Times New Roman"/>
          <w:i/>
          <w:lang w:val="fr-FR"/>
        </w:rPr>
        <w:t>hématotoxicité</w:t>
      </w:r>
      <w:proofErr w:type="spellEnd"/>
      <w:r w:rsidRPr="00463A58">
        <w:rPr>
          <w:rFonts w:ascii="Times New Roman" w:hAnsi="Times New Roman"/>
          <w:i/>
          <w:lang w:val="fr-FR"/>
        </w:rPr>
        <w:t>, modélisation semi-mécaniste, ADC, simulation de population, rxode2, CTCAE, anticorps-drogue conjugué, pharmacologie quantitative, sciences de la donnée</w:t>
      </w:r>
    </w:p>
    <w:p w14:paraId="0A439668" w14:textId="77777777" w:rsidR="006573EB" w:rsidRPr="00463A58" w:rsidRDefault="00000000">
      <w:pPr>
        <w:rPr>
          <w:lang w:val="fr-FR"/>
        </w:rPr>
      </w:pPr>
      <w:r w:rsidRPr="00463A58">
        <w:rPr>
          <w:lang w:val="fr-FR"/>
        </w:rPr>
        <w:br w:type="page"/>
      </w:r>
    </w:p>
    <w:p w14:paraId="5DEDC023" w14:textId="77777777" w:rsidR="006573EB" w:rsidRDefault="00000000">
      <w:pPr>
        <w:keepNext/>
        <w:spacing w:before="360" w:after="80"/>
      </w:pPr>
      <w:r>
        <w:rPr>
          <w:rFonts w:ascii="Times New Roman" w:hAnsi="Times New Roman"/>
          <w:b/>
          <w:color w:val="2C3E50"/>
          <w:sz w:val="32"/>
          <w:u w:val="single"/>
        </w:rPr>
        <w:lastRenderedPageBreak/>
        <w:t>Abstract</w:t>
      </w:r>
    </w:p>
    <w:p w14:paraId="04F0ECF0" w14:textId="77777777" w:rsidR="006573EB" w:rsidRDefault="00000000">
      <w:pPr>
        <w:spacing w:after="120"/>
        <w:ind w:firstLine="567"/>
        <w:jc w:val="both"/>
      </w:pPr>
      <w:r>
        <w:rPr>
          <w:rFonts w:ascii="Times New Roman" w:hAnsi="Times New Roman"/>
          <w:sz w:val="24"/>
        </w:rPr>
        <w:t>Hematotoxicity is the primary dose-limiting toxicity of antibody-drug conjugates (ADCs), a rapidly expanding therapeutic class in oncology. Early quantitative prediction of hematotoxicity is a major challenge for patient safety and dosing regimen optimization.</w:t>
      </w:r>
    </w:p>
    <w:p w14:paraId="29BE6E15" w14:textId="62FBF5CB" w:rsidR="006573EB" w:rsidRDefault="00000000">
      <w:pPr>
        <w:spacing w:after="120"/>
        <w:ind w:firstLine="567"/>
        <w:jc w:val="both"/>
      </w:pPr>
      <w:r>
        <w:rPr>
          <w:rFonts w:ascii="Times New Roman" w:hAnsi="Times New Roman"/>
          <w:sz w:val="24"/>
        </w:rPr>
        <w:t xml:space="preserve">This thesis presents the development of a semi-mechanistic PK/PD computational pipeline, implemented in R using the rxode2 library, to simulate the hematological dynamics of patients treated with </w:t>
      </w:r>
      <w:r w:rsidR="00463A58">
        <w:rPr>
          <w:rFonts w:ascii="Times New Roman" w:hAnsi="Times New Roman"/>
          <w:sz w:val="24"/>
        </w:rPr>
        <w:t>different drugs</w:t>
      </w:r>
      <w:r>
        <w:rPr>
          <w:rFonts w:ascii="Times New Roman" w:hAnsi="Times New Roman"/>
          <w:sz w:val="24"/>
        </w:rPr>
        <w:t>. The theoretical framework is based on the Fornari (2019) model, which describes hematopoiesis through successive compartments (MPP, CMP/MEP, neutrophils, monocytes, reticulocytes, red blood cells, platelets) regulated by homeostatic feedbacks.</w:t>
      </w:r>
    </w:p>
    <w:p w14:paraId="0991ECA1" w14:textId="77777777" w:rsidR="006573EB" w:rsidRDefault="00000000">
      <w:pPr>
        <w:spacing w:after="120"/>
        <w:ind w:firstLine="567"/>
        <w:jc w:val="both"/>
      </w:pPr>
      <w:r>
        <w:rPr>
          <w:rFonts w:ascii="Times New Roman" w:hAnsi="Times New Roman"/>
          <w:sz w:val="24"/>
        </w:rPr>
        <w:t>The pipeline was developed in four progressive steps: (1) reproduction and validation of the Fornari model on rat carboplatin data; (2) application to T-DXd (trastuzumab deruxtecan) with virtual population simulation of 300 patients, yielding CTCAE v5 grade predictions consistent with FDA clinical data (BLA 761139, DESTINY-Breast01, n=184); (3) application to an internally developed compound using preclinical NHP data (n=8, 4 dose levels), including non-compartmental analysis, individual 2-compartment PK fitting, and PD calibration; (4) perspectives for clinical translation based on NHP parameters.</w:t>
      </w:r>
    </w:p>
    <w:p w14:paraId="3E2F9D87" w14:textId="77777777" w:rsidR="006573EB" w:rsidRDefault="006573EB"/>
    <w:p w14:paraId="43BB10FF" w14:textId="77777777" w:rsidR="006573EB" w:rsidRDefault="00000000">
      <w:r>
        <w:rPr>
          <w:rFonts w:ascii="Times New Roman" w:hAnsi="Times New Roman"/>
          <w:b/>
        </w:rPr>
        <w:t xml:space="preserve">Keywords: </w:t>
      </w:r>
      <w:r>
        <w:rPr>
          <w:rFonts w:ascii="Times New Roman" w:hAnsi="Times New Roman"/>
          <w:i/>
        </w:rPr>
        <w:t>PK/PD, hematotoxicity, semi-mechanistic modeling, ADC, population simulation, rxode2, CTCAE, antibody-drug conjugate, quantitative pharmacology, health data science</w:t>
      </w:r>
    </w:p>
    <w:p w14:paraId="7A87CF04" w14:textId="77777777" w:rsidR="006573EB" w:rsidRDefault="00000000">
      <w:r>
        <w:br w:type="page"/>
      </w:r>
    </w:p>
    <w:p w14:paraId="471DB820" w14:textId="77777777" w:rsidR="006573EB" w:rsidRDefault="00000000">
      <w:pPr>
        <w:keepNext/>
        <w:spacing w:before="360" w:after="80"/>
      </w:pPr>
      <w:r>
        <w:rPr>
          <w:rFonts w:ascii="Times New Roman" w:hAnsi="Times New Roman"/>
          <w:b/>
          <w:color w:val="2C3E50"/>
          <w:sz w:val="32"/>
          <w:u w:val="single"/>
        </w:rPr>
        <w:lastRenderedPageBreak/>
        <w:t>Liste des abréviations</w:t>
      </w:r>
    </w:p>
    <w:tbl>
      <w:tblPr>
        <w:tblStyle w:val="Grilledutableau"/>
        <w:tblW w:w="0" w:type="auto"/>
        <w:tblLook w:val="04A0" w:firstRow="1" w:lastRow="0" w:firstColumn="1" w:lastColumn="0" w:noHBand="0" w:noVBand="1"/>
      </w:tblPr>
      <w:tblGrid>
        <w:gridCol w:w="1984"/>
        <w:gridCol w:w="6803"/>
      </w:tblGrid>
      <w:tr w:rsidR="006573EB" w14:paraId="76B60D36" w14:textId="77777777">
        <w:tc>
          <w:tcPr>
            <w:tcW w:w="1984" w:type="dxa"/>
            <w:shd w:val="clear" w:color="auto" w:fill="2C3E50"/>
          </w:tcPr>
          <w:p w14:paraId="5A2D7E36" w14:textId="77777777" w:rsidR="006573EB" w:rsidRDefault="00000000">
            <w:pPr>
              <w:jc w:val="center"/>
            </w:pPr>
            <w:r>
              <w:rPr>
                <w:rFonts w:ascii="Times New Roman" w:hAnsi="Times New Roman"/>
                <w:b/>
                <w:color w:val="FFFFFF"/>
                <w:sz w:val="20"/>
              </w:rPr>
              <w:t>Abréviation</w:t>
            </w:r>
          </w:p>
        </w:tc>
        <w:tc>
          <w:tcPr>
            <w:tcW w:w="6803" w:type="dxa"/>
            <w:shd w:val="clear" w:color="auto" w:fill="2C3E50"/>
          </w:tcPr>
          <w:p w14:paraId="1E4FCE9D" w14:textId="77777777" w:rsidR="006573EB" w:rsidRDefault="00000000">
            <w:pPr>
              <w:jc w:val="center"/>
            </w:pPr>
            <w:r>
              <w:rPr>
                <w:rFonts w:ascii="Times New Roman" w:hAnsi="Times New Roman"/>
                <w:b/>
                <w:color w:val="FFFFFF"/>
                <w:sz w:val="20"/>
              </w:rPr>
              <w:t>Signification</w:t>
            </w:r>
          </w:p>
        </w:tc>
      </w:tr>
      <w:tr w:rsidR="006573EB" w:rsidRPr="00463A58" w14:paraId="1382DCFB" w14:textId="77777777">
        <w:tc>
          <w:tcPr>
            <w:tcW w:w="1984" w:type="dxa"/>
            <w:shd w:val="clear" w:color="auto" w:fill="F2F2F2"/>
          </w:tcPr>
          <w:p w14:paraId="4125C8F4" w14:textId="77777777" w:rsidR="006573EB" w:rsidRDefault="00000000">
            <w:pPr>
              <w:jc w:val="center"/>
            </w:pPr>
            <w:r>
              <w:rPr>
                <w:rFonts w:ascii="Times New Roman" w:hAnsi="Times New Roman"/>
                <w:sz w:val="20"/>
              </w:rPr>
              <w:t>ADC</w:t>
            </w:r>
          </w:p>
        </w:tc>
        <w:tc>
          <w:tcPr>
            <w:tcW w:w="6803" w:type="dxa"/>
            <w:shd w:val="clear" w:color="auto" w:fill="F2F2F2"/>
          </w:tcPr>
          <w:p w14:paraId="619B07B0" w14:textId="77777777" w:rsidR="006573EB" w:rsidRPr="00463A58" w:rsidRDefault="00000000">
            <w:pPr>
              <w:jc w:val="center"/>
              <w:rPr>
                <w:lang w:val="fr-FR"/>
              </w:rPr>
            </w:pPr>
            <w:proofErr w:type="spellStart"/>
            <w:r w:rsidRPr="00463A58">
              <w:rPr>
                <w:rFonts w:ascii="Times New Roman" w:hAnsi="Times New Roman"/>
                <w:sz w:val="20"/>
                <w:lang w:val="fr-FR"/>
              </w:rPr>
              <w:t>Antibody</w:t>
            </w:r>
            <w:proofErr w:type="spellEnd"/>
            <w:r w:rsidRPr="00463A58">
              <w:rPr>
                <w:rFonts w:ascii="Times New Roman" w:hAnsi="Times New Roman"/>
                <w:sz w:val="20"/>
                <w:lang w:val="fr-FR"/>
              </w:rPr>
              <w:t xml:space="preserve">-Drug </w:t>
            </w:r>
            <w:proofErr w:type="spellStart"/>
            <w:r w:rsidRPr="00463A58">
              <w:rPr>
                <w:rFonts w:ascii="Times New Roman" w:hAnsi="Times New Roman"/>
                <w:sz w:val="20"/>
                <w:lang w:val="fr-FR"/>
              </w:rPr>
              <w:t>Conjugate</w:t>
            </w:r>
            <w:proofErr w:type="spellEnd"/>
            <w:r w:rsidRPr="00463A58">
              <w:rPr>
                <w:rFonts w:ascii="Times New Roman" w:hAnsi="Times New Roman"/>
                <w:sz w:val="20"/>
                <w:lang w:val="fr-FR"/>
              </w:rPr>
              <w:t xml:space="preserve"> (anticorps-drogue conjugué)</w:t>
            </w:r>
          </w:p>
        </w:tc>
      </w:tr>
      <w:tr w:rsidR="006573EB" w14:paraId="0EC4BCFC" w14:textId="77777777">
        <w:tc>
          <w:tcPr>
            <w:tcW w:w="1984" w:type="dxa"/>
            <w:shd w:val="clear" w:color="auto" w:fill="FFFFFF"/>
          </w:tcPr>
          <w:p w14:paraId="1E644E32" w14:textId="77777777" w:rsidR="006573EB" w:rsidRDefault="00000000">
            <w:pPr>
              <w:jc w:val="center"/>
            </w:pPr>
            <w:r>
              <w:rPr>
                <w:rFonts w:ascii="Times New Roman" w:hAnsi="Times New Roman"/>
                <w:sz w:val="20"/>
              </w:rPr>
              <w:t>AUC</w:t>
            </w:r>
          </w:p>
        </w:tc>
        <w:tc>
          <w:tcPr>
            <w:tcW w:w="6803" w:type="dxa"/>
            <w:shd w:val="clear" w:color="auto" w:fill="FFFFFF"/>
          </w:tcPr>
          <w:p w14:paraId="091892CF" w14:textId="77777777" w:rsidR="006573EB" w:rsidRDefault="00000000">
            <w:pPr>
              <w:jc w:val="center"/>
            </w:pPr>
            <w:r>
              <w:rPr>
                <w:rFonts w:ascii="Times New Roman" w:hAnsi="Times New Roman"/>
                <w:sz w:val="20"/>
              </w:rPr>
              <w:t>Area Under the Curve (aire sous la courbe)</w:t>
            </w:r>
          </w:p>
        </w:tc>
      </w:tr>
      <w:tr w:rsidR="006573EB" w:rsidRPr="00463A58" w14:paraId="6E0B6191" w14:textId="77777777">
        <w:tc>
          <w:tcPr>
            <w:tcW w:w="1984" w:type="dxa"/>
            <w:shd w:val="clear" w:color="auto" w:fill="F2F2F2"/>
          </w:tcPr>
          <w:p w14:paraId="2C92C25A" w14:textId="77777777" w:rsidR="006573EB" w:rsidRDefault="00000000">
            <w:pPr>
              <w:jc w:val="center"/>
            </w:pPr>
            <w:r>
              <w:rPr>
                <w:rFonts w:ascii="Times New Roman" w:hAnsi="Times New Roman"/>
                <w:sz w:val="20"/>
              </w:rPr>
              <w:t>BLA</w:t>
            </w:r>
          </w:p>
        </w:tc>
        <w:tc>
          <w:tcPr>
            <w:tcW w:w="6803" w:type="dxa"/>
            <w:shd w:val="clear" w:color="auto" w:fill="F2F2F2"/>
          </w:tcPr>
          <w:p w14:paraId="1536B005" w14:textId="77777777" w:rsidR="006573EB" w:rsidRPr="00463A58" w:rsidRDefault="00000000">
            <w:pPr>
              <w:jc w:val="center"/>
              <w:rPr>
                <w:lang w:val="fr-FR"/>
              </w:rPr>
            </w:pPr>
            <w:proofErr w:type="spellStart"/>
            <w:r w:rsidRPr="00463A58">
              <w:rPr>
                <w:rFonts w:ascii="Times New Roman" w:hAnsi="Times New Roman"/>
                <w:sz w:val="20"/>
                <w:lang w:val="fr-FR"/>
              </w:rPr>
              <w:t>Biologics</w:t>
            </w:r>
            <w:proofErr w:type="spellEnd"/>
            <w:r w:rsidRPr="00463A58">
              <w:rPr>
                <w:rFonts w:ascii="Times New Roman" w:hAnsi="Times New Roman"/>
                <w:sz w:val="20"/>
                <w:lang w:val="fr-FR"/>
              </w:rPr>
              <w:t xml:space="preserve"> License Application (dossier d'autorisation FDA)</w:t>
            </w:r>
          </w:p>
        </w:tc>
      </w:tr>
      <w:tr w:rsidR="006573EB" w14:paraId="70F16F45" w14:textId="77777777">
        <w:tc>
          <w:tcPr>
            <w:tcW w:w="1984" w:type="dxa"/>
            <w:shd w:val="clear" w:color="auto" w:fill="FFFFFF"/>
          </w:tcPr>
          <w:p w14:paraId="45AAE8E4" w14:textId="77777777" w:rsidR="006573EB" w:rsidRDefault="00000000">
            <w:pPr>
              <w:jc w:val="center"/>
            </w:pPr>
            <w:r>
              <w:rPr>
                <w:rFonts w:ascii="Times New Roman" w:hAnsi="Times New Roman"/>
                <w:sz w:val="20"/>
              </w:rPr>
              <w:t>CFU</w:t>
            </w:r>
          </w:p>
        </w:tc>
        <w:tc>
          <w:tcPr>
            <w:tcW w:w="6803" w:type="dxa"/>
            <w:shd w:val="clear" w:color="auto" w:fill="FFFFFF"/>
          </w:tcPr>
          <w:p w14:paraId="48B55E5A" w14:textId="77777777" w:rsidR="006573EB" w:rsidRDefault="00000000">
            <w:pPr>
              <w:jc w:val="center"/>
            </w:pPr>
            <w:r>
              <w:rPr>
                <w:rFonts w:ascii="Times New Roman" w:hAnsi="Times New Roman"/>
                <w:sz w:val="20"/>
              </w:rPr>
              <w:t>Colony-Forming Unit (unité formant colonie)</w:t>
            </w:r>
          </w:p>
        </w:tc>
      </w:tr>
      <w:tr w:rsidR="006573EB" w14:paraId="7D5A1E54" w14:textId="77777777">
        <w:tc>
          <w:tcPr>
            <w:tcW w:w="1984" w:type="dxa"/>
            <w:shd w:val="clear" w:color="auto" w:fill="F2F2F2"/>
          </w:tcPr>
          <w:p w14:paraId="79469C54" w14:textId="77777777" w:rsidR="006573EB" w:rsidRDefault="00000000">
            <w:pPr>
              <w:jc w:val="center"/>
            </w:pPr>
            <w:r>
              <w:rPr>
                <w:rFonts w:ascii="Times New Roman" w:hAnsi="Times New Roman"/>
                <w:sz w:val="20"/>
              </w:rPr>
              <w:t>CL</w:t>
            </w:r>
          </w:p>
        </w:tc>
        <w:tc>
          <w:tcPr>
            <w:tcW w:w="6803" w:type="dxa"/>
            <w:shd w:val="clear" w:color="auto" w:fill="F2F2F2"/>
          </w:tcPr>
          <w:p w14:paraId="24E842DF" w14:textId="77777777" w:rsidR="006573EB" w:rsidRDefault="00000000">
            <w:pPr>
              <w:jc w:val="center"/>
            </w:pPr>
            <w:r>
              <w:rPr>
                <w:rFonts w:ascii="Times New Roman" w:hAnsi="Times New Roman"/>
                <w:sz w:val="20"/>
              </w:rPr>
              <w:t>Clairance (clearance)</w:t>
            </w:r>
          </w:p>
        </w:tc>
      </w:tr>
      <w:tr w:rsidR="006573EB" w14:paraId="3858CDDC" w14:textId="77777777">
        <w:tc>
          <w:tcPr>
            <w:tcW w:w="1984" w:type="dxa"/>
            <w:shd w:val="clear" w:color="auto" w:fill="FFFFFF"/>
          </w:tcPr>
          <w:p w14:paraId="054A7B00" w14:textId="77777777" w:rsidR="006573EB" w:rsidRDefault="00000000">
            <w:pPr>
              <w:jc w:val="center"/>
            </w:pPr>
            <w:r>
              <w:rPr>
                <w:rFonts w:ascii="Times New Roman" w:hAnsi="Times New Roman"/>
                <w:sz w:val="20"/>
              </w:rPr>
              <w:t>CMP</w:t>
            </w:r>
          </w:p>
        </w:tc>
        <w:tc>
          <w:tcPr>
            <w:tcW w:w="6803" w:type="dxa"/>
            <w:shd w:val="clear" w:color="auto" w:fill="FFFFFF"/>
          </w:tcPr>
          <w:p w14:paraId="155D537E" w14:textId="77777777" w:rsidR="006573EB" w:rsidRDefault="00000000">
            <w:pPr>
              <w:jc w:val="center"/>
            </w:pPr>
            <w:r>
              <w:rPr>
                <w:rFonts w:ascii="Times New Roman" w:hAnsi="Times New Roman"/>
                <w:sz w:val="20"/>
              </w:rPr>
              <w:t>Common Myeloid Progenitor (progéniteur myéloïde commun)</w:t>
            </w:r>
          </w:p>
        </w:tc>
      </w:tr>
      <w:tr w:rsidR="006573EB" w14:paraId="72C8887F" w14:textId="77777777">
        <w:tc>
          <w:tcPr>
            <w:tcW w:w="1984" w:type="dxa"/>
            <w:shd w:val="clear" w:color="auto" w:fill="F2F2F2"/>
          </w:tcPr>
          <w:p w14:paraId="41DE3688" w14:textId="77777777" w:rsidR="006573EB" w:rsidRDefault="00000000">
            <w:pPr>
              <w:jc w:val="center"/>
            </w:pPr>
            <w:r>
              <w:rPr>
                <w:rFonts w:ascii="Times New Roman" w:hAnsi="Times New Roman"/>
                <w:sz w:val="20"/>
              </w:rPr>
              <w:t>CTCAE</w:t>
            </w:r>
          </w:p>
        </w:tc>
        <w:tc>
          <w:tcPr>
            <w:tcW w:w="6803" w:type="dxa"/>
            <w:shd w:val="clear" w:color="auto" w:fill="F2F2F2"/>
          </w:tcPr>
          <w:p w14:paraId="04DECF6F" w14:textId="77777777" w:rsidR="006573EB" w:rsidRDefault="00000000">
            <w:pPr>
              <w:jc w:val="center"/>
            </w:pPr>
            <w:r>
              <w:rPr>
                <w:rFonts w:ascii="Times New Roman" w:hAnsi="Times New Roman"/>
                <w:sz w:val="20"/>
              </w:rPr>
              <w:t>Common Terminology Criteria for Adverse Events</w:t>
            </w:r>
          </w:p>
        </w:tc>
      </w:tr>
      <w:tr w:rsidR="006573EB" w14:paraId="0EC38E8A" w14:textId="77777777">
        <w:tc>
          <w:tcPr>
            <w:tcW w:w="1984" w:type="dxa"/>
            <w:shd w:val="clear" w:color="auto" w:fill="FFFFFF"/>
          </w:tcPr>
          <w:p w14:paraId="122972AA" w14:textId="77777777" w:rsidR="006573EB" w:rsidRDefault="00000000">
            <w:pPr>
              <w:jc w:val="center"/>
            </w:pPr>
            <w:r>
              <w:rPr>
                <w:rFonts w:ascii="Times New Roman" w:hAnsi="Times New Roman"/>
                <w:sz w:val="20"/>
              </w:rPr>
              <w:t>EMA</w:t>
            </w:r>
          </w:p>
        </w:tc>
        <w:tc>
          <w:tcPr>
            <w:tcW w:w="6803" w:type="dxa"/>
            <w:shd w:val="clear" w:color="auto" w:fill="FFFFFF"/>
          </w:tcPr>
          <w:p w14:paraId="5B20A76B" w14:textId="77777777" w:rsidR="006573EB" w:rsidRDefault="00000000">
            <w:pPr>
              <w:jc w:val="center"/>
            </w:pPr>
            <w:r>
              <w:rPr>
                <w:rFonts w:ascii="Times New Roman" w:hAnsi="Times New Roman"/>
                <w:sz w:val="20"/>
              </w:rPr>
              <w:t>European Medicines Agency</w:t>
            </w:r>
          </w:p>
        </w:tc>
      </w:tr>
      <w:tr w:rsidR="006573EB" w14:paraId="5FFEA262" w14:textId="77777777">
        <w:tc>
          <w:tcPr>
            <w:tcW w:w="1984" w:type="dxa"/>
            <w:shd w:val="clear" w:color="auto" w:fill="F2F2F2"/>
          </w:tcPr>
          <w:p w14:paraId="7F3FEF5D" w14:textId="77777777" w:rsidR="006573EB" w:rsidRDefault="00000000">
            <w:pPr>
              <w:jc w:val="center"/>
            </w:pPr>
            <w:r>
              <w:rPr>
                <w:rFonts w:ascii="Times New Roman" w:hAnsi="Times New Roman"/>
                <w:sz w:val="20"/>
              </w:rPr>
              <w:t>FDA</w:t>
            </w:r>
          </w:p>
        </w:tc>
        <w:tc>
          <w:tcPr>
            <w:tcW w:w="6803" w:type="dxa"/>
            <w:shd w:val="clear" w:color="auto" w:fill="F2F2F2"/>
          </w:tcPr>
          <w:p w14:paraId="52CEBB92" w14:textId="77777777" w:rsidR="006573EB" w:rsidRDefault="00000000">
            <w:pPr>
              <w:jc w:val="center"/>
            </w:pPr>
            <w:r>
              <w:rPr>
                <w:rFonts w:ascii="Times New Roman" w:hAnsi="Times New Roman"/>
                <w:sz w:val="20"/>
              </w:rPr>
              <w:t>Food and Drug Administration</w:t>
            </w:r>
          </w:p>
        </w:tc>
      </w:tr>
      <w:tr w:rsidR="006573EB" w14:paraId="718200B7" w14:textId="77777777">
        <w:tc>
          <w:tcPr>
            <w:tcW w:w="1984" w:type="dxa"/>
            <w:shd w:val="clear" w:color="auto" w:fill="FFFFFF"/>
          </w:tcPr>
          <w:p w14:paraId="46A87B58" w14:textId="77777777" w:rsidR="006573EB" w:rsidRDefault="00000000">
            <w:pPr>
              <w:jc w:val="center"/>
            </w:pPr>
            <w:r>
              <w:rPr>
                <w:rFonts w:ascii="Times New Roman" w:hAnsi="Times New Roman"/>
                <w:sz w:val="20"/>
              </w:rPr>
              <w:t>HER2</w:t>
            </w:r>
          </w:p>
        </w:tc>
        <w:tc>
          <w:tcPr>
            <w:tcW w:w="6803" w:type="dxa"/>
            <w:shd w:val="clear" w:color="auto" w:fill="FFFFFF"/>
          </w:tcPr>
          <w:p w14:paraId="4890AE78" w14:textId="77777777" w:rsidR="006573EB" w:rsidRDefault="00000000">
            <w:pPr>
              <w:jc w:val="center"/>
            </w:pPr>
            <w:r>
              <w:rPr>
                <w:rFonts w:ascii="Times New Roman" w:hAnsi="Times New Roman"/>
                <w:sz w:val="20"/>
              </w:rPr>
              <w:t>Human Epidermal growth factor Receptor 2</w:t>
            </w:r>
          </w:p>
        </w:tc>
      </w:tr>
      <w:tr w:rsidR="006573EB" w14:paraId="6F853FA4" w14:textId="77777777">
        <w:tc>
          <w:tcPr>
            <w:tcW w:w="1984" w:type="dxa"/>
            <w:shd w:val="clear" w:color="auto" w:fill="F2F2F2"/>
          </w:tcPr>
          <w:p w14:paraId="2362657E" w14:textId="77777777" w:rsidR="006573EB" w:rsidRDefault="00000000">
            <w:pPr>
              <w:jc w:val="center"/>
            </w:pPr>
            <w:r>
              <w:rPr>
                <w:rFonts w:ascii="Times New Roman" w:hAnsi="Times New Roman"/>
                <w:sz w:val="20"/>
              </w:rPr>
              <w:t>IC50</w:t>
            </w:r>
          </w:p>
        </w:tc>
        <w:tc>
          <w:tcPr>
            <w:tcW w:w="6803" w:type="dxa"/>
            <w:shd w:val="clear" w:color="auto" w:fill="F2F2F2"/>
          </w:tcPr>
          <w:p w14:paraId="10DC53BD" w14:textId="77777777" w:rsidR="006573EB" w:rsidRDefault="00000000">
            <w:pPr>
              <w:jc w:val="center"/>
            </w:pPr>
            <w:r>
              <w:rPr>
                <w:rFonts w:ascii="Times New Roman" w:hAnsi="Times New Roman"/>
                <w:sz w:val="20"/>
              </w:rPr>
              <w:t>Concentration inhibitrice à 50%</w:t>
            </w:r>
          </w:p>
        </w:tc>
      </w:tr>
      <w:tr w:rsidR="006573EB" w14:paraId="1587B73E" w14:textId="77777777">
        <w:tc>
          <w:tcPr>
            <w:tcW w:w="1984" w:type="dxa"/>
            <w:shd w:val="clear" w:color="auto" w:fill="FFFFFF"/>
          </w:tcPr>
          <w:p w14:paraId="65E76971" w14:textId="77777777" w:rsidR="006573EB" w:rsidRDefault="00000000">
            <w:pPr>
              <w:jc w:val="center"/>
            </w:pPr>
            <w:r>
              <w:rPr>
                <w:rFonts w:ascii="Times New Roman" w:hAnsi="Times New Roman"/>
                <w:sz w:val="20"/>
              </w:rPr>
              <w:t>IV</w:t>
            </w:r>
          </w:p>
        </w:tc>
        <w:tc>
          <w:tcPr>
            <w:tcW w:w="6803" w:type="dxa"/>
            <w:shd w:val="clear" w:color="auto" w:fill="FFFFFF"/>
          </w:tcPr>
          <w:p w14:paraId="79C4FF6B" w14:textId="77777777" w:rsidR="006573EB" w:rsidRDefault="00000000">
            <w:pPr>
              <w:jc w:val="center"/>
            </w:pPr>
            <w:r>
              <w:rPr>
                <w:rFonts w:ascii="Times New Roman" w:hAnsi="Times New Roman"/>
                <w:sz w:val="20"/>
              </w:rPr>
              <w:t>Intraveineux</w:t>
            </w:r>
          </w:p>
        </w:tc>
      </w:tr>
      <w:tr w:rsidR="006573EB" w14:paraId="63561E2E" w14:textId="77777777">
        <w:tc>
          <w:tcPr>
            <w:tcW w:w="1984" w:type="dxa"/>
            <w:shd w:val="clear" w:color="auto" w:fill="F2F2F2"/>
          </w:tcPr>
          <w:p w14:paraId="128D734F" w14:textId="77777777" w:rsidR="006573EB" w:rsidRDefault="00000000">
            <w:pPr>
              <w:jc w:val="center"/>
            </w:pPr>
            <w:r>
              <w:rPr>
                <w:rFonts w:ascii="Times New Roman" w:hAnsi="Times New Roman"/>
                <w:sz w:val="20"/>
              </w:rPr>
              <w:t>MEP</w:t>
            </w:r>
          </w:p>
        </w:tc>
        <w:tc>
          <w:tcPr>
            <w:tcW w:w="6803" w:type="dxa"/>
            <w:shd w:val="clear" w:color="auto" w:fill="F2F2F2"/>
          </w:tcPr>
          <w:p w14:paraId="578D5080" w14:textId="77777777" w:rsidR="006573EB" w:rsidRDefault="00000000">
            <w:pPr>
              <w:jc w:val="center"/>
            </w:pPr>
            <w:r>
              <w:rPr>
                <w:rFonts w:ascii="Times New Roman" w:hAnsi="Times New Roman"/>
                <w:sz w:val="20"/>
              </w:rPr>
              <w:t>Megakaryocyte-Erythroid Progenitor</w:t>
            </w:r>
          </w:p>
        </w:tc>
      </w:tr>
      <w:tr w:rsidR="006573EB" w14:paraId="2ED51D31" w14:textId="77777777">
        <w:tc>
          <w:tcPr>
            <w:tcW w:w="1984" w:type="dxa"/>
            <w:shd w:val="clear" w:color="auto" w:fill="FFFFFF"/>
          </w:tcPr>
          <w:p w14:paraId="79D0C930" w14:textId="77777777" w:rsidR="006573EB" w:rsidRDefault="00000000">
            <w:pPr>
              <w:jc w:val="center"/>
            </w:pPr>
            <w:r>
              <w:rPr>
                <w:rFonts w:ascii="Times New Roman" w:hAnsi="Times New Roman"/>
                <w:sz w:val="20"/>
              </w:rPr>
              <w:t>MPP</w:t>
            </w:r>
          </w:p>
        </w:tc>
        <w:tc>
          <w:tcPr>
            <w:tcW w:w="6803" w:type="dxa"/>
            <w:shd w:val="clear" w:color="auto" w:fill="FFFFFF"/>
          </w:tcPr>
          <w:p w14:paraId="59C327A7" w14:textId="77777777" w:rsidR="006573EB" w:rsidRDefault="00000000">
            <w:pPr>
              <w:jc w:val="center"/>
            </w:pPr>
            <w:r>
              <w:rPr>
                <w:rFonts w:ascii="Times New Roman" w:hAnsi="Times New Roman"/>
                <w:sz w:val="20"/>
              </w:rPr>
              <w:t>Multipotent Progenitor</w:t>
            </w:r>
          </w:p>
        </w:tc>
      </w:tr>
      <w:tr w:rsidR="006573EB" w:rsidRPr="00463A58" w14:paraId="4FD3F4FE" w14:textId="77777777">
        <w:tc>
          <w:tcPr>
            <w:tcW w:w="1984" w:type="dxa"/>
            <w:shd w:val="clear" w:color="auto" w:fill="F2F2F2"/>
          </w:tcPr>
          <w:p w14:paraId="40CDAD61" w14:textId="77777777" w:rsidR="006573EB" w:rsidRDefault="00000000">
            <w:pPr>
              <w:jc w:val="center"/>
            </w:pPr>
            <w:r>
              <w:rPr>
                <w:rFonts w:ascii="Times New Roman" w:hAnsi="Times New Roman"/>
                <w:sz w:val="20"/>
              </w:rPr>
              <w:t>NCA</w:t>
            </w:r>
          </w:p>
        </w:tc>
        <w:tc>
          <w:tcPr>
            <w:tcW w:w="6803" w:type="dxa"/>
            <w:shd w:val="clear" w:color="auto" w:fill="F2F2F2"/>
          </w:tcPr>
          <w:p w14:paraId="2D812E24" w14:textId="77777777" w:rsidR="006573EB" w:rsidRPr="00463A58" w:rsidRDefault="00000000">
            <w:pPr>
              <w:jc w:val="center"/>
              <w:rPr>
                <w:lang w:val="fr-FR"/>
              </w:rPr>
            </w:pPr>
            <w:r w:rsidRPr="00463A58">
              <w:rPr>
                <w:rFonts w:ascii="Times New Roman" w:hAnsi="Times New Roman"/>
                <w:sz w:val="20"/>
                <w:lang w:val="fr-FR"/>
              </w:rPr>
              <w:t>Non-</w:t>
            </w:r>
            <w:proofErr w:type="spellStart"/>
            <w:r w:rsidRPr="00463A58">
              <w:rPr>
                <w:rFonts w:ascii="Times New Roman" w:hAnsi="Times New Roman"/>
                <w:sz w:val="20"/>
                <w:lang w:val="fr-FR"/>
              </w:rPr>
              <w:t>Compartmental</w:t>
            </w:r>
            <w:proofErr w:type="spellEnd"/>
            <w:r w:rsidRPr="00463A58">
              <w:rPr>
                <w:rFonts w:ascii="Times New Roman" w:hAnsi="Times New Roman"/>
                <w:sz w:val="20"/>
                <w:lang w:val="fr-FR"/>
              </w:rPr>
              <w:t xml:space="preserve"> </w:t>
            </w:r>
            <w:proofErr w:type="spellStart"/>
            <w:r w:rsidRPr="00463A58">
              <w:rPr>
                <w:rFonts w:ascii="Times New Roman" w:hAnsi="Times New Roman"/>
                <w:sz w:val="20"/>
                <w:lang w:val="fr-FR"/>
              </w:rPr>
              <w:t>Analysis</w:t>
            </w:r>
            <w:proofErr w:type="spellEnd"/>
            <w:r w:rsidRPr="00463A58">
              <w:rPr>
                <w:rFonts w:ascii="Times New Roman" w:hAnsi="Times New Roman"/>
                <w:sz w:val="20"/>
                <w:lang w:val="fr-FR"/>
              </w:rPr>
              <w:t xml:space="preserve"> (analyse non-compartimentale)</w:t>
            </w:r>
          </w:p>
        </w:tc>
      </w:tr>
      <w:tr w:rsidR="006573EB" w:rsidRPr="00463A58" w14:paraId="61A5EC64" w14:textId="77777777">
        <w:tc>
          <w:tcPr>
            <w:tcW w:w="1984" w:type="dxa"/>
            <w:shd w:val="clear" w:color="auto" w:fill="FFFFFF"/>
          </w:tcPr>
          <w:p w14:paraId="116A8CEB" w14:textId="77777777" w:rsidR="006573EB" w:rsidRDefault="00000000">
            <w:pPr>
              <w:jc w:val="center"/>
            </w:pPr>
            <w:r>
              <w:rPr>
                <w:rFonts w:ascii="Times New Roman" w:hAnsi="Times New Roman"/>
                <w:sz w:val="20"/>
              </w:rPr>
              <w:t>NHP</w:t>
            </w:r>
          </w:p>
        </w:tc>
        <w:tc>
          <w:tcPr>
            <w:tcW w:w="6803" w:type="dxa"/>
            <w:shd w:val="clear" w:color="auto" w:fill="FFFFFF"/>
          </w:tcPr>
          <w:p w14:paraId="3FACC247" w14:textId="77777777" w:rsidR="006573EB" w:rsidRPr="00463A58" w:rsidRDefault="00000000">
            <w:pPr>
              <w:jc w:val="center"/>
              <w:rPr>
                <w:lang w:val="fr-FR"/>
              </w:rPr>
            </w:pPr>
            <w:r w:rsidRPr="00463A58">
              <w:rPr>
                <w:rFonts w:ascii="Times New Roman" w:hAnsi="Times New Roman"/>
                <w:sz w:val="20"/>
                <w:lang w:val="fr-FR"/>
              </w:rPr>
              <w:t>Non-Human Primate (primate non-humain)</w:t>
            </w:r>
          </w:p>
        </w:tc>
      </w:tr>
      <w:tr w:rsidR="006573EB" w:rsidRPr="00463A58" w14:paraId="2BB0A35A" w14:textId="77777777">
        <w:tc>
          <w:tcPr>
            <w:tcW w:w="1984" w:type="dxa"/>
            <w:shd w:val="clear" w:color="auto" w:fill="F2F2F2"/>
          </w:tcPr>
          <w:p w14:paraId="356AA6EC" w14:textId="77777777" w:rsidR="006573EB" w:rsidRDefault="00000000">
            <w:pPr>
              <w:jc w:val="center"/>
            </w:pPr>
            <w:r>
              <w:rPr>
                <w:rFonts w:ascii="Times New Roman" w:hAnsi="Times New Roman"/>
                <w:sz w:val="20"/>
              </w:rPr>
              <w:t>NLME</w:t>
            </w:r>
          </w:p>
        </w:tc>
        <w:tc>
          <w:tcPr>
            <w:tcW w:w="6803" w:type="dxa"/>
            <w:shd w:val="clear" w:color="auto" w:fill="F2F2F2"/>
          </w:tcPr>
          <w:p w14:paraId="57928978" w14:textId="77777777" w:rsidR="006573EB" w:rsidRPr="00463A58" w:rsidRDefault="00000000">
            <w:pPr>
              <w:jc w:val="center"/>
              <w:rPr>
                <w:lang w:val="fr-FR"/>
              </w:rPr>
            </w:pPr>
            <w:r w:rsidRPr="00463A58">
              <w:rPr>
                <w:rFonts w:ascii="Times New Roman" w:hAnsi="Times New Roman"/>
                <w:sz w:val="20"/>
                <w:lang w:val="fr-FR"/>
              </w:rPr>
              <w:t>Non-</w:t>
            </w:r>
            <w:proofErr w:type="spellStart"/>
            <w:r w:rsidRPr="00463A58">
              <w:rPr>
                <w:rFonts w:ascii="Times New Roman" w:hAnsi="Times New Roman"/>
                <w:sz w:val="20"/>
                <w:lang w:val="fr-FR"/>
              </w:rPr>
              <w:t>Linear</w:t>
            </w:r>
            <w:proofErr w:type="spellEnd"/>
            <w:r w:rsidRPr="00463A58">
              <w:rPr>
                <w:rFonts w:ascii="Times New Roman" w:hAnsi="Times New Roman"/>
                <w:sz w:val="20"/>
                <w:lang w:val="fr-FR"/>
              </w:rPr>
              <w:t xml:space="preserve"> Mixed </w:t>
            </w:r>
            <w:proofErr w:type="spellStart"/>
            <w:r w:rsidRPr="00463A58">
              <w:rPr>
                <w:rFonts w:ascii="Times New Roman" w:hAnsi="Times New Roman"/>
                <w:sz w:val="20"/>
                <w:lang w:val="fr-FR"/>
              </w:rPr>
              <w:t>Effects</w:t>
            </w:r>
            <w:proofErr w:type="spellEnd"/>
            <w:r w:rsidRPr="00463A58">
              <w:rPr>
                <w:rFonts w:ascii="Times New Roman" w:hAnsi="Times New Roman"/>
                <w:sz w:val="20"/>
                <w:lang w:val="fr-FR"/>
              </w:rPr>
              <w:t xml:space="preserve"> (effets mixtes non-linéaires)</w:t>
            </w:r>
          </w:p>
        </w:tc>
      </w:tr>
      <w:tr w:rsidR="006573EB" w14:paraId="2F3D3FE6" w14:textId="77777777">
        <w:tc>
          <w:tcPr>
            <w:tcW w:w="1984" w:type="dxa"/>
            <w:shd w:val="clear" w:color="auto" w:fill="FFFFFF"/>
          </w:tcPr>
          <w:p w14:paraId="3277769C" w14:textId="77777777" w:rsidR="006573EB" w:rsidRDefault="00000000">
            <w:pPr>
              <w:jc w:val="center"/>
            </w:pPr>
            <w:r>
              <w:rPr>
                <w:rFonts w:ascii="Times New Roman" w:hAnsi="Times New Roman"/>
                <w:sz w:val="20"/>
              </w:rPr>
              <w:t>NOAEL</w:t>
            </w:r>
          </w:p>
        </w:tc>
        <w:tc>
          <w:tcPr>
            <w:tcW w:w="6803" w:type="dxa"/>
            <w:shd w:val="clear" w:color="auto" w:fill="FFFFFF"/>
          </w:tcPr>
          <w:p w14:paraId="2C0DFA04" w14:textId="77777777" w:rsidR="006573EB" w:rsidRDefault="00000000">
            <w:pPr>
              <w:jc w:val="center"/>
            </w:pPr>
            <w:r>
              <w:rPr>
                <w:rFonts w:ascii="Times New Roman" w:hAnsi="Times New Roman"/>
                <w:sz w:val="20"/>
              </w:rPr>
              <w:t>No Observed Adverse Effect Level</w:t>
            </w:r>
          </w:p>
        </w:tc>
      </w:tr>
      <w:tr w:rsidR="006573EB" w14:paraId="53DC9F77" w14:textId="77777777">
        <w:tc>
          <w:tcPr>
            <w:tcW w:w="1984" w:type="dxa"/>
            <w:shd w:val="clear" w:color="auto" w:fill="F2F2F2"/>
          </w:tcPr>
          <w:p w14:paraId="5BC9293A" w14:textId="77777777" w:rsidR="006573EB" w:rsidRDefault="00000000">
            <w:pPr>
              <w:jc w:val="center"/>
            </w:pPr>
            <w:r>
              <w:rPr>
                <w:rFonts w:ascii="Times New Roman" w:hAnsi="Times New Roman"/>
                <w:sz w:val="20"/>
              </w:rPr>
              <w:t>ODE</w:t>
            </w:r>
          </w:p>
        </w:tc>
        <w:tc>
          <w:tcPr>
            <w:tcW w:w="6803" w:type="dxa"/>
            <w:shd w:val="clear" w:color="auto" w:fill="F2F2F2"/>
          </w:tcPr>
          <w:p w14:paraId="4F3F8BA2" w14:textId="77777777" w:rsidR="006573EB" w:rsidRDefault="00000000">
            <w:pPr>
              <w:jc w:val="center"/>
            </w:pPr>
            <w:r>
              <w:rPr>
                <w:rFonts w:ascii="Times New Roman" w:hAnsi="Times New Roman"/>
                <w:sz w:val="20"/>
              </w:rPr>
              <w:t>Ordinary Differential Equation (équation différentielle ordinaire)</w:t>
            </w:r>
          </w:p>
        </w:tc>
      </w:tr>
      <w:tr w:rsidR="006573EB" w14:paraId="373CB173" w14:textId="77777777">
        <w:tc>
          <w:tcPr>
            <w:tcW w:w="1984" w:type="dxa"/>
            <w:shd w:val="clear" w:color="auto" w:fill="FFFFFF"/>
          </w:tcPr>
          <w:p w14:paraId="51DE7B5C" w14:textId="77777777" w:rsidR="006573EB" w:rsidRDefault="00000000">
            <w:pPr>
              <w:jc w:val="center"/>
            </w:pPr>
            <w:r>
              <w:rPr>
                <w:rFonts w:ascii="Times New Roman" w:hAnsi="Times New Roman"/>
                <w:sz w:val="20"/>
              </w:rPr>
              <w:t>PD</w:t>
            </w:r>
          </w:p>
        </w:tc>
        <w:tc>
          <w:tcPr>
            <w:tcW w:w="6803" w:type="dxa"/>
            <w:shd w:val="clear" w:color="auto" w:fill="FFFFFF"/>
          </w:tcPr>
          <w:p w14:paraId="5F2F5E2C" w14:textId="77777777" w:rsidR="006573EB" w:rsidRDefault="00000000">
            <w:pPr>
              <w:jc w:val="center"/>
            </w:pPr>
            <w:r>
              <w:rPr>
                <w:rFonts w:ascii="Times New Roman" w:hAnsi="Times New Roman"/>
                <w:sz w:val="20"/>
              </w:rPr>
              <w:t>Pharmacodynamique</w:t>
            </w:r>
          </w:p>
        </w:tc>
      </w:tr>
      <w:tr w:rsidR="006573EB" w14:paraId="2FD53012" w14:textId="77777777">
        <w:tc>
          <w:tcPr>
            <w:tcW w:w="1984" w:type="dxa"/>
            <w:shd w:val="clear" w:color="auto" w:fill="F2F2F2"/>
          </w:tcPr>
          <w:p w14:paraId="2E705F19" w14:textId="77777777" w:rsidR="006573EB" w:rsidRDefault="00000000">
            <w:pPr>
              <w:jc w:val="center"/>
            </w:pPr>
            <w:r>
              <w:rPr>
                <w:rFonts w:ascii="Times New Roman" w:hAnsi="Times New Roman"/>
                <w:sz w:val="20"/>
              </w:rPr>
              <w:t>PK</w:t>
            </w:r>
          </w:p>
        </w:tc>
        <w:tc>
          <w:tcPr>
            <w:tcW w:w="6803" w:type="dxa"/>
            <w:shd w:val="clear" w:color="auto" w:fill="F2F2F2"/>
          </w:tcPr>
          <w:p w14:paraId="27FCFF26" w14:textId="77777777" w:rsidR="006573EB" w:rsidRDefault="00000000">
            <w:pPr>
              <w:jc w:val="center"/>
            </w:pPr>
            <w:r>
              <w:rPr>
                <w:rFonts w:ascii="Times New Roman" w:hAnsi="Times New Roman"/>
                <w:sz w:val="20"/>
              </w:rPr>
              <w:t>Pharmacocinétique</w:t>
            </w:r>
          </w:p>
        </w:tc>
      </w:tr>
      <w:tr w:rsidR="006573EB" w14:paraId="3E7100AD" w14:textId="77777777">
        <w:tc>
          <w:tcPr>
            <w:tcW w:w="1984" w:type="dxa"/>
            <w:shd w:val="clear" w:color="auto" w:fill="FFFFFF"/>
          </w:tcPr>
          <w:p w14:paraId="20A1DF29" w14:textId="77777777" w:rsidR="006573EB" w:rsidRDefault="00000000">
            <w:pPr>
              <w:jc w:val="center"/>
            </w:pPr>
            <w:r>
              <w:rPr>
                <w:rFonts w:ascii="Times New Roman" w:hAnsi="Times New Roman"/>
                <w:sz w:val="20"/>
              </w:rPr>
              <w:t>PKPD</w:t>
            </w:r>
          </w:p>
        </w:tc>
        <w:tc>
          <w:tcPr>
            <w:tcW w:w="6803" w:type="dxa"/>
            <w:shd w:val="clear" w:color="auto" w:fill="FFFFFF"/>
          </w:tcPr>
          <w:p w14:paraId="7CFAD958" w14:textId="77777777" w:rsidR="006573EB" w:rsidRDefault="00000000">
            <w:pPr>
              <w:jc w:val="center"/>
            </w:pPr>
            <w:r>
              <w:rPr>
                <w:rFonts w:ascii="Times New Roman" w:hAnsi="Times New Roman"/>
                <w:sz w:val="20"/>
              </w:rPr>
              <w:t>Pharmacocinétique-Pharmacodynamique</w:t>
            </w:r>
          </w:p>
        </w:tc>
      </w:tr>
      <w:tr w:rsidR="006573EB" w14:paraId="5614532F" w14:textId="77777777">
        <w:tc>
          <w:tcPr>
            <w:tcW w:w="1984" w:type="dxa"/>
            <w:shd w:val="clear" w:color="auto" w:fill="F2F2F2"/>
          </w:tcPr>
          <w:p w14:paraId="1033C27E" w14:textId="77777777" w:rsidR="006573EB" w:rsidRDefault="00000000">
            <w:pPr>
              <w:jc w:val="center"/>
            </w:pPr>
            <w:r>
              <w:rPr>
                <w:rFonts w:ascii="Times New Roman" w:hAnsi="Times New Roman"/>
                <w:sz w:val="20"/>
              </w:rPr>
              <w:t>Q3W</w:t>
            </w:r>
          </w:p>
        </w:tc>
        <w:tc>
          <w:tcPr>
            <w:tcW w:w="6803" w:type="dxa"/>
            <w:shd w:val="clear" w:color="auto" w:fill="F2F2F2"/>
          </w:tcPr>
          <w:p w14:paraId="2CB926DA" w14:textId="77777777" w:rsidR="006573EB" w:rsidRDefault="00000000">
            <w:pPr>
              <w:jc w:val="center"/>
            </w:pPr>
            <w:r>
              <w:rPr>
                <w:rFonts w:ascii="Times New Roman" w:hAnsi="Times New Roman"/>
                <w:sz w:val="20"/>
              </w:rPr>
              <w:t>Every 3 weeks (toutes les 3 semaines)</w:t>
            </w:r>
          </w:p>
        </w:tc>
      </w:tr>
      <w:tr w:rsidR="006573EB" w14:paraId="4875832E" w14:textId="77777777">
        <w:tc>
          <w:tcPr>
            <w:tcW w:w="1984" w:type="dxa"/>
            <w:shd w:val="clear" w:color="auto" w:fill="FFFFFF"/>
          </w:tcPr>
          <w:p w14:paraId="64C811AE" w14:textId="77777777" w:rsidR="006573EB" w:rsidRDefault="00000000">
            <w:pPr>
              <w:jc w:val="center"/>
            </w:pPr>
            <w:r>
              <w:rPr>
                <w:rFonts w:ascii="Times New Roman" w:hAnsi="Times New Roman"/>
                <w:sz w:val="20"/>
              </w:rPr>
              <w:t>RBC</w:t>
            </w:r>
          </w:p>
        </w:tc>
        <w:tc>
          <w:tcPr>
            <w:tcW w:w="6803" w:type="dxa"/>
            <w:shd w:val="clear" w:color="auto" w:fill="FFFFFF"/>
          </w:tcPr>
          <w:p w14:paraId="6A5B37B8" w14:textId="77777777" w:rsidR="006573EB" w:rsidRDefault="00000000">
            <w:pPr>
              <w:jc w:val="center"/>
            </w:pPr>
            <w:r>
              <w:rPr>
                <w:rFonts w:ascii="Times New Roman" w:hAnsi="Times New Roman"/>
                <w:sz w:val="20"/>
              </w:rPr>
              <w:t>Red Blood Cells (érythrocytes)</w:t>
            </w:r>
          </w:p>
        </w:tc>
      </w:tr>
      <w:tr w:rsidR="006573EB" w14:paraId="5D1CF46F" w14:textId="77777777">
        <w:tc>
          <w:tcPr>
            <w:tcW w:w="1984" w:type="dxa"/>
            <w:shd w:val="clear" w:color="auto" w:fill="F2F2F2"/>
          </w:tcPr>
          <w:p w14:paraId="5F3666C8" w14:textId="77777777" w:rsidR="006573EB" w:rsidRDefault="00000000">
            <w:pPr>
              <w:jc w:val="center"/>
            </w:pPr>
            <w:r>
              <w:rPr>
                <w:rFonts w:ascii="Times New Roman" w:hAnsi="Times New Roman"/>
                <w:sz w:val="20"/>
              </w:rPr>
              <w:t>RMSE</w:t>
            </w:r>
          </w:p>
        </w:tc>
        <w:tc>
          <w:tcPr>
            <w:tcW w:w="6803" w:type="dxa"/>
            <w:shd w:val="clear" w:color="auto" w:fill="F2F2F2"/>
          </w:tcPr>
          <w:p w14:paraId="4511F626" w14:textId="77777777" w:rsidR="006573EB" w:rsidRDefault="00000000">
            <w:pPr>
              <w:jc w:val="center"/>
            </w:pPr>
            <w:r>
              <w:rPr>
                <w:rFonts w:ascii="Times New Roman" w:hAnsi="Times New Roman"/>
                <w:sz w:val="20"/>
              </w:rPr>
              <w:t>Root Mean Square Error</w:t>
            </w:r>
          </w:p>
        </w:tc>
      </w:tr>
      <w:tr w:rsidR="006573EB" w14:paraId="6832D105" w14:textId="77777777">
        <w:tc>
          <w:tcPr>
            <w:tcW w:w="1984" w:type="dxa"/>
            <w:shd w:val="clear" w:color="auto" w:fill="FFFFFF"/>
          </w:tcPr>
          <w:p w14:paraId="3ADA1DFE" w14:textId="77777777" w:rsidR="006573EB" w:rsidRDefault="00000000">
            <w:pPr>
              <w:jc w:val="center"/>
            </w:pPr>
            <w:r>
              <w:rPr>
                <w:rFonts w:ascii="Times New Roman" w:hAnsi="Times New Roman"/>
                <w:sz w:val="20"/>
              </w:rPr>
              <w:t>T-DXd</w:t>
            </w:r>
          </w:p>
        </w:tc>
        <w:tc>
          <w:tcPr>
            <w:tcW w:w="6803" w:type="dxa"/>
            <w:shd w:val="clear" w:color="auto" w:fill="FFFFFF"/>
          </w:tcPr>
          <w:p w14:paraId="5CBD60AE" w14:textId="77777777" w:rsidR="006573EB" w:rsidRDefault="00000000">
            <w:pPr>
              <w:jc w:val="center"/>
            </w:pPr>
            <w:r>
              <w:rPr>
                <w:rFonts w:ascii="Times New Roman" w:hAnsi="Times New Roman"/>
                <w:sz w:val="20"/>
              </w:rPr>
              <w:t>Trastuzumab déruxtécan (Enhertu®)</w:t>
            </w:r>
          </w:p>
        </w:tc>
      </w:tr>
      <w:tr w:rsidR="006573EB" w:rsidRPr="00463A58" w14:paraId="5BE0FF9A" w14:textId="77777777">
        <w:tc>
          <w:tcPr>
            <w:tcW w:w="1984" w:type="dxa"/>
            <w:shd w:val="clear" w:color="auto" w:fill="F2F2F2"/>
          </w:tcPr>
          <w:p w14:paraId="0089968B" w14:textId="77777777" w:rsidR="006573EB" w:rsidRDefault="00000000">
            <w:pPr>
              <w:jc w:val="center"/>
            </w:pPr>
            <w:r>
              <w:rPr>
                <w:rFonts w:ascii="Times New Roman" w:hAnsi="Times New Roman"/>
                <w:sz w:val="20"/>
              </w:rPr>
              <w:t>V1/V2</w:t>
            </w:r>
          </w:p>
        </w:tc>
        <w:tc>
          <w:tcPr>
            <w:tcW w:w="6803" w:type="dxa"/>
            <w:shd w:val="clear" w:color="auto" w:fill="F2F2F2"/>
          </w:tcPr>
          <w:p w14:paraId="39611149" w14:textId="77777777" w:rsidR="006573EB" w:rsidRPr="00463A58" w:rsidRDefault="00000000">
            <w:pPr>
              <w:jc w:val="center"/>
              <w:rPr>
                <w:lang w:val="fr-FR"/>
              </w:rPr>
            </w:pPr>
            <w:r w:rsidRPr="00463A58">
              <w:rPr>
                <w:rFonts w:ascii="Times New Roman" w:hAnsi="Times New Roman"/>
                <w:sz w:val="20"/>
                <w:lang w:val="fr-FR"/>
              </w:rPr>
              <w:t>Volume de distribution central/périphérique</w:t>
            </w:r>
          </w:p>
        </w:tc>
      </w:tr>
      <w:tr w:rsidR="006573EB" w14:paraId="6685AFF9" w14:textId="77777777">
        <w:tc>
          <w:tcPr>
            <w:tcW w:w="1984" w:type="dxa"/>
            <w:shd w:val="clear" w:color="auto" w:fill="FFFFFF"/>
          </w:tcPr>
          <w:p w14:paraId="61BA9355" w14:textId="77777777" w:rsidR="006573EB" w:rsidRDefault="00000000">
            <w:pPr>
              <w:jc w:val="center"/>
            </w:pPr>
            <w:r>
              <w:rPr>
                <w:rFonts w:ascii="Times New Roman" w:hAnsi="Times New Roman"/>
                <w:sz w:val="20"/>
              </w:rPr>
              <w:t>VPC</w:t>
            </w:r>
          </w:p>
        </w:tc>
        <w:tc>
          <w:tcPr>
            <w:tcW w:w="6803" w:type="dxa"/>
            <w:shd w:val="clear" w:color="auto" w:fill="FFFFFF"/>
          </w:tcPr>
          <w:p w14:paraId="4DB2FC4B" w14:textId="77777777" w:rsidR="006573EB" w:rsidRDefault="00000000">
            <w:pPr>
              <w:jc w:val="center"/>
            </w:pPr>
            <w:r>
              <w:rPr>
                <w:rFonts w:ascii="Times New Roman" w:hAnsi="Times New Roman"/>
                <w:sz w:val="20"/>
              </w:rPr>
              <w:t>Visual Predictive Check</w:t>
            </w:r>
          </w:p>
        </w:tc>
      </w:tr>
    </w:tbl>
    <w:p w14:paraId="31BCBE6C" w14:textId="77777777" w:rsidR="006573EB" w:rsidRDefault="00000000">
      <w:r>
        <w:br w:type="page"/>
      </w:r>
    </w:p>
    <w:p w14:paraId="30E1FC58" w14:textId="77777777" w:rsidR="006573EB" w:rsidRDefault="00000000">
      <w:pPr>
        <w:keepNext/>
        <w:spacing w:before="360" w:after="80"/>
      </w:pPr>
      <w:r>
        <w:rPr>
          <w:rFonts w:ascii="Times New Roman" w:hAnsi="Times New Roman"/>
          <w:b/>
          <w:color w:val="2C3E50"/>
          <w:sz w:val="32"/>
          <w:u w:val="single"/>
        </w:rPr>
        <w:lastRenderedPageBreak/>
        <w:t>I. Introduction</w:t>
      </w:r>
    </w:p>
    <w:p>
      <w:pPr/>
      <w:r>
        <w:rPr>
          <w:b/>
          <w:i w:val="0"/>
        </w:rPr>
        <w:t>1.0 Contexte du stage : Pierre Fabre et la pharmacologie quantitative</w:t>
      </w:r>
    </w:p>
    <w:p>
      <w:pPr/>
      <w:r>
        <w:rPr>
          <w:b w:val="0"/>
          <w:i w:val="0"/>
        </w:rPr>
        <w:t>Ce stage a été réalisé au sein du groupe Pierre Fabre, acteur pharmaceutique français indépendant dont l'activité en oncologie connaît un essor significatif. L'entreprise développe plusieurs composés anticancéreux, dont des anticorps-drogue conjugués ciblant des récepteurs surexprimés dans les tumeurs solides. L'équipe PK/Toxicologie, dans laquelle s'inscrit ce stage, est chargée de la caractérisation pharmacocinétique et pharmacodynamique des candidats-médicaments aux stades précliniques et de la transition vers les premiers essais cliniques. Dans ce cadre, la prédiction quantitative de la toxicité hématologique — principale toxicité dose-limitante des ADCs — constitue un enjeu opérationnel direct : elle conditionne le choix de la dose de départ en Premier-en-Homme, la définition des critères d'arrêt de dose, et l'élaboration du plan de monitoring clinique. Ce stage vise à développer un pipeline de modélisation PK/PD semi-mécaniste répondant à ces besoins, en s'appuyant sur les données précliniques disponibles et la littérature scientifique.</w:t>
      </w:r>
    </w:p>
    <w:p w14:paraId="689A7DE7" w14:textId="77777777" w:rsidR="006573EB" w:rsidRPr="00463A58" w:rsidRDefault="00000000">
      <w:pPr>
        <w:spacing w:before="240" w:after="80"/>
        <w:rPr>
          <w:lang w:val="fr-FR"/>
        </w:rPr>
      </w:pPr>
      <w:r w:rsidRPr="00463A58">
        <w:rPr>
          <w:rFonts w:ascii="Times New Roman" w:hAnsi="Times New Roman"/>
          <w:b/>
          <w:color w:val="34495E"/>
          <w:sz w:val="28"/>
          <w:lang w:val="fr-FR"/>
        </w:rPr>
        <w:t>1.1 Les anticorps-drogue conjugués : mécanisme d'action et essor clinique</w:t>
      </w:r>
    </w:p>
    <w:p w14:paraId="09DD0121" w14:textId="77777777" w:rsidR="006573EB" w:rsidRPr="00463A58" w:rsidRDefault="00000000">
      <w:pPr>
        <w:spacing w:after="120"/>
        <w:ind w:firstLine="567"/>
        <w:jc w:val="both"/>
        <w:rPr>
          <w:lang w:val="fr-FR"/>
        </w:rPr>
      </w:pPr>
      <w:r w:rsidRPr="00463A58">
        <w:rPr>
          <w:rFonts w:ascii="Times New Roman" w:hAnsi="Times New Roman"/>
          <w:sz w:val="24"/>
          <w:lang w:val="fr-FR"/>
        </w:rPr>
        <w:t>Les anticorps-drogue conjugués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constituent une classe thérapeutique innovante conçue pour délivrer de manière ciblée un agent cytotoxique puissant directement aux cellules tumorales. Leur structure combine trois éléments : un anticorps monoclonal reconnaissant un antigène spécifique exprimé à la surface des cellules cancéreuses, un lieur chimique (linker) et une molécule cytotoxique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Après liaison à l'antigène cible et internalisation cellulaire, le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est libéré et exerce son effet antiprolifératif, principalement par inhibition de la polymérisation des microtubules ou par dommages à l'ADN.</w:t>
      </w:r>
    </w:p>
    <w:p w14:paraId="7E810C47"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trastuzumab </w:t>
      </w:r>
      <w:proofErr w:type="spellStart"/>
      <w:r w:rsidRPr="00463A58">
        <w:rPr>
          <w:rFonts w:ascii="Times New Roman" w:hAnsi="Times New Roman"/>
          <w:sz w:val="24"/>
          <w:lang w:val="fr-FR"/>
        </w:rPr>
        <w:t>déruxtécan</w:t>
      </w:r>
      <w:proofErr w:type="spellEnd"/>
      <w:r w:rsidRPr="00463A58">
        <w:rPr>
          <w:rFonts w:ascii="Times New Roman" w:hAnsi="Times New Roman"/>
          <w:sz w:val="24"/>
          <w:lang w:val="fr-FR"/>
        </w:rPr>
        <w:t xml:space="preserv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Enhertu</w:t>
      </w:r>
      <w:proofErr w:type="spellEnd"/>
      <w:r w:rsidRPr="00463A58">
        <w:rPr>
          <w:rFonts w:ascii="Times New Roman" w:hAnsi="Times New Roman"/>
          <w:sz w:val="24"/>
          <w:lang w:val="fr-FR"/>
        </w:rPr>
        <w:t xml:space="preserve">®), développé conjointement par AstraZeneca et </w:t>
      </w:r>
      <w:proofErr w:type="spellStart"/>
      <w:r w:rsidRPr="00463A58">
        <w:rPr>
          <w:rFonts w:ascii="Times New Roman" w:hAnsi="Times New Roman"/>
          <w:sz w:val="24"/>
          <w:lang w:val="fr-FR"/>
        </w:rPr>
        <w:t>Daiichi</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Sankyo</w:t>
      </w:r>
      <w:proofErr w:type="spellEnd"/>
      <w:r w:rsidRPr="00463A58">
        <w:rPr>
          <w:rFonts w:ascii="Times New Roman" w:hAnsi="Times New Roman"/>
          <w:sz w:val="24"/>
          <w:lang w:val="fr-FR"/>
        </w:rPr>
        <w:t xml:space="preserve">, représente l'ADC de référence dans le traitement du cancer du sein HER2-positif. Son approbation par la FDA en 2019 (BLA 761139) sur la base des résultats de l'essai DESTINY-Breast01 (ORR 60,9%, n=184) a marqué une avancée majeure en oncologie. D'autres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sont aujourd'hui en développement clinique avancé, ciblant notamment des récepteurs comme FGFR2, HER3 ou TROP2, attestant de l'intérêt croissant de l'industrie pharmaceutique pour cette modalité thérapeutique.</w:t>
      </w:r>
    </w:p>
    <w:p w14:paraId="37C0EFF6" w14:textId="77777777" w:rsidR="006573EB" w:rsidRPr="00463A58" w:rsidRDefault="00000000">
      <w:pPr>
        <w:spacing w:before="240" w:after="80"/>
        <w:rPr>
          <w:lang w:val="fr-FR"/>
        </w:rPr>
      </w:pPr>
      <w:r w:rsidRPr="00463A58">
        <w:rPr>
          <w:rFonts w:ascii="Times New Roman" w:hAnsi="Times New Roman"/>
          <w:b/>
          <w:color w:val="34495E"/>
          <w:sz w:val="28"/>
          <w:lang w:val="fr-FR"/>
        </w:rPr>
        <w:t>1.2 L'</w:t>
      </w:r>
      <w:proofErr w:type="spellStart"/>
      <w:r w:rsidRPr="00463A58">
        <w:rPr>
          <w:rFonts w:ascii="Times New Roman" w:hAnsi="Times New Roman"/>
          <w:b/>
          <w:color w:val="34495E"/>
          <w:sz w:val="28"/>
          <w:lang w:val="fr-FR"/>
        </w:rPr>
        <w:t>hématotoxicité</w:t>
      </w:r>
      <w:proofErr w:type="spellEnd"/>
      <w:r w:rsidRPr="00463A58">
        <w:rPr>
          <w:rFonts w:ascii="Times New Roman" w:hAnsi="Times New Roman"/>
          <w:b/>
          <w:color w:val="34495E"/>
          <w:sz w:val="28"/>
          <w:lang w:val="fr-FR"/>
        </w:rPr>
        <w:t xml:space="preserve"> comme toxicité dose-limitante</w:t>
      </w:r>
    </w:p>
    <w:p w14:paraId="7FC2870E" w14:textId="3AD68F96" w:rsidR="006573EB" w:rsidRPr="00463A58" w:rsidRDefault="00000000">
      <w:pPr>
        <w:spacing w:after="120"/>
        <w:ind w:firstLine="567"/>
        <w:jc w:val="both"/>
        <w:rPr>
          <w:lang w:val="fr-FR"/>
        </w:rPr>
      </w:pPr>
      <w:r w:rsidRPr="00463A58">
        <w:rPr>
          <w:rFonts w:ascii="Times New Roman" w:hAnsi="Times New Roman"/>
          <w:sz w:val="24"/>
          <w:lang w:val="fr-FR"/>
        </w:rPr>
        <w:t xml:space="preserve">Malgré leur sélectivité théorique, les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induisent des toxicités systémiques significatives, parmi lesquelles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occupe une place centrale. La cytopénie hématologique neutropénie, anémie et thrombocytopénie</w:t>
      </w:r>
      <w:r w:rsidR="00463A58">
        <w:rPr>
          <w:rFonts w:ascii="Times New Roman" w:hAnsi="Times New Roman"/>
          <w:sz w:val="24"/>
          <w:lang w:val="fr-FR"/>
        </w:rPr>
        <w:t xml:space="preserve"> </w:t>
      </w:r>
      <w:r w:rsidRPr="00463A58">
        <w:rPr>
          <w:rFonts w:ascii="Times New Roman" w:hAnsi="Times New Roman"/>
          <w:sz w:val="24"/>
          <w:lang w:val="fr-FR"/>
        </w:rPr>
        <w:t xml:space="preserve">résulte d'une atteinte des cellules progénitrices hématopoïétiques dans la moelle osseuse, sensibles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cytotoxique libéré de façon non entièrement spécifique.</w:t>
      </w:r>
    </w:p>
    <w:p w14:paraId="64C42A5B" w14:textId="77777777" w:rsidR="006573EB" w:rsidRPr="00463A58" w:rsidRDefault="00000000">
      <w:pPr>
        <w:spacing w:after="120"/>
        <w:ind w:firstLine="567"/>
        <w:jc w:val="both"/>
        <w:rPr>
          <w:lang w:val="fr-FR"/>
        </w:rPr>
      </w:pPr>
      <w:r w:rsidRPr="00463A58">
        <w:rPr>
          <w:rFonts w:ascii="Times New Roman" w:hAnsi="Times New Roman"/>
          <w:sz w:val="24"/>
          <w:lang w:val="fr-FR"/>
        </w:rPr>
        <w:t>Dans l'essai DESTINY-Breast01, la neutropénie de grade ≥3 a été rapportée chez 16% des patients traités par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constituant la principale toxicité hématologique sévère. La gestion de ces cytopénies nécessite des réductions de doses ou des interruptions de traitement, impactant directement l'efficacité thérapeutique et la qualité de vie des patients.</w:t>
      </w:r>
    </w:p>
    <w:p w14:paraId="5499D214" w14:textId="77777777" w:rsidR="006573EB" w:rsidRPr="00463A58" w:rsidRDefault="00000000">
      <w:pPr>
        <w:spacing w:after="120"/>
        <w:ind w:firstLine="567"/>
        <w:jc w:val="both"/>
        <w:rPr>
          <w:lang w:val="fr-FR"/>
        </w:rPr>
      </w:pPr>
      <w:r w:rsidRPr="00463A58">
        <w:rPr>
          <w:rFonts w:ascii="Times New Roman" w:hAnsi="Times New Roman"/>
          <w:sz w:val="24"/>
          <w:lang w:val="fr-FR"/>
        </w:rPr>
        <w:t>La prédiction précoce et quantitative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est donc un enjeu double : (1) assurer la sécurité des patients en essais cliniques de phase I en identifiant des doses sûres ; (2) optimiser les schémas posologiques pour maximiser l'efficacité tout en maintenant une toxicité acceptable.</w:t>
      </w:r>
    </w:p>
    <w:p w14:paraId="2C1D2E1F" w14:textId="77777777" w:rsidR="006573EB" w:rsidRPr="00463A58" w:rsidRDefault="00000000">
      <w:pPr>
        <w:spacing w:before="240" w:after="80"/>
        <w:rPr>
          <w:lang w:val="fr-FR"/>
        </w:rPr>
      </w:pPr>
      <w:r w:rsidRPr="00463A58">
        <w:rPr>
          <w:rFonts w:ascii="Times New Roman" w:hAnsi="Times New Roman"/>
          <w:b/>
          <w:color w:val="34495E"/>
          <w:sz w:val="28"/>
          <w:lang w:val="fr-FR"/>
        </w:rPr>
        <w:t>1.3 La modélisation PK/PD dans le développement du médicament</w:t>
      </w:r>
    </w:p>
    <w:p w14:paraId="767F2177" w14:textId="76FC18E8" w:rsidR="006573EB" w:rsidRPr="00463A58" w:rsidRDefault="00000000">
      <w:pPr>
        <w:spacing w:after="120"/>
        <w:ind w:firstLine="567"/>
        <w:jc w:val="both"/>
        <w:rPr>
          <w:lang w:val="fr-FR"/>
        </w:rPr>
      </w:pPr>
      <w:r w:rsidRPr="00463A58">
        <w:rPr>
          <w:rFonts w:ascii="Times New Roman" w:hAnsi="Times New Roman"/>
          <w:sz w:val="24"/>
          <w:lang w:val="fr-FR"/>
        </w:rPr>
        <w:t>La modélisation et la simulation</w:t>
      </w:r>
      <w:r w:rsidR="00463A58">
        <w:rPr>
          <w:rFonts w:ascii="Times New Roman" w:hAnsi="Times New Roman"/>
          <w:sz w:val="24"/>
          <w:lang w:val="fr-FR"/>
        </w:rPr>
        <w:t xml:space="preserve"> </w:t>
      </w:r>
      <w:r w:rsidRPr="00463A58">
        <w:rPr>
          <w:rFonts w:ascii="Times New Roman" w:hAnsi="Times New Roman"/>
          <w:sz w:val="24"/>
          <w:lang w:val="fr-FR"/>
        </w:rPr>
        <w:t xml:space="preserve">sont aujourd'hui des outils incontournables du développement pharmaceutique, reconnus par les agences réglementaires FDA et EMA. La pharmacocinétique (PK) décrit l'évolution temporelle des concentrations du médicament dans l'organisme (absorption, distribution, métabolisme, élimination), tandis que la </w:t>
      </w:r>
      <w:r w:rsidRPr="00463A58">
        <w:rPr>
          <w:rFonts w:ascii="Times New Roman" w:hAnsi="Times New Roman"/>
          <w:sz w:val="24"/>
          <w:lang w:val="fr-FR"/>
        </w:rPr>
        <w:lastRenderedPageBreak/>
        <w:t>pharmacodynamique (PD) quantifie la relation entre exposition et effet — thérapeutique ou toxique.</w:t>
      </w:r>
    </w:p>
    <w:p w14:paraId="0633DA01" w14:textId="77777777" w:rsidR="006573EB" w:rsidRPr="00463A58" w:rsidRDefault="00000000">
      <w:pPr>
        <w:spacing w:after="120"/>
        <w:ind w:firstLine="567"/>
        <w:jc w:val="both"/>
        <w:rPr>
          <w:lang w:val="fr-FR"/>
        </w:rPr>
      </w:pPr>
      <w:r w:rsidRPr="00463A58">
        <w:rPr>
          <w:rFonts w:ascii="Times New Roman" w:hAnsi="Times New Roman"/>
          <w:sz w:val="24"/>
          <w:lang w:val="fr-FR"/>
        </w:rPr>
        <w:t>Les modèles PK/PD semi-mécanistes occupent une position intermédiaire entre les modèles empiriques (régressions, modèles Emax) et les modèles mécanistes complets (</w:t>
      </w:r>
      <w:proofErr w:type="spellStart"/>
      <w:r w:rsidRPr="00463A58">
        <w:rPr>
          <w:rFonts w:ascii="Times New Roman" w:hAnsi="Times New Roman"/>
          <w:sz w:val="24"/>
          <w:lang w:val="fr-FR"/>
        </w:rPr>
        <w:t>physiologically-based</w:t>
      </w:r>
      <w:proofErr w:type="spellEnd"/>
      <w:r w:rsidRPr="00463A58">
        <w:rPr>
          <w:rFonts w:ascii="Times New Roman" w:hAnsi="Times New Roman"/>
          <w:sz w:val="24"/>
          <w:lang w:val="fr-FR"/>
        </w:rPr>
        <w:t xml:space="preserve"> PK/PD). Ils intègrent des hypothèses biologiques sur les mécanismes d'action tout en restant paramétrables avec des données expérimentales limitées, ce qui les rend particulièrement adaptés au développement préclinique où les données sont souvent rares et coûteuses.</w:t>
      </w:r>
    </w:p>
    <w:p w14:paraId="0E3F10F0" w14:textId="77777777" w:rsidR="006573EB" w:rsidRPr="00463A58" w:rsidRDefault="00000000">
      <w:pPr>
        <w:spacing w:after="120"/>
        <w:ind w:firstLine="567"/>
        <w:jc w:val="both"/>
        <w:rPr>
          <w:lang w:val="fr-FR"/>
        </w:rPr>
      </w:pPr>
      <w:r w:rsidRPr="00463A58">
        <w:rPr>
          <w:rFonts w:ascii="Times New Roman" w:hAnsi="Times New Roman"/>
          <w:sz w:val="24"/>
          <w:lang w:val="fr-FR"/>
        </w:rPr>
        <w:t>Dans le domaine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le modèle de </w:t>
      </w:r>
      <w:proofErr w:type="spellStart"/>
      <w:r w:rsidRPr="00463A58">
        <w:rPr>
          <w:rFonts w:ascii="Times New Roman" w:hAnsi="Times New Roman"/>
          <w:sz w:val="24"/>
          <w:lang w:val="fr-FR"/>
        </w:rPr>
        <w:t>Friberg</w:t>
      </w:r>
      <w:proofErr w:type="spellEnd"/>
      <w:r w:rsidRPr="00463A58">
        <w:rPr>
          <w:rFonts w:ascii="Times New Roman" w:hAnsi="Times New Roman"/>
          <w:sz w:val="24"/>
          <w:lang w:val="fr-FR"/>
        </w:rPr>
        <w:t xml:space="preserve"> (2002) et ses extensions constituent la référence méthodologique.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développé spécifiquement pour les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en représente une version étendue intégrant explicitement les différentes lignées hématopoïétiques et leurs précurseurs.</w:t>
      </w:r>
    </w:p>
    <w:p w14:paraId="24797FFC" w14:textId="77777777" w:rsidR="006573EB" w:rsidRPr="00463A58" w:rsidRDefault="00000000">
      <w:pPr>
        <w:spacing w:before="240" w:after="80"/>
        <w:rPr>
          <w:lang w:val="fr-FR"/>
        </w:rPr>
      </w:pPr>
      <w:r w:rsidRPr="00463A58">
        <w:rPr>
          <w:rFonts w:ascii="Times New Roman" w:hAnsi="Times New Roman"/>
          <w:b/>
          <w:color w:val="34495E"/>
          <w:sz w:val="28"/>
          <w:lang w:val="fr-FR"/>
        </w:rPr>
        <w:t>1.4 Objectifs du stage</w:t>
      </w:r>
    </w:p>
    <w:p w14:paraId="642FB43F" w14:textId="77777777" w:rsidR="006573EB" w:rsidRPr="00463A58" w:rsidRDefault="00000000">
      <w:pPr>
        <w:spacing w:after="120"/>
        <w:ind w:firstLine="567"/>
        <w:jc w:val="both"/>
        <w:rPr>
          <w:lang w:val="fr-FR"/>
        </w:rPr>
      </w:pPr>
      <w:r w:rsidRPr="00463A58">
        <w:rPr>
          <w:rFonts w:ascii="Times New Roman" w:hAnsi="Times New Roman"/>
          <w:sz w:val="24"/>
          <w:lang w:val="fr-FR"/>
        </w:rPr>
        <w:t>Ce stage s'inscrit dans une démarche de pharmacologie quantitative appliquée au développement d'un pipeline computationnel de prédiction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Les objectifs sont structurés en quatre étapes progressives :</w:t>
      </w:r>
    </w:p>
    <w:p w14:paraId="1522BC97" w14:textId="77777777" w:rsidR="006573EB" w:rsidRPr="00463A58" w:rsidRDefault="00000000">
      <w:pPr>
        <w:spacing w:after="60"/>
        <w:ind w:left="283" w:hanging="227"/>
        <w:rPr>
          <w:lang w:val="fr-FR"/>
        </w:rPr>
      </w:pPr>
      <w:r w:rsidRPr="00463A58">
        <w:rPr>
          <w:rFonts w:ascii="Times New Roman" w:hAnsi="Times New Roman"/>
          <w:lang w:val="fr-FR"/>
        </w:rPr>
        <w:t xml:space="preserve">• Reproduire et valider le modèle semi-mécaniste de </w:t>
      </w:r>
      <w:proofErr w:type="spellStart"/>
      <w:r w:rsidRPr="00463A58">
        <w:rPr>
          <w:rFonts w:ascii="Times New Roman" w:hAnsi="Times New Roman"/>
          <w:lang w:val="fr-FR"/>
        </w:rPr>
        <w:t>Fornari</w:t>
      </w:r>
      <w:proofErr w:type="spellEnd"/>
      <w:r w:rsidRPr="00463A58">
        <w:rPr>
          <w:rFonts w:ascii="Times New Roman" w:hAnsi="Times New Roman"/>
          <w:lang w:val="fr-FR"/>
        </w:rPr>
        <w:t xml:space="preserve"> (2019) sur les données de rat traitées au </w:t>
      </w:r>
      <w:proofErr w:type="spellStart"/>
      <w:r w:rsidRPr="00463A58">
        <w:rPr>
          <w:rFonts w:ascii="Times New Roman" w:hAnsi="Times New Roman"/>
          <w:lang w:val="fr-FR"/>
        </w:rPr>
        <w:t>carboplatine</w:t>
      </w:r>
      <w:proofErr w:type="spellEnd"/>
      <w:r w:rsidRPr="00463A58">
        <w:rPr>
          <w:rFonts w:ascii="Times New Roman" w:hAnsi="Times New Roman"/>
          <w:lang w:val="fr-FR"/>
        </w:rPr>
        <w:t>, afin d'établir un cadre méthodologique de référence.</w:t>
      </w:r>
    </w:p>
    <w:p w14:paraId="70A9AF50" w14:textId="77777777" w:rsidR="006573EB" w:rsidRPr="00463A58" w:rsidRDefault="00000000">
      <w:pPr>
        <w:spacing w:after="60"/>
        <w:ind w:left="283" w:hanging="227"/>
        <w:rPr>
          <w:lang w:val="fr-FR"/>
        </w:rPr>
      </w:pPr>
      <w:r w:rsidRPr="00463A58">
        <w:rPr>
          <w:rFonts w:ascii="Times New Roman" w:hAnsi="Times New Roman"/>
          <w:lang w:val="fr-FR"/>
        </w:rPr>
        <w:t>• Appliquer et adapter ce cadre au T-</w:t>
      </w:r>
      <w:proofErr w:type="spellStart"/>
      <w:r w:rsidRPr="00463A58">
        <w:rPr>
          <w:rFonts w:ascii="Times New Roman" w:hAnsi="Times New Roman"/>
          <w:lang w:val="fr-FR"/>
        </w:rPr>
        <w:t>DXd</w:t>
      </w:r>
      <w:proofErr w:type="spellEnd"/>
      <w:r w:rsidRPr="00463A58">
        <w:rPr>
          <w:rFonts w:ascii="Times New Roman" w:hAnsi="Times New Roman"/>
          <w:lang w:val="fr-FR"/>
        </w:rPr>
        <w:t>, en développant une simulation de population virtuelle humaine (N=300) et en validant les prédictions de grades CTCAE v5 contre les données cliniques FDA.</w:t>
      </w:r>
    </w:p>
    <w:p w14:paraId="38B794B0" w14:textId="77777777" w:rsidR="006573EB" w:rsidRPr="00463A58" w:rsidRDefault="00000000">
      <w:pPr>
        <w:spacing w:after="60"/>
        <w:ind w:left="283" w:hanging="227"/>
        <w:rPr>
          <w:lang w:val="fr-FR"/>
        </w:rPr>
      </w:pPr>
      <w:r w:rsidRPr="00463A58">
        <w:rPr>
          <w:rFonts w:ascii="Times New Roman" w:hAnsi="Times New Roman"/>
          <w:lang w:val="fr-FR"/>
        </w:rPr>
        <w:t>• Étendre le pipeline à un composé en développement interne, en s'appuyant sur des données précliniques NHP (8 primates non-humains, 4 niveaux de dose) pour la caractérisation PK/PD.</w:t>
      </w:r>
    </w:p>
    <w:p w14:paraId="75CFEAE4" w14:textId="77777777" w:rsidR="006573EB" w:rsidRPr="00463A58" w:rsidRDefault="00000000">
      <w:pPr>
        <w:spacing w:after="60"/>
        <w:ind w:left="283" w:hanging="227"/>
        <w:rPr>
          <w:lang w:val="fr-FR"/>
        </w:rPr>
      </w:pPr>
      <w:r w:rsidRPr="00463A58">
        <w:rPr>
          <w:rFonts w:ascii="Times New Roman" w:hAnsi="Times New Roman"/>
          <w:lang w:val="fr-FR"/>
        </w:rPr>
        <w:t>• Établir les bases méthodologiques d'une traduction clinique, en exploitant les connaissances accumulées sur le T-</w:t>
      </w:r>
      <w:proofErr w:type="spellStart"/>
      <w:r w:rsidRPr="00463A58">
        <w:rPr>
          <w:rFonts w:ascii="Times New Roman" w:hAnsi="Times New Roman"/>
          <w:lang w:val="fr-FR"/>
        </w:rPr>
        <w:t>DXd</w:t>
      </w:r>
      <w:proofErr w:type="spellEnd"/>
      <w:r w:rsidRPr="00463A58">
        <w:rPr>
          <w:rFonts w:ascii="Times New Roman" w:hAnsi="Times New Roman"/>
          <w:lang w:val="fr-FR"/>
        </w:rPr>
        <w:t xml:space="preserve"> pour guider l'interprétation des données NHP internes.</w:t>
      </w:r>
    </w:p>
    <w:p w14:paraId="44732D8E" w14:textId="77777777" w:rsidR="006573EB" w:rsidRPr="00463A58" w:rsidRDefault="00000000">
      <w:pPr>
        <w:rPr>
          <w:lang w:val="fr-FR"/>
        </w:rPr>
      </w:pPr>
      <w:r w:rsidRPr="00463A58">
        <w:rPr>
          <w:lang w:val="fr-FR"/>
        </w:rPr>
        <w:br w:type="page"/>
      </w:r>
    </w:p>
    <w:p w14:paraId="11A77CD3"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II. Matériels &amp; Méthodes</w:t>
      </w:r>
    </w:p>
    <w:p w14:paraId="616C7521" w14:textId="77777777" w:rsidR="006573EB" w:rsidRPr="00463A58" w:rsidRDefault="00000000">
      <w:pPr>
        <w:spacing w:before="240" w:after="80"/>
        <w:rPr>
          <w:lang w:val="fr-FR"/>
        </w:rPr>
      </w:pPr>
      <w:r w:rsidRPr="00463A58">
        <w:rPr>
          <w:rFonts w:ascii="Times New Roman" w:hAnsi="Times New Roman"/>
          <w:b/>
          <w:color w:val="34495E"/>
          <w:sz w:val="28"/>
          <w:lang w:val="fr-FR"/>
        </w:rPr>
        <w:t>2.1 Modèle structurel de l'hématopoïèse</w:t>
      </w:r>
    </w:p>
    <w:p w14:paraId="18D661F6"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modèle repose sur une représentation compartimentale de la différenciation hématopoïétique, selon le schéma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L'hématopoïèse est représentée par une cascade de compartiments cellulaires, chacun gouverné par des équations différentielles ordinaires (ODE).</w:t>
      </w:r>
    </w:p>
    <w:p w14:paraId="7378CE37" w14:textId="77777777" w:rsidR="006573EB" w:rsidRPr="00463A58" w:rsidRDefault="00000000">
      <w:pPr>
        <w:spacing w:before="160" w:after="80"/>
        <w:rPr>
          <w:lang w:val="fr-FR"/>
        </w:rPr>
      </w:pPr>
      <w:r w:rsidRPr="00463A58">
        <w:rPr>
          <w:rFonts w:ascii="Times New Roman" w:hAnsi="Times New Roman"/>
          <w:b/>
          <w:color w:val="4A698A"/>
          <w:sz w:val="24"/>
          <w:lang w:val="fr-FR"/>
        </w:rPr>
        <w:t>2.1.1 Architecture compartimentale</w:t>
      </w:r>
    </w:p>
    <w:p w14:paraId="7C8C087E" w14:textId="77777777" w:rsidR="006573EB" w:rsidRPr="00463A58" w:rsidRDefault="00000000">
      <w:pPr>
        <w:spacing w:after="120"/>
        <w:ind w:firstLine="567"/>
        <w:jc w:val="both"/>
        <w:rPr>
          <w:lang w:val="fr-FR"/>
        </w:rPr>
      </w:pPr>
      <w:r w:rsidRPr="00463A58">
        <w:rPr>
          <w:rFonts w:ascii="Times New Roman" w:hAnsi="Times New Roman"/>
          <w:sz w:val="24"/>
          <w:lang w:val="fr-FR"/>
        </w:rPr>
        <w:t>Le modèle distingue les compartiments suivants, organisés selon la hiérarchie hématopoïétique :</w:t>
      </w:r>
    </w:p>
    <w:p w14:paraId="232EB4FF" w14:textId="77777777" w:rsidR="006573EB" w:rsidRPr="00463A58" w:rsidRDefault="00000000">
      <w:pPr>
        <w:spacing w:after="60"/>
        <w:ind w:left="283" w:hanging="227"/>
        <w:rPr>
          <w:lang w:val="fr-FR"/>
        </w:rPr>
      </w:pPr>
      <w:r w:rsidRPr="00463A58">
        <w:rPr>
          <w:rFonts w:ascii="Times New Roman" w:hAnsi="Times New Roman"/>
          <w:lang w:val="fr-FR"/>
        </w:rPr>
        <w:t xml:space="preserve">• MPP (Multipotent </w:t>
      </w:r>
      <w:proofErr w:type="spellStart"/>
      <w:r w:rsidRPr="00463A58">
        <w:rPr>
          <w:rFonts w:ascii="Times New Roman" w:hAnsi="Times New Roman"/>
          <w:lang w:val="fr-FR"/>
        </w:rPr>
        <w:t>Progenitor</w:t>
      </w:r>
      <w:proofErr w:type="spellEnd"/>
      <w:r w:rsidRPr="00463A58">
        <w:rPr>
          <w:rFonts w:ascii="Times New Roman" w:hAnsi="Times New Roman"/>
          <w:lang w:val="fr-FR"/>
        </w:rPr>
        <w:t>) : progéniteur multipotent commun, cible primaire de l'effet cytotoxique</w:t>
      </w:r>
    </w:p>
    <w:p w14:paraId="51E271C7" w14:textId="77777777" w:rsidR="006573EB" w:rsidRPr="00463A58" w:rsidRDefault="00000000">
      <w:pPr>
        <w:spacing w:after="60"/>
        <w:ind w:left="283" w:hanging="227"/>
        <w:rPr>
          <w:lang w:val="fr-FR"/>
        </w:rPr>
      </w:pPr>
      <w:r w:rsidRPr="00463A58">
        <w:rPr>
          <w:rFonts w:ascii="Times New Roman" w:hAnsi="Times New Roman"/>
          <w:lang w:val="fr-FR"/>
        </w:rPr>
        <w:t xml:space="preserve">• CMP (Common </w:t>
      </w:r>
      <w:proofErr w:type="spellStart"/>
      <w:r w:rsidRPr="00463A58">
        <w:rPr>
          <w:rFonts w:ascii="Times New Roman" w:hAnsi="Times New Roman"/>
          <w:lang w:val="fr-FR"/>
        </w:rPr>
        <w:t>Myeloid</w:t>
      </w:r>
      <w:proofErr w:type="spellEnd"/>
      <w:r w:rsidRPr="00463A58">
        <w:rPr>
          <w:rFonts w:ascii="Times New Roman" w:hAnsi="Times New Roman"/>
          <w:lang w:val="fr-FR"/>
        </w:rPr>
        <w:t xml:space="preserve"> </w:t>
      </w:r>
      <w:proofErr w:type="spellStart"/>
      <w:r w:rsidRPr="00463A58">
        <w:rPr>
          <w:rFonts w:ascii="Times New Roman" w:hAnsi="Times New Roman"/>
          <w:lang w:val="fr-FR"/>
        </w:rPr>
        <w:t>Progenitor</w:t>
      </w:r>
      <w:proofErr w:type="spellEnd"/>
      <w:r w:rsidRPr="00463A58">
        <w:rPr>
          <w:rFonts w:ascii="Times New Roman" w:hAnsi="Times New Roman"/>
          <w:lang w:val="fr-FR"/>
        </w:rPr>
        <w:t>) : progéniteur myéloïde commun, précurseur des neutrophiles et monocytes</w:t>
      </w:r>
    </w:p>
    <w:p w14:paraId="7733C2A5" w14:textId="77777777" w:rsidR="006573EB" w:rsidRPr="00463A58" w:rsidRDefault="00000000">
      <w:pPr>
        <w:spacing w:after="60"/>
        <w:ind w:left="283" w:hanging="227"/>
        <w:rPr>
          <w:lang w:val="fr-FR"/>
        </w:rPr>
      </w:pPr>
      <w:r w:rsidRPr="00463A58">
        <w:rPr>
          <w:rFonts w:ascii="Times New Roman" w:hAnsi="Times New Roman"/>
          <w:lang w:val="fr-FR"/>
        </w:rPr>
        <w:t>• MEP (</w:t>
      </w:r>
      <w:proofErr w:type="spellStart"/>
      <w:r w:rsidRPr="00463A58">
        <w:rPr>
          <w:rFonts w:ascii="Times New Roman" w:hAnsi="Times New Roman"/>
          <w:lang w:val="fr-FR"/>
        </w:rPr>
        <w:t>Megakaryocyte-Erythroid</w:t>
      </w:r>
      <w:proofErr w:type="spellEnd"/>
      <w:r w:rsidRPr="00463A58">
        <w:rPr>
          <w:rFonts w:ascii="Times New Roman" w:hAnsi="Times New Roman"/>
          <w:lang w:val="fr-FR"/>
        </w:rPr>
        <w:t xml:space="preserve"> </w:t>
      </w:r>
      <w:proofErr w:type="spellStart"/>
      <w:r w:rsidRPr="00463A58">
        <w:rPr>
          <w:rFonts w:ascii="Times New Roman" w:hAnsi="Times New Roman"/>
          <w:lang w:val="fr-FR"/>
        </w:rPr>
        <w:t>Progenitor</w:t>
      </w:r>
      <w:proofErr w:type="spellEnd"/>
      <w:r w:rsidRPr="00463A58">
        <w:rPr>
          <w:rFonts w:ascii="Times New Roman" w:hAnsi="Times New Roman"/>
          <w:lang w:val="fr-FR"/>
        </w:rPr>
        <w:t>) : précurseur des mégacaryocytes (→ plaquettes) et érythroïdes (→ réticulocytes → érythrocytes)</w:t>
      </w:r>
    </w:p>
    <w:p w14:paraId="17BF2E9A"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Neut</w:t>
      </w:r>
      <w:proofErr w:type="spellEnd"/>
      <w:r w:rsidRPr="00463A58">
        <w:rPr>
          <w:rFonts w:ascii="Times New Roman" w:hAnsi="Times New Roman"/>
          <w:lang w:val="fr-FR"/>
        </w:rPr>
        <w:t>, Mono : neutrophiles et monocytes circulants</w:t>
      </w:r>
    </w:p>
    <w:p w14:paraId="1C6B8AC3"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Ret</w:t>
      </w:r>
      <w:proofErr w:type="spellEnd"/>
      <w:r w:rsidRPr="00463A58">
        <w:rPr>
          <w:rFonts w:ascii="Times New Roman" w:hAnsi="Times New Roman"/>
          <w:lang w:val="fr-FR"/>
        </w:rPr>
        <w:t>, RBC : réticulocytes et érythrocytes circulants</w:t>
      </w:r>
    </w:p>
    <w:p w14:paraId="64B712E2"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Plt</w:t>
      </w:r>
      <w:proofErr w:type="spellEnd"/>
      <w:r w:rsidRPr="00463A58">
        <w:rPr>
          <w:rFonts w:ascii="Times New Roman" w:hAnsi="Times New Roman"/>
          <w:lang w:val="fr-FR"/>
        </w:rPr>
        <w:t xml:space="preserve"> : plaquettes circulantes</w:t>
      </w:r>
    </w:p>
    <w:p w14:paraId="5E5C6335" w14:textId="77777777" w:rsidR="006573EB" w:rsidRPr="00463A58" w:rsidRDefault="00000000">
      <w:pPr>
        <w:spacing w:before="160" w:after="80"/>
        <w:rPr>
          <w:lang w:val="fr-FR"/>
        </w:rPr>
      </w:pPr>
      <w:r w:rsidRPr="00463A58">
        <w:rPr>
          <w:rFonts w:ascii="Times New Roman" w:hAnsi="Times New Roman"/>
          <w:b/>
          <w:color w:val="4A698A"/>
          <w:sz w:val="24"/>
          <w:lang w:val="fr-FR"/>
        </w:rPr>
        <w:t>2.1.2 Équations différentielles</w:t>
      </w:r>
    </w:p>
    <w:p w14:paraId="1956D2CE"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Pour chaque compartiment cellulaire C, la dynamique est décrite par :</w:t>
      </w:r>
    </w:p>
    <w:p w14:paraId="6531B7C0" w14:textId="438FE3ED" w:rsidR="00841F94" w:rsidRPr="00841F94" w:rsidRDefault="00841F94">
      <w:pPr>
        <w:spacing w:after="120"/>
        <w:ind w:firstLine="567"/>
        <w:jc w:val="both"/>
        <w:rPr>
          <w:lang w:val="fr-FR"/>
        </w:rPr>
      </w:pP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lang w:val="fr-FR"/>
            </w:rPr>
            <m:t>=</m:t>
          </m:r>
          <m:sSub>
            <m:sSubPr>
              <m:ctrlPr>
                <w:rPr>
                  <w:rFonts w:ascii="Cambria Math" w:hAnsi="Cambria Math"/>
                  <w:i/>
                </w:rPr>
              </m:ctrlPr>
            </m:sSubPr>
            <m:e>
              <m:r>
                <w:rPr>
                  <w:rFonts w:ascii="Cambria Math" w:hAnsi="Cambria Math"/>
                </w:rPr>
                <m:t>k</m:t>
              </m:r>
            </m:e>
            <m:sub>
              <m:r>
                <w:rPr>
                  <w:rFonts w:ascii="Cambria Math" w:hAnsi="Cambria Math"/>
                </w:rPr>
                <m:t>prol</m:t>
              </m:r>
            </m:sub>
          </m:sSub>
          <m:r>
            <w:rPr>
              <w:rFonts w:ascii="Cambria Math" w:hAnsi="Cambria Math"/>
              <w:lang w:val="fr-FR"/>
            </w:rPr>
            <m:t xml:space="preserve"> ×</m:t>
          </m:r>
          <m:sSub>
            <m:sSubPr>
              <m:ctrlPr>
                <w:rPr>
                  <w:rFonts w:ascii="Cambria Math" w:hAnsi="Cambria Math"/>
                  <w:i/>
                </w:rPr>
              </m:ctrlPr>
            </m:sSubPr>
            <m:e>
              <m:r>
                <w:rPr>
                  <w:rFonts w:ascii="Cambria Math" w:hAnsi="Cambria Math"/>
                </w:rPr>
                <m:t>f</m:t>
              </m:r>
            </m:e>
            <m:sub>
              <m:r>
                <w:rPr>
                  <w:rFonts w:ascii="Cambria Math" w:hAnsi="Cambria Math"/>
                </w:rPr>
                <m:t>feedback</m:t>
              </m:r>
            </m:sub>
          </m:sSub>
          <m:r>
            <w:rPr>
              <w:rFonts w:ascii="Cambria Math" w:hAnsi="Cambria Math"/>
              <w:lang w:val="fr-FR"/>
            </w:rPr>
            <m:t>×</m:t>
          </m:r>
          <m:d>
            <m:dPr>
              <m:ctrlPr>
                <w:rPr>
                  <w:rFonts w:ascii="Cambria Math" w:hAnsi="Cambria Math"/>
                  <w:i/>
                  <w:lang w:val="fr-FR"/>
                </w:rPr>
              </m:ctrlPr>
            </m:dPr>
            <m:e>
              <m:r>
                <w:rPr>
                  <w:rFonts w:ascii="Cambria Math" w:hAnsi="Cambria Math"/>
                  <w:lang w:val="fr-FR"/>
                </w:rPr>
                <m:t>1-</m:t>
              </m:r>
              <m:r>
                <w:rPr>
                  <w:rFonts w:ascii="Cambria Math" w:hAnsi="Cambria Math"/>
                </w:rPr>
                <m:t>Slope</m:t>
              </m:r>
              <m:r>
                <w:rPr>
                  <w:rFonts w:ascii="Cambria Math" w:hAnsi="Cambria Math"/>
                  <w:lang w:val="fr-FR"/>
                </w:rPr>
                <m:t>×</m:t>
              </m:r>
              <m:r>
                <w:rPr>
                  <w:rFonts w:ascii="Cambria Math" w:hAnsi="Cambria Math"/>
                </w:rPr>
                <m:t>Damage</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transit</m:t>
              </m:r>
            </m:sub>
          </m:sSub>
          <m:r>
            <w:rPr>
              <w:rFonts w:ascii="Cambria Math" w:hAnsi="Cambria Math"/>
            </w:rPr>
            <m:t>×C</m:t>
          </m:r>
        </m:oMath>
      </m:oMathPara>
    </w:p>
    <w:p w14:paraId="1F7CE756" w14:textId="77777777" w:rsidR="006573EB" w:rsidRPr="00463A58" w:rsidRDefault="00000000">
      <w:pPr>
        <w:spacing w:after="120"/>
        <w:ind w:firstLine="567"/>
        <w:jc w:val="both"/>
        <w:rPr>
          <w:lang w:val="fr-FR"/>
        </w:rPr>
      </w:pPr>
      <w:proofErr w:type="gramStart"/>
      <w:r w:rsidRPr="00463A58">
        <w:rPr>
          <w:rFonts w:ascii="Times New Roman" w:hAnsi="Times New Roman"/>
          <w:sz w:val="24"/>
          <w:lang w:val="fr-FR"/>
        </w:rPr>
        <w:t>où</w:t>
      </w:r>
      <w:proofErr w:type="gramEnd"/>
      <w:r w:rsidRPr="00463A58">
        <w:rPr>
          <w:rFonts w:ascii="Times New Roman" w:hAnsi="Times New Roman"/>
          <w:sz w:val="24"/>
          <w:lang w:val="fr-FR"/>
        </w:rPr>
        <w:t xml:space="preserve">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est le taux de prolifération, </w:t>
      </w:r>
      <w:proofErr w:type="spellStart"/>
      <w:r w:rsidRPr="00463A58">
        <w:rPr>
          <w:rFonts w:ascii="Times New Roman" w:hAnsi="Times New Roman"/>
          <w:sz w:val="24"/>
          <w:lang w:val="fr-FR"/>
        </w:rPr>
        <w:t>k_transit</w:t>
      </w:r>
      <w:proofErr w:type="spellEnd"/>
      <w:r w:rsidRPr="00463A58">
        <w:rPr>
          <w:rFonts w:ascii="Times New Roman" w:hAnsi="Times New Roman"/>
          <w:sz w:val="24"/>
          <w:lang w:val="fr-FR"/>
        </w:rPr>
        <w:t xml:space="preserve"> le taux de transit vers le compartiment suivant, et </w:t>
      </w:r>
      <w:proofErr w:type="spellStart"/>
      <w:r w:rsidRPr="00463A58">
        <w:rPr>
          <w:rFonts w:ascii="Times New Roman" w:hAnsi="Times New Roman"/>
          <w:sz w:val="24"/>
          <w:lang w:val="fr-FR"/>
        </w:rPr>
        <w:t>f_feedback</w:t>
      </w:r>
      <w:proofErr w:type="spellEnd"/>
      <w:r w:rsidRPr="00463A58">
        <w:rPr>
          <w:rFonts w:ascii="Times New Roman" w:hAnsi="Times New Roman"/>
          <w:sz w:val="24"/>
          <w:lang w:val="fr-FR"/>
        </w:rPr>
        <w:t xml:space="preserve"> le feedback homéostatique.</w:t>
      </w:r>
    </w:p>
    <w:p w14:paraId="15C3A34A"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Le feedback homéostatique est modélisé par une fonction puissance :</w:t>
      </w:r>
    </w:p>
    <w:p w14:paraId="4E967C0C" w14:textId="1A260795" w:rsidR="00841F94" w:rsidRPr="00463A58" w:rsidRDefault="00841F94">
      <w:pPr>
        <w:spacing w:after="120"/>
        <w:ind w:firstLine="567"/>
        <w:jc w:val="both"/>
        <w:rPr>
          <w:lang w:val="fr-FR"/>
        </w:rPr>
      </w:pPr>
      <m:oMathPara>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feedback</m:t>
              </m:r>
            </m:sub>
          </m:sSub>
          <m:r>
            <w:rPr>
              <w:rFonts w:ascii="Cambria Math" w:hAnsi="Cambria Math"/>
              <w:lang w:val="fr-FR"/>
            </w:rPr>
            <m:t>=</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baseline</m:t>
                          </m:r>
                        </m:sub>
                      </m:sSub>
                    </m:num>
                    <m:den>
                      <m:r>
                        <w:rPr>
                          <w:rFonts w:ascii="Cambria Math" w:hAnsi="Cambria Math"/>
                          <w:lang w:val="fr-FR"/>
                        </w:rPr>
                        <m:t>C</m:t>
                      </m:r>
                    </m:den>
                  </m:f>
                </m:e>
              </m:d>
              <m:ctrlPr>
                <w:rPr>
                  <w:rFonts w:ascii="Cambria Math" w:hAnsi="Cambria Math"/>
                  <w:i/>
                </w:rPr>
              </m:ctrlPr>
            </m:e>
            <m:sup>
              <m:r>
                <w:rPr>
                  <w:rFonts w:ascii="Cambria Math" w:hAnsi="Cambria Math"/>
                </w:rPr>
                <m:t>γ</m:t>
              </m:r>
            </m:sup>
          </m:sSup>
        </m:oMath>
      </m:oMathPara>
    </w:p>
    <w:p w14:paraId="1E9B8D5D" w14:textId="77777777" w:rsidR="006573EB" w:rsidRPr="00463A58" w:rsidRDefault="00000000">
      <w:pPr>
        <w:spacing w:after="120"/>
        <w:ind w:firstLine="567"/>
        <w:jc w:val="both"/>
        <w:rPr>
          <w:lang w:val="fr-FR"/>
        </w:rPr>
      </w:pPr>
      <w:proofErr w:type="gramStart"/>
      <w:r w:rsidRPr="00463A58">
        <w:rPr>
          <w:rFonts w:ascii="Times New Roman" w:hAnsi="Times New Roman"/>
          <w:sz w:val="24"/>
          <w:lang w:val="fr-FR"/>
        </w:rPr>
        <w:t>avec</w:t>
      </w:r>
      <w:proofErr w:type="gramEnd"/>
      <w:r w:rsidRPr="00463A58">
        <w:rPr>
          <w:rFonts w:ascii="Times New Roman" w:hAnsi="Times New Roman"/>
          <w:sz w:val="24"/>
          <w:lang w:val="fr-FR"/>
        </w:rPr>
        <w:t xml:space="preserve"> </w:t>
      </w:r>
      <w:r>
        <w:rPr>
          <w:rFonts w:ascii="Times New Roman" w:hAnsi="Times New Roman"/>
          <w:sz w:val="24"/>
        </w:rPr>
        <w:t>γ</w:t>
      </w:r>
      <w:r w:rsidRPr="00463A58">
        <w:rPr>
          <w:rFonts w:ascii="Times New Roman" w:hAnsi="Times New Roman"/>
          <w:sz w:val="24"/>
          <w:lang w:val="fr-FR"/>
        </w:rPr>
        <w:t xml:space="preserve"> ≈ 0,2 (paramètre de sensibilité du feedback). Ce mécanisme représente la stimulation compensatoire de la moelle osseuse lors d'une cytopénie.</w:t>
      </w:r>
    </w:p>
    <w:p w14:paraId="508ADF08" w14:textId="77777777" w:rsidR="006573EB" w:rsidRPr="00463A58" w:rsidRDefault="00000000">
      <w:pPr>
        <w:spacing w:after="120"/>
        <w:ind w:firstLine="567"/>
        <w:jc w:val="both"/>
        <w:rPr>
          <w:lang w:val="fr-FR"/>
        </w:rPr>
      </w:pPr>
      <w:r w:rsidRPr="00463A58">
        <w:rPr>
          <w:rFonts w:ascii="Times New Roman" w:hAnsi="Times New Roman"/>
          <w:sz w:val="24"/>
          <w:lang w:val="fr-FR"/>
        </w:rPr>
        <w:t>Les paramètres de base (</w:t>
      </w:r>
      <w:proofErr w:type="spellStart"/>
      <w:r w:rsidRPr="00463A58">
        <w:rPr>
          <w:rFonts w:ascii="Times New Roman" w:hAnsi="Times New Roman"/>
          <w:sz w:val="24"/>
          <w:lang w:val="fr-FR"/>
        </w:rPr>
        <w:t>k_e</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w:t>
      </w:r>
      <w:r>
        <w:rPr>
          <w:rFonts w:ascii="Times New Roman" w:hAnsi="Times New Roman"/>
          <w:sz w:val="24"/>
        </w:rPr>
        <w:t>τ</w:t>
      </w:r>
      <w:r w:rsidRPr="00463A58">
        <w:rPr>
          <w:rFonts w:ascii="Times New Roman" w:hAnsi="Times New Roman"/>
          <w:sz w:val="24"/>
          <w:lang w:val="fr-FR"/>
        </w:rPr>
        <w:t xml:space="preserve">) sont dérivés des valeurs biologiques à l'état d'équilibre de chaque espèce selon les équations S4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w:t>
      </w:r>
    </w:p>
    <w:p w14:paraId="7A9B2339" w14:textId="670E1CE3" w:rsidR="006573EB" w:rsidRDefault="00000000">
      <w:pPr>
        <w:spacing w:before="120" w:after="120"/>
        <w:jc w:val="center"/>
        <w:rPr>
          <w:rFonts w:ascii="Courier New" w:hAnsi="Courier New"/>
          <w:iCs/>
          <w:lang w:val="fr-FR"/>
        </w:rPr>
      </w:pPr>
      <w:proofErr w:type="spellStart"/>
      <w:proofErr w:type="gramStart"/>
      <w:r w:rsidRPr="00841F94">
        <w:rPr>
          <w:rFonts w:ascii="Courier New" w:hAnsi="Courier New"/>
          <w:i/>
          <w:lang w:val="fr-FR"/>
        </w:rPr>
        <w:t>k</w:t>
      </w:r>
      <w:proofErr w:type="gramEnd"/>
      <w:r w:rsidRPr="00841F94">
        <w:rPr>
          <w:rFonts w:ascii="Courier New" w:hAnsi="Courier New"/>
          <w:i/>
          <w:lang w:val="fr-FR"/>
        </w:rPr>
        <w:t>_e</w:t>
      </w:r>
      <w:proofErr w:type="spellEnd"/>
      <w:r w:rsidRPr="00841F94">
        <w:rPr>
          <w:rFonts w:ascii="Courier New" w:hAnsi="Courier New"/>
          <w:i/>
          <w:lang w:val="fr-FR"/>
        </w:rPr>
        <w:t xml:space="preserve"> = ln(2) / </w:t>
      </w:r>
      <w:proofErr w:type="spellStart"/>
      <w:r w:rsidRPr="00841F94">
        <w:rPr>
          <w:rFonts w:ascii="Courier New" w:hAnsi="Courier New"/>
          <w:i/>
          <w:lang w:val="fr-FR"/>
        </w:rPr>
        <w:t>t_half_cell</w:t>
      </w:r>
      <w:proofErr w:type="spellEnd"/>
      <w:r w:rsidR="00841F94" w:rsidRPr="00841F94">
        <w:rPr>
          <w:rFonts w:ascii="Courier New" w:hAnsi="Courier New"/>
          <w:i/>
          <w:lang w:val="fr-FR"/>
        </w:rPr>
        <w:t xml:space="preserve"> </w:t>
      </w:r>
      <m:oMath>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e</m:t>
            </m:r>
          </m:sub>
        </m:sSub>
        <m:r>
          <w:rPr>
            <w:rFonts w:ascii="Cambria Math" w:hAnsi="Cambria Math"/>
            <w:lang w:val="fr-FR"/>
          </w:rPr>
          <m:t>=</m:t>
        </m:r>
        <m:f>
          <m:fPr>
            <m:ctrlPr>
              <w:rPr>
                <w:rFonts w:ascii="Cambria Math" w:hAnsi="Cambria Math"/>
                <w:i/>
                <w:lang w:val="fr-FR"/>
              </w:rPr>
            </m:ctrlPr>
          </m:fPr>
          <m:num>
            <m:func>
              <m:funcPr>
                <m:ctrlPr>
                  <w:rPr>
                    <w:rFonts w:ascii="Cambria Math" w:hAnsi="Cambria Math"/>
                    <w:lang w:val="fr-FR"/>
                  </w:rPr>
                </m:ctrlPr>
              </m:funcPr>
              <m:fName>
                <m:r>
                  <m:rPr>
                    <m:sty m:val="p"/>
                  </m:rPr>
                  <w:rPr>
                    <w:rFonts w:ascii="Cambria Math" w:hAnsi="Cambria Math"/>
                    <w:lang w:val="fr-FR"/>
                  </w:rPr>
                  <m:t>ln</m:t>
                </m:r>
              </m:fName>
              <m:e>
                <m:d>
                  <m:dPr>
                    <m:ctrlPr>
                      <w:rPr>
                        <w:rFonts w:ascii="Cambria Math" w:hAnsi="Cambria Math"/>
                        <w:i/>
                        <w:lang w:val="fr-FR"/>
                      </w:rPr>
                    </m:ctrlPr>
                  </m:dPr>
                  <m:e>
                    <m:r>
                      <w:rPr>
                        <w:rFonts w:ascii="Cambria Math" w:hAnsi="Cambria Math"/>
                        <w:lang w:val="fr-FR"/>
                      </w:rPr>
                      <m:t>2</m:t>
                    </m:r>
                  </m:e>
                </m:d>
              </m:e>
            </m:func>
          </m:num>
          <m:den>
            <m:sSub>
              <m:sSubPr>
                <m:ctrlPr>
                  <w:rPr>
                    <w:rFonts w:ascii="Cambria Math" w:hAnsi="Cambria Math"/>
                    <w:i/>
                    <w:lang w:val="fr-FR"/>
                  </w:rPr>
                </m:ctrlPr>
              </m:sSubPr>
              <m:e>
                <m:r>
                  <w:rPr>
                    <w:rFonts w:ascii="Cambria Math" w:hAnsi="Cambria Math"/>
                    <w:lang w:val="fr-FR"/>
                  </w:rPr>
                  <m:t>t</m:t>
                </m:r>
              </m:e>
              <m:sub>
                <m:r>
                  <w:rPr>
                    <w:rFonts w:ascii="Cambria Math" w:hAnsi="Cambria Math"/>
                    <w:lang w:val="fr-FR"/>
                  </w:rPr>
                  <m:t>hal</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cell</m:t>
                    </m:r>
                  </m:sub>
                </m:sSub>
              </m:sub>
            </m:sSub>
          </m:den>
        </m:f>
      </m:oMath>
      <w:r w:rsidR="00841F94">
        <w:rPr>
          <w:rFonts w:ascii="Courier New" w:hAnsi="Courier New"/>
          <w:i/>
          <w:lang w:val="fr-FR"/>
        </w:rPr>
        <w:t xml:space="preserve"> </w:t>
      </w:r>
      <w:r w:rsidRPr="00841F94">
        <w:rPr>
          <w:rFonts w:ascii="Courier New" w:hAnsi="Courier New"/>
          <w:iCs/>
          <w:lang w:val="fr-FR"/>
        </w:rPr>
        <w:t>[taux d'élimination des cellules matures]</w:t>
      </w:r>
    </w:p>
    <w:p w14:paraId="2B936453" w14:textId="77777777" w:rsidR="00841F94" w:rsidRDefault="00841F94">
      <w:pPr>
        <w:spacing w:before="120" w:after="120"/>
        <w:jc w:val="center"/>
        <w:rPr>
          <w:rFonts w:ascii="Courier New" w:hAnsi="Courier New"/>
          <w:iCs/>
          <w:lang w:val="fr-FR"/>
        </w:rPr>
      </w:pPr>
    </w:p>
    <w:p w14:paraId="32FF5A4E" w14:textId="09382F4A" w:rsidR="00A95C25" w:rsidRPr="00A95C25" w:rsidRDefault="00A95C25" w:rsidP="00A95C25">
      <w:pPr>
        <w:spacing w:before="120" w:after="120"/>
        <w:jc w:val="center"/>
        <w:rPr>
          <w:lang w:val="fr-FR"/>
        </w:rPr>
      </w:pPr>
      <m:oMathPara>
        <m:oMath>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prol</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e</m:t>
              </m:r>
            </m:sub>
          </m:sSub>
          <m:r>
            <w:rPr>
              <w:rFonts w:ascii="Cambria Math" w:hAnsi="Cambria Math"/>
              <w:lang w:val="fr-FR"/>
            </w:rPr>
            <m:t>×</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baseline</m:t>
                          </m:r>
                        </m:sub>
                      </m:sSub>
                    </m:num>
                    <m:den>
                      <m:r>
                        <w:rPr>
                          <w:rFonts w:ascii="Cambria Math" w:hAnsi="Cambria Math"/>
                          <w:lang w:val="fr-FR"/>
                        </w:rPr>
                        <m:t>MP</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baseline</m:t>
                          </m:r>
                        </m:sub>
                      </m:sSub>
                    </m:den>
                  </m:f>
                </m:e>
              </m:d>
            </m:e>
            <m:sup>
              <m:f>
                <m:fPr>
                  <m:ctrlPr>
                    <w:rPr>
                      <w:rFonts w:ascii="Cambria Math" w:hAnsi="Cambria Math"/>
                      <w:i/>
                      <w:lang w:val="fr-FR"/>
                    </w:rPr>
                  </m:ctrlPr>
                </m:fPr>
                <m:num>
                  <m:r>
                    <w:rPr>
                      <w:rFonts w:ascii="Cambria Math" w:hAnsi="Cambria Math"/>
                      <w:lang w:val="fr-FR"/>
                    </w:rPr>
                    <m:t>1</m:t>
                  </m:r>
                </m:num>
                <m:den>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transits</m:t>
                      </m:r>
                    </m:sub>
                  </m:sSub>
                </m:den>
              </m:f>
            </m:sup>
          </m:sSup>
        </m:oMath>
      </m:oMathPara>
    </w:p>
    <w:p w14:paraId="0E387890" w14:textId="718149C1" w:rsidR="006573EB" w:rsidRPr="00A95C25" w:rsidRDefault="00A95C25">
      <w:pPr>
        <w:spacing w:before="120" w:after="120"/>
        <w:jc w:val="center"/>
        <w:rPr>
          <w:iCs/>
          <w:lang w:val="fr-FR"/>
        </w:rPr>
      </w:pPr>
      <m:oMath>
        <m:r>
          <w:rPr>
            <w:rFonts w:ascii="Cambria Math" w:hAnsi="Cambria Math"/>
          </w:rPr>
          <m:t>τ</m:t>
        </m:r>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transit</m:t>
                </m:r>
              </m:sub>
            </m:sSub>
          </m:den>
        </m:f>
      </m:oMath>
      <w:r w:rsidR="00000000" w:rsidRPr="00A95C25">
        <w:rPr>
          <w:rFonts w:ascii="Courier New" w:hAnsi="Courier New"/>
          <w:i/>
          <w:lang w:val="fr-FR"/>
        </w:rPr>
        <w:t xml:space="preserve"> </w:t>
      </w:r>
      <w:r w:rsidR="00000000" w:rsidRPr="00A95C25">
        <w:rPr>
          <w:rFonts w:ascii="Courier New" w:hAnsi="Courier New"/>
          <w:iCs/>
          <w:lang w:val="fr-FR"/>
        </w:rPr>
        <w:t xml:space="preserve">  [</w:t>
      </w:r>
      <w:proofErr w:type="gramStart"/>
      <w:r w:rsidR="00000000" w:rsidRPr="00A95C25">
        <w:rPr>
          <w:rFonts w:ascii="Courier New" w:hAnsi="Courier New"/>
          <w:iCs/>
          <w:lang w:val="fr-FR"/>
        </w:rPr>
        <w:t>temps</w:t>
      </w:r>
      <w:proofErr w:type="gramEnd"/>
      <w:r w:rsidR="00000000" w:rsidRPr="00A95C25">
        <w:rPr>
          <w:rFonts w:ascii="Courier New" w:hAnsi="Courier New"/>
          <w:iCs/>
          <w:lang w:val="fr-FR"/>
        </w:rPr>
        <w:t xml:space="preserve"> de transit moyen par compartiment]</w:t>
      </w:r>
    </w:p>
    <w:p w14:paraId="2775F6CB" w14:textId="77777777" w:rsidR="006573EB" w:rsidRPr="00463A58" w:rsidRDefault="00000000">
      <w:pPr>
        <w:spacing w:before="240" w:after="80"/>
        <w:rPr>
          <w:lang w:val="fr-FR"/>
        </w:rPr>
      </w:pPr>
      <w:r w:rsidRPr="00463A58">
        <w:rPr>
          <w:rFonts w:ascii="Times New Roman" w:hAnsi="Times New Roman"/>
          <w:b/>
          <w:color w:val="34495E"/>
          <w:sz w:val="28"/>
          <w:lang w:val="fr-FR"/>
        </w:rPr>
        <w:t>2.2 Modèle d'effet du médicament</w:t>
      </w:r>
    </w:p>
    <w:p w14:paraId="73899259" w14:textId="77777777" w:rsidR="006573EB" w:rsidRPr="00463A58" w:rsidRDefault="00000000">
      <w:pPr>
        <w:spacing w:after="120"/>
        <w:ind w:firstLine="567"/>
        <w:jc w:val="both"/>
        <w:rPr>
          <w:lang w:val="fr-FR"/>
        </w:rPr>
      </w:pPr>
      <w:r w:rsidRPr="00463A58">
        <w:rPr>
          <w:rFonts w:ascii="Times New Roman" w:hAnsi="Times New Roman"/>
          <w:sz w:val="24"/>
          <w:lang w:val="fr-FR"/>
        </w:rPr>
        <w:t>L'effet cytotoxique du médicament sur les cellules progénitrices est modélisé par un compartiment de dommage (Damage), représentant l'accumulation de l'effet toxique intracellulaire.</w:t>
      </w:r>
    </w:p>
    <w:p w14:paraId="7FC060E8" w14:textId="77777777" w:rsidR="006573EB" w:rsidRDefault="00000000">
      <w:pPr>
        <w:spacing w:before="160" w:after="80"/>
        <w:rPr>
          <w:rFonts w:ascii="Times New Roman" w:hAnsi="Times New Roman"/>
          <w:b/>
          <w:color w:val="4A698A"/>
          <w:sz w:val="24"/>
          <w:lang w:val="fr-FR"/>
        </w:rPr>
      </w:pPr>
      <w:r w:rsidRPr="00463A58">
        <w:rPr>
          <w:rFonts w:ascii="Times New Roman" w:hAnsi="Times New Roman"/>
          <w:b/>
          <w:color w:val="4A698A"/>
          <w:sz w:val="24"/>
          <w:lang w:val="fr-FR"/>
        </w:rPr>
        <w:t>2.2.1 Équation de dommage</w:t>
      </w:r>
    </w:p>
    <w:p w14:paraId="125298CC" w14:textId="1C16C562" w:rsidR="006573EB" w:rsidRPr="00463A58" w:rsidRDefault="00A95C25" w:rsidP="00A95C25">
      <w:pPr>
        <w:spacing w:before="160" w:after="80"/>
        <w:rPr>
          <w:lang w:val="fr-FR"/>
        </w:rPr>
      </w:pPr>
      <m:oMathPara>
        <m:oMath>
          <m:f>
            <m:fPr>
              <m:ctrlPr>
                <w:rPr>
                  <w:rFonts w:ascii="Cambria Math" w:hAnsi="Cambria Math"/>
                  <w:i/>
                  <w:lang w:val="fr-FR"/>
                </w:rPr>
              </m:ctrlPr>
            </m:fPr>
            <m:num>
              <m:r>
                <w:rPr>
                  <w:rFonts w:ascii="Cambria Math" w:hAnsi="Cambria Math"/>
                  <w:lang w:val="fr-FR"/>
                </w:rPr>
                <m:t>dDamage</m:t>
              </m:r>
            </m:num>
            <m:den>
              <m:r>
                <w:rPr>
                  <w:rFonts w:ascii="Cambria Math" w:hAnsi="Cambria Math"/>
                  <w:lang w:val="fr-FR"/>
                </w:rPr>
                <m:t>dt</m:t>
              </m:r>
            </m:den>
          </m:f>
          <m:r>
            <w:rPr>
              <w:rFonts w:ascii="Cambria Math" w:hAnsi="Cambria Math"/>
              <w:lang w:val="fr-FR"/>
            </w:rPr>
            <m:t xml:space="preserve"> = k_dam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drug</m:t>
              </m:r>
            </m:sub>
          </m:sSub>
          <m:r>
            <w:rPr>
              <w:rFonts w:ascii="Cambria Math" w:hAnsi="Cambria Math"/>
              <w:lang w:val="fr-FR"/>
            </w:rPr>
            <m:t xml:space="preserve">(µM) -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rep</m:t>
              </m:r>
            </m:sub>
          </m:sSub>
          <m:r>
            <w:rPr>
              <w:rFonts w:ascii="Cambria Math" w:hAnsi="Cambria Math"/>
              <w:lang w:val="fr-FR"/>
            </w:rPr>
            <m:t xml:space="preserve"> × Damage</m:t>
          </m:r>
        </m:oMath>
      </m:oMathPara>
    </w:p>
    <w:p w14:paraId="05BC8EF9" w14:textId="77777777" w:rsidR="006573EB" w:rsidRDefault="00000000">
      <w:pPr>
        <w:spacing w:after="120"/>
        <w:ind w:firstLine="567"/>
        <w:jc w:val="both"/>
        <w:rPr>
          <w:rFonts w:ascii="Times New Roman" w:hAnsi="Times New Roman"/>
          <w:sz w:val="24"/>
          <w:lang w:val="fr-FR"/>
        </w:rPr>
      </w:pPr>
      <w:proofErr w:type="spellStart"/>
      <w:r w:rsidRPr="00463A58">
        <w:rPr>
          <w:rFonts w:ascii="Times New Roman" w:hAnsi="Times New Roman"/>
          <w:sz w:val="24"/>
          <w:lang w:val="fr-FR"/>
        </w:rPr>
        <w:t>C_drug</w:t>
      </w:r>
      <w:proofErr w:type="spellEnd"/>
      <w:r w:rsidRPr="00463A58">
        <w:rPr>
          <w:rFonts w:ascii="Times New Roman" w:hAnsi="Times New Roman"/>
          <w:sz w:val="24"/>
          <w:lang w:val="fr-FR"/>
        </w:rPr>
        <w:t xml:space="preserve">(µM) est la concentration plasmatique du médicament convertie en µM, </w:t>
      </w:r>
      <w:proofErr w:type="spellStart"/>
      <w:r w:rsidRPr="00463A58">
        <w:rPr>
          <w:rFonts w:ascii="Times New Roman" w:hAnsi="Times New Roman"/>
          <w:sz w:val="24"/>
          <w:lang w:val="fr-FR"/>
        </w:rPr>
        <w:t>k_dam</w:t>
      </w:r>
      <w:proofErr w:type="spellEnd"/>
      <w:r w:rsidRPr="00463A58">
        <w:rPr>
          <w:rFonts w:ascii="Times New Roman" w:hAnsi="Times New Roman"/>
          <w:sz w:val="24"/>
          <w:lang w:val="fr-FR"/>
        </w:rPr>
        <w:t xml:space="preserve"> le taux d'accumulation du dommage (proportionnel à l'exposition) et </w:t>
      </w:r>
      <w:proofErr w:type="spellStart"/>
      <w:r w:rsidRPr="00463A58">
        <w:rPr>
          <w:rFonts w:ascii="Times New Roman" w:hAnsi="Times New Roman"/>
          <w:sz w:val="24"/>
          <w:lang w:val="fr-FR"/>
        </w:rPr>
        <w:t>k_rep</w:t>
      </w:r>
      <w:proofErr w:type="spellEnd"/>
      <w:r w:rsidRPr="00463A58">
        <w:rPr>
          <w:rFonts w:ascii="Times New Roman" w:hAnsi="Times New Roman"/>
          <w:sz w:val="24"/>
          <w:lang w:val="fr-FR"/>
        </w:rPr>
        <w:t xml:space="preserve"> le taux de réparation cellulaire. À l'état stationnaire :</w:t>
      </w:r>
    </w:p>
    <w:p w14:paraId="19BDD93D" w14:textId="2B49B52E" w:rsidR="00A95C25" w:rsidRPr="00A95C25" w:rsidRDefault="00A95C25" w:rsidP="00A95C25">
      <w:pPr>
        <w:spacing w:before="120" w:after="120"/>
        <w:jc w:val="center"/>
      </w:pPr>
      <m:oMathPara>
        <m:oMath>
          <m:r>
            <w:rPr>
              <w:rFonts w:ascii="Cambria Math" w:hAnsi="Cambria Math"/>
            </w:rPr>
            <m:t>Damag</m:t>
          </m:r>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dam</m:t>
                      </m:r>
                    </m:sub>
                  </m:sSub>
                </m:num>
                <m:den>
                  <m:sSub>
                    <m:sSubPr>
                      <m:ctrlPr>
                        <w:rPr>
                          <w:rFonts w:ascii="Cambria Math" w:hAnsi="Cambria Math"/>
                          <w:i/>
                        </w:rPr>
                      </m:ctrlPr>
                    </m:sSubPr>
                    <m:e>
                      <m:r>
                        <w:rPr>
                          <w:rFonts w:ascii="Cambria Math" w:hAnsi="Cambria Math"/>
                        </w:rPr>
                        <m:t>k</m:t>
                      </m:r>
                    </m:e>
                    <m:sub>
                      <m:r>
                        <w:rPr>
                          <w:rFonts w:ascii="Cambria Math" w:hAnsi="Cambria Math"/>
                        </w:rPr>
                        <m:t>rep</m:t>
                      </m:r>
                    </m:sub>
                  </m:sSub>
                </m:den>
              </m:f>
            </m:e>
          </m:d>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drug</m:t>
              </m:r>
            </m:sub>
          </m:sSub>
        </m:oMath>
      </m:oMathPara>
    </w:p>
    <w:p w14:paraId="67583D6C" w14:textId="2343C3A4" w:rsidR="00A95C25" w:rsidRPr="00A95C25" w:rsidRDefault="00A95C25">
      <w:pPr>
        <w:spacing w:after="120"/>
        <w:ind w:firstLine="567"/>
        <w:jc w:val="both"/>
      </w:pPr>
    </w:p>
    <w:p w14:paraId="1044DC49" w14:textId="77777777" w:rsidR="006573EB" w:rsidRPr="00463A58" w:rsidRDefault="00000000">
      <w:pPr>
        <w:spacing w:before="160" w:after="80"/>
        <w:rPr>
          <w:lang w:val="fr-FR"/>
        </w:rPr>
      </w:pPr>
      <w:r w:rsidRPr="00463A58">
        <w:rPr>
          <w:rFonts w:ascii="Times New Roman" w:hAnsi="Times New Roman"/>
          <w:b/>
          <w:color w:val="4A698A"/>
          <w:sz w:val="24"/>
          <w:lang w:val="fr-FR"/>
        </w:rPr>
        <w:t>2.2.2 Inhibition de la prolifération</w:t>
      </w:r>
    </w:p>
    <w:p w14:paraId="3CC38E92"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Le dommage inhibe la prolifération des progéniteurs via un terme multiplicatif :</w:t>
      </w:r>
    </w:p>
    <w:p w14:paraId="5143BEDD" w14:textId="7E3C843B" w:rsidR="00A95C25" w:rsidRPr="00A95C25" w:rsidRDefault="00A95C25">
      <w:pPr>
        <w:spacing w:after="120"/>
        <w:ind w:firstLine="567"/>
        <w:jc w:val="both"/>
        <w:rPr>
          <w:lang w:val="fr-FR"/>
        </w:rPr>
      </w:pPr>
      <m:oMathPara>
        <m:oMath>
          <m:r>
            <w:rPr>
              <w:rFonts w:ascii="Cambria Math" w:hAnsi="Cambria Math"/>
              <w:lang w:val="fr-FR"/>
            </w:rPr>
            <m:t>Effet= 1 - Slope × Damage</m:t>
          </m:r>
        </m:oMath>
      </m:oMathPara>
    </w:p>
    <w:p w14:paraId="27B7032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paramètre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est spécifique à chaque lignée cellulaire (</w:t>
      </w:r>
      <w:proofErr w:type="spellStart"/>
      <w:r w:rsidRPr="00463A58">
        <w:rPr>
          <w:rFonts w:ascii="Times New Roman" w:hAnsi="Times New Roman"/>
          <w:sz w:val="24"/>
          <w:lang w:val="fr-FR"/>
        </w:rPr>
        <w:t>Slope_MPP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Slope_CMP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Slope_MEP</w:t>
      </w:r>
      <w:proofErr w:type="spellEnd"/>
      <w:r w:rsidRPr="00463A58">
        <w:rPr>
          <w:rFonts w:ascii="Times New Roman" w:hAnsi="Times New Roman"/>
          <w:sz w:val="24"/>
          <w:lang w:val="fr-FR"/>
        </w:rPr>
        <w:t xml:space="preserve">), reflétant la sensibilité différentielle des progéniteurs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cytotoxique. Ces paramètres sont calibrés sur les données hématologiques observées.</w:t>
      </w:r>
    </w:p>
    <w:p w14:paraId="33014FBB" w14:textId="77777777" w:rsidR="006573EB" w:rsidRPr="00463A58" w:rsidRDefault="00000000">
      <w:pPr>
        <w:spacing w:before="240" w:after="80"/>
        <w:rPr>
          <w:lang w:val="fr-FR"/>
        </w:rPr>
      </w:pPr>
      <w:r w:rsidRPr="00463A58">
        <w:rPr>
          <w:rFonts w:ascii="Times New Roman" w:hAnsi="Times New Roman"/>
          <w:b/>
          <w:color w:val="34495E"/>
          <w:sz w:val="28"/>
          <w:lang w:val="fr-FR"/>
        </w:rPr>
        <w:t>2.3 Modèle pharmacocinétique</w:t>
      </w:r>
    </w:p>
    <w:p w14:paraId="545C7ADF" w14:textId="77777777" w:rsidR="006573EB" w:rsidRPr="00463A58" w:rsidRDefault="00000000">
      <w:pPr>
        <w:spacing w:after="120"/>
        <w:ind w:firstLine="567"/>
        <w:jc w:val="both"/>
        <w:rPr>
          <w:lang w:val="fr-FR"/>
        </w:rPr>
      </w:pPr>
      <w:r w:rsidRPr="00463A58">
        <w:rPr>
          <w:rFonts w:ascii="Times New Roman" w:hAnsi="Times New Roman"/>
          <w:sz w:val="24"/>
          <w:lang w:val="fr-FR"/>
        </w:rPr>
        <w:t>La pharmacocinétique de tous les composés étudiés est décrite par un modèle à 2 compartiments (central + périphérique) après administration intraveineuse (IV) en bolus.</w:t>
      </w:r>
    </w:p>
    <w:p w14:paraId="7AE290DA" w14:textId="77777777" w:rsidR="006573EB" w:rsidRDefault="00000000">
      <w:pPr>
        <w:spacing w:before="160" w:after="80"/>
        <w:rPr>
          <w:rFonts w:ascii="Times New Roman" w:hAnsi="Times New Roman"/>
          <w:b/>
          <w:color w:val="4A698A"/>
          <w:sz w:val="24"/>
          <w:lang w:val="fr-FR"/>
        </w:rPr>
      </w:pPr>
      <w:r w:rsidRPr="00463A58">
        <w:rPr>
          <w:rFonts w:ascii="Times New Roman" w:hAnsi="Times New Roman"/>
          <w:b/>
          <w:color w:val="4A698A"/>
          <w:sz w:val="24"/>
          <w:lang w:val="fr-FR"/>
        </w:rPr>
        <w:t>2.3.1 Équations structurelles</w:t>
      </w:r>
    </w:p>
    <w:p w14:paraId="78FD21F8" w14:textId="2E90F160" w:rsidR="00A95C25" w:rsidRPr="00A95C25" w:rsidRDefault="00A95C25" w:rsidP="00A95C25">
      <w:pPr>
        <w:spacing w:before="160" w:after="80"/>
        <w:rPr>
          <w:rFonts w:ascii="Cambria Math" w:hAnsi="Cambria Math"/>
          <w:lang w:val="fr-FR"/>
          <w:oMath/>
        </w:rPr>
      </w:pPr>
      <m:oMathPara>
        <m:oMath>
          <m:f>
            <m:fPr>
              <m:ctrlPr>
                <w:rPr>
                  <w:rFonts w:ascii="Cambria Math" w:hAnsi="Cambria Math"/>
                  <w:i/>
                  <w:lang w:val="fr-FR"/>
                </w:rPr>
              </m:ctrlPr>
            </m:fPr>
            <m:num>
              <m:r>
                <w:rPr>
                  <w:rFonts w:ascii="Cambria Math" w:hAnsi="Cambria Math"/>
                  <w:lang w:val="fr-FR"/>
                </w:rPr>
                <m:t>dA1</m:t>
              </m:r>
            </m:num>
            <m:den>
              <m:r>
                <w:rPr>
                  <w:rFonts w:ascii="Cambria Math" w:hAnsi="Cambria Math"/>
                  <w:lang w:val="fr-FR"/>
                </w:rPr>
                <m:t>dt</m:t>
              </m:r>
            </m:den>
          </m:f>
          <m:r>
            <w:rPr>
              <w:rFonts w:ascii="Cambria Math" w:hAnsi="Cambria Math"/>
              <w:lang w:val="fr-FR"/>
            </w:rPr>
            <m:t xml:space="preserve">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CL</m:t>
                  </m:r>
                </m:num>
                <m:den>
                  <m:r>
                    <w:rPr>
                      <w:rFonts w:ascii="Cambria Math" w:hAnsi="Cambria Math"/>
                      <w:lang w:val="fr-FR"/>
                    </w:rPr>
                    <m:t>V1</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Q</m:t>
                  </m:r>
                </m:num>
                <m:den>
                  <m:r>
                    <w:rPr>
                      <w:rFonts w:ascii="Cambria Math" w:hAnsi="Cambria Math"/>
                      <w:lang w:val="fr-FR"/>
                    </w:rPr>
                    <m:t>V1</m:t>
                  </m:r>
                </m:den>
              </m:f>
            </m:e>
          </m:d>
          <m:r>
            <w:rPr>
              <w:rFonts w:ascii="Cambria Math" w:hAnsi="Cambria Math"/>
              <w:lang w:val="fr-FR"/>
            </w:rPr>
            <m:t xml:space="preserve"> × A1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Q</m:t>
                  </m:r>
                </m:num>
                <m:den>
                  <m:r>
                    <w:rPr>
                      <w:rFonts w:ascii="Cambria Math" w:hAnsi="Cambria Math"/>
                      <w:lang w:val="fr-FR"/>
                    </w:rPr>
                    <m:t>V2</m:t>
                  </m:r>
                </m:den>
              </m:f>
            </m:e>
          </m:d>
          <m:r>
            <w:rPr>
              <w:rFonts w:ascii="Cambria Math" w:hAnsi="Cambria Math"/>
              <w:lang w:val="fr-FR"/>
            </w:rPr>
            <m:t xml:space="preserve"> × A2  [compartiment central]</m:t>
          </m:r>
        </m:oMath>
      </m:oMathPara>
    </w:p>
    <w:p w14:paraId="220D14F1" w14:textId="6CB7E4D4" w:rsidR="00A95C25" w:rsidRPr="00A95C25" w:rsidRDefault="00A95C25" w:rsidP="00A95C25">
      <w:pPr>
        <w:spacing w:before="160" w:after="80"/>
        <w:rPr>
          <w:rFonts w:ascii="Cambria Math" w:hAnsi="Cambria Math"/>
          <w:lang w:val="fr-FR"/>
          <w:oMath/>
        </w:rPr>
      </w:pPr>
      <m:oMathPara>
        <m:oMath>
          <m:f>
            <m:fPr>
              <m:ctrlPr>
                <w:rPr>
                  <w:rFonts w:ascii="Cambria Math" w:hAnsi="Cambria Math"/>
                  <w:i/>
                  <w:lang w:val="fr-FR"/>
                </w:rPr>
              </m:ctrlPr>
            </m:fPr>
            <m:num>
              <m:r>
                <w:rPr>
                  <w:rFonts w:ascii="Cambria Math" w:hAnsi="Cambria Math"/>
                  <w:lang w:val="fr-FR"/>
                </w:rPr>
                <m:t>dA2</m:t>
              </m:r>
            </m:num>
            <m:den>
              <m:r>
                <w:rPr>
                  <w:rFonts w:ascii="Cambria Math" w:hAnsi="Cambria Math"/>
                  <w:lang w:val="fr-FR"/>
                </w:rPr>
                <m:t>dt</m:t>
              </m:r>
            </m:den>
          </m:f>
          <m:r>
            <w:rPr>
              <w:rFonts w:ascii="Cambria Math" w:hAnsi="Cambria Math"/>
              <w:lang w:val="fr-FR"/>
            </w:rPr>
            <m:t xml:space="preserve">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Q</m:t>
                  </m:r>
                </m:num>
                <m:den>
                  <m:r>
                    <w:rPr>
                      <w:rFonts w:ascii="Cambria Math" w:hAnsi="Cambria Math"/>
                      <w:lang w:val="fr-FR"/>
                    </w:rPr>
                    <m:t>V1</m:t>
                  </m:r>
                </m:den>
              </m:f>
            </m:e>
          </m:d>
          <m:r>
            <w:rPr>
              <w:rFonts w:ascii="Cambria Math" w:hAnsi="Cambria Math"/>
              <w:lang w:val="fr-FR"/>
            </w:rPr>
            <m:t xml:space="preserve"> × A1 - (</m:t>
          </m:r>
          <m:f>
            <m:fPr>
              <m:ctrlPr>
                <w:rPr>
                  <w:rFonts w:ascii="Cambria Math" w:hAnsi="Cambria Math"/>
                  <w:i/>
                  <w:lang w:val="fr-FR"/>
                </w:rPr>
              </m:ctrlPr>
            </m:fPr>
            <m:num>
              <m:r>
                <w:rPr>
                  <w:rFonts w:ascii="Cambria Math" w:hAnsi="Cambria Math"/>
                  <w:lang w:val="fr-FR"/>
                </w:rPr>
                <m:t>Q</m:t>
              </m:r>
            </m:num>
            <m:den>
              <m:r>
                <w:rPr>
                  <w:rFonts w:ascii="Cambria Math" w:hAnsi="Cambria Math"/>
                  <w:lang w:val="fr-FR"/>
                </w:rPr>
                <m:t>V2</m:t>
              </m:r>
            </m:den>
          </m:f>
          <m:r>
            <w:rPr>
              <w:rFonts w:ascii="Cambria Math" w:hAnsi="Cambria Math"/>
              <w:lang w:val="fr-FR"/>
            </w:rPr>
            <m:t>) × A2              [compartiment périphérique]</m:t>
          </m:r>
        </m:oMath>
      </m:oMathPara>
    </w:p>
    <w:p w14:paraId="765AC4F1" w14:textId="22B1548A" w:rsidR="00A95C25" w:rsidRPr="00463A58" w:rsidRDefault="00A95C25" w:rsidP="00A95C25">
      <w:pPr>
        <w:spacing w:before="160" w:after="80"/>
        <w:rPr>
          <w:lang w:val="fr-FR"/>
        </w:rPr>
      </w:pPr>
      <m:oMathPara>
        <m:oMath>
          <m:r>
            <w:rPr>
              <w:rFonts w:ascii="Cambria Math" w:hAnsi="Cambria Math"/>
              <w:lang w:val="fr-FR"/>
            </w:rPr>
            <m:t xml:space="preserve">C1 = </m:t>
          </m:r>
          <m:f>
            <m:fPr>
              <m:ctrlPr>
                <w:rPr>
                  <w:rFonts w:ascii="Cambria Math" w:hAnsi="Cambria Math"/>
                  <w:i/>
                  <w:lang w:val="fr-FR"/>
                </w:rPr>
              </m:ctrlPr>
            </m:fPr>
            <m:num>
              <m:r>
                <w:rPr>
                  <w:rFonts w:ascii="Cambria Math" w:hAnsi="Cambria Math"/>
                  <w:lang w:val="fr-FR"/>
                </w:rPr>
                <m:t>A1</m:t>
              </m:r>
            </m:num>
            <m:den>
              <m:r>
                <w:rPr>
                  <w:rFonts w:ascii="Cambria Math" w:hAnsi="Cambria Math"/>
                  <w:lang w:val="fr-FR"/>
                </w:rPr>
                <m:t>V1</m:t>
              </m:r>
            </m:den>
          </m:f>
          <m:r>
            <w:rPr>
              <w:rFonts w:ascii="Cambria Math" w:hAnsi="Cambria Math"/>
              <w:lang w:val="fr-FR"/>
            </w:rPr>
            <m:t xml:space="preserve">   [concentration centrale,</m:t>
          </m:r>
          <m:r>
            <w:rPr>
              <w:rFonts w:ascii="Cambria Math" w:hAnsi="Cambria Math"/>
              <w:lang w:val="fr-FR"/>
            </w:rPr>
            <m:t xml:space="preserve"> </m:t>
          </m:r>
          <m:r>
            <w:rPr>
              <w:rFonts w:ascii="Cambria Math" w:hAnsi="Cambria Math"/>
              <w:lang w:val="fr-FR"/>
            </w:rPr>
            <m:t>ng/mL ou µg/mL]</m:t>
          </m:r>
        </m:oMath>
      </m:oMathPara>
    </w:p>
    <w:p w14:paraId="208CB317"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lastRenderedPageBreak/>
        <w:t xml:space="preserve">Les paramètres structurels sont : CL (clairance), V1 (volume central), Q (clairance </w:t>
      </w:r>
      <w:proofErr w:type="spellStart"/>
      <w:r w:rsidRPr="00463A58">
        <w:rPr>
          <w:rFonts w:ascii="Times New Roman" w:hAnsi="Times New Roman"/>
          <w:sz w:val="24"/>
          <w:lang w:val="fr-FR"/>
        </w:rPr>
        <w:t>intercompartimentale</w:t>
      </w:r>
      <w:proofErr w:type="spellEnd"/>
      <w:r w:rsidRPr="00463A58">
        <w:rPr>
          <w:rFonts w:ascii="Times New Roman" w:hAnsi="Times New Roman"/>
          <w:sz w:val="24"/>
          <w:lang w:val="fr-FR"/>
        </w:rPr>
        <w:t xml:space="preserve">), V2 (volume périphérique). La demi-vie d'élimination terminale </w:t>
      </w:r>
      <w:r>
        <w:rPr>
          <w:rFonts w:ascii="Times New Roman" w:hAnsi="Times New Roman"/>
          <w:sz w:val="24"/>
        </w:rPr>
        <w:t>β</w:t>
      </w:r>
      <w:r w:rsidRPr="00463A58">
        <w:rPr>
          <w:rFonts w:ascii="Times New Roman" w:hAnsi="Times New Roman"/>
          <w:sz w:val="24"/>
          <w:lang w:val="fr-FR"/>
        </w:rPr>
        <w:t xml:space="preserve"> est donnée par :</w:t>
      </w:r>
    </w:p>
    <w:p w14:paraId="1EAB6787" w14:textId="533C350B" w:rsidR="00FA79FA" w:rsidRPr="00463A58" w:rsidRDefault="00FA79FA">
      <w:pPr>
        <w:spacing w:after="120"/>
        <w:ind w:firstLine="567"/>
        <w:jc w:val="both"/>
        <w:rPr>
          <w:lang w:val="fr-FR"/>
        </w:rPr>
      </w:pPr>
      <m:oMathPara>
        <m:oMath>
          <m:r>
            <w:rPr>
              <w:rFonts w:ascii="Cambria Math" w:hAnsi="Cambria Math"/>
              <w:lang w:val="fr-FR"/>
            </w:rPr>
            <m:t xml:space="preserve">t½β = </m:t>
          </m:r>
          <m:f>
            <m:fPr>
              <m:ctrlPr>
                <w:rPr>
                  <w:rFonts w:ascii="Cambria Math" w:hAnsi="Cambria Math"/>
                  <w:i/>
                  <w:lang w:val="fr-FR"/>
                </w:rPr>
              </m:ctrlPr>
            </m:fPr>
            <m:num>
              <m:r>
                <w:rPr>
                  <w:rFonts w:ascii="Cambria Math" w:hAnsi="Cambria Math"/>
                  <w:lang w:val="fr-FR"/>
                </w:rPr>
                <m:t>ln</m:t>
              </m:r>
              <m:d>
                <m:dPr>
                  <m:ctrlPr>
                    <w:rPr>
                      <w:rFonts w:ascii="Cambria Math" w:hAnsi="Cambria Math"/>
                      <w:i/>
                      <w:lang w:val="fr-FR"/>
                    </w:rPr>
                  </m:ctrlPr>
                </m:dPr>
                <m:e>
                  <m:r>
                    <w:rPr>
                      <w:rFonts w:ascii="Cambria Math" w:hAnsi="Cambria Math"/>
                      <w:lang w:val="fr-FR"/>
                    </w:rPr>
                    <m:t>2</m:t>
                  </m:r>
                </m:e>
              </m:d>
            </m:num>
            <m:den>
              <m:r>
                <w:rPr>
                  <w:rFonts w:ascii="Cambria Math" w:hAnsi="Cambria Math"/>
                  <w:lang w:val="fr-FR"/>
                </w:rPr>
                <m:t>β</m:t>
              </m:r>
            </m:den>
          </m:f>
          <m:r>
            <w:rPr>
              <w:rFonts w:ascii="Cambria Math" w:hAnsi="Cambria Math"/>
              <w:lang w:val="fr-FR"/>
            </w:rPr>
            <m:t xml:space="preserve">    avec β = racine de l'équation caractéristique bi-exponentielle</m:t>
          </m:r>
        </m:oMath>
      </m:oMathPara>
    </w:p>
    <w:p w14:paraId="511959B2" w14:textId="77777777" w:rsidR="006573EB" w:rsidRPr="00463A58" w:rsidRDefault="00000000">
      <w:pPr>
        <w:spacing w:before="160" w:after="80"/>
        <w:rPr>
          <w:lang w:val="fr-FR"/>
        </w:rPr>
      </w:pPr>
      <w:r w:rsidRPr="00463A58">
        <w:rPr>
          <w:rFonts w:ascii="Times New Roman" w:hAnsi="Times New Roman"/>
          <w:b/>
          <w:color w:val="4A698A"/>
          <w:sz w:val="24"/>
          <w:lang w:val="fr-FR"/>
        </w:rPr>
        <w:t>2.3.2 Ajustement individuel par optimisation</w:t>
      </w:r>
    </w:p>
    <w:p w14:paraId="5492EFA8"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 xml:space="preserve">Pour chaque animal ou patient disposant de données de concentration, les paramètres PK sont estimés par minimisation de la somme des résidus quadratiques (SSR) sur l'échelle logarithmique, via l'algorithme de </w:t>
      </w:r>
      <w:proofErr w:type="spellStart"/>
      <w:r w:rsidRPr="00463A58">
        <w:rPr>
          <w:rFonts w:ascii="Times New Roman" w:hAnsi="Times New Roman"/>
          <w:sz w:val="24"/>
          <w:lang w:val="fr-FR"/>
        </w:rPr>
        <w:t>Nelder</w:t>
      </w:r>
      <w:proofErr w:type="spellEnd"/>
      <w:r w:rsidRPr="00463A58">
        <w:rPr>
          <w:rFonts w:ascii="Times New Roman" w:hAnsi="Times New Roman"/>
          <w:sz w:val="24"/>
          <w:lang w:val="fr-FR"/>
        </w:rPr>
        <w:t>-Mead (méthode du simplex) :</w:t>
      </w:r>
    </w:p>
    <w:p w14:paraId="4774EBF2" w14:textId="51857AF2" w:rsidR="00FA79FA" w:rsidRPr="00463A58" w:rsidRDefault="00FA79FA">
      <w:pPr>
        <w:spacing w:after="120"/>
        <w:ind w:firstLine="567"/>
        <w:jc w:val="both"/>
        <w:rPr>
          <w:lang w:val="fr-FR"/>
        </w:rPr>
      </w:pPr>
      <m:oMathPara>
        <m:oMath>
          <m:r>
            <w:rPr>
              <w:rFonts w:ascii="Cambria Math" w:hAnsi="Cambria Math"/>
              <w:lang w:val="fr-FR"/>
            </w:rPr>
            <m:t xml:space="preserve">SSR = Σ </m:t>
          </m:r>
          <m:sSup>
            <m:sSupPr>
              <m:ctrlPr>
                <w:rPr>
                  <w:rFonts w:ascii="Cambria Math" w:hAnsi="Cambria Math"/>
                  <w:i/>
                  <w:lang w:val="fr-FR"/>
                </w:rPr>
              </m:ctrlPr>
            </m:sSupPr>
            <m:e>
              <m:d>
                <m:dPr>
                  <m:begChr m:val="["/>
                  <m:endChr m:val="]"/>
                  <m:ctrlPr>
                    <w:rPr>
                      <w:rFonts w:ascii="Cambria Math" w:hAnsi="Cambria Math"/>
                      <w:i/>
                      <w:lang w:val="fr-FR"/>
                    </w:rPr>
                  </m:ctrlPr>
                </m:dPr>
                <m:e>
                  <m:r>
                    <w:rPr>
                      <w:rFonts w:ascii="Cambria Math" w:hAnsi="Cambria Math"/>
                      <w:lang w:val="fr-FR"/>
                    </w:rPr>
                    <m:t>log</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obs</m:t>
                          </m:r>
                        </m:sub>
                      </m:sSub>
                      <m:r>
                        <w:rPr>
                          <w:rFonts w:ascii="Cambria Math" w:hAnsi="Cambria Math"/>
                          <w:lang w:val="fr-FR"/>
                        </w:rPr>
                        <m:t>,i</m:t>
                      </m:r>
                    </m:e>
                  </m:d>
                  <m:r>
                    <w:rPr>
                      <w:rFonts w:ascii="Cambria Math" w:hAnsi="Cambria Math"/>
                      <w:lang w:val="fr-FR"/>
                    </w:rPr>
                    <m:t>- log</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pred</m:t>
                          </m:r>
                        </m:sub>
                      </m:sSub>
                      <m:r>
                        <w:rPr>
                          <w:rFonts w:ascii="Cambria Math" w:hAnsi="Cambria Math"/>
                          <w:lang w:val="fr-FR"/>
                        </w:rPr>
                        <m:t>,i</m:t>
                      </m:r>
                    </m:e>
                  </m:d>
                </m:e>
              </m:d>
            </m:e>
            <m:sup>
              <m:r>
                <w:rPr>
                  <w:rFonts w:ascii="Cambria Math" w:hAnsi="Cambria Math"/>
                  <w:lang w:val="fr-FR"/>
                </w:rPr>
                <m:t>2</m:t>
              </m:r>
            </m:sup>
          </m:sSup>
        </m:oMath>
      </m:oMathPara>
    </w:p>
    <w:p w14:paraId="536D66BF" w14:textId="77777777" w:rsidR="006573EB" w:rsidRPr="00463A58" w:rsidRDefault="00000000">
      <w:pPr>
        <w:spacing w:after="120"/>
        <w:ind w:firstLine="567"/>
        <w:jc w:val="both"/>
        <w:rPr>
          <w:lang w:val="fr-FR"/>
        </w:rPr>
      </w:pPr>
      <w:r w:rsidRPr="00463A58">
        <w:rPr>
          <w:rFonts w:ascii="Times New Roman" w:hAnsi="Times New Roman"/>
          <w:sz w:val="24"/>
          <w:lang w:val="fr-FR"/>
        </w:rPr>
        <w:t>L'utilisation de l'échelle logarithmique confère une pondération homogène à toutes les concentrations, y compris les valeurs faibles en fin de profil, et est cohérente avec l'hypothèse d'erreur résiduelle proportionnelle.</w:t>
      </w:r>
    </w:p>
    <w:p w14:paraId="270B93AA" w14:textId="77777777" w:rsidR="006573EB" w:rsidRPr="00463A58" w:rsidRDefault="00000000">
      <w:pPr>
        <w:spacing w:before="240" w:after="80"/>
        <w:rPr>
          <w:lang w:val="fr-FR"/>
        </w:rPr>
      </w:pPr>
      <w:r w:rsidRPr="00463A58">
        <w:rPr>
          <w:rFonts w:ascii="Times New Roman" w:hAnsi="Times New Roman"/>
          <w:b/>
          <w:color w:val="34495E"/>
          <w:sz w:val="28"/>
          <w:lang w:val="fr-FR"/>
        </w:rPr>
        <w:t>2.4 Analyse non-compartimentale (NCA)</w:t>
      </w:r>
    </w:p>
    <w:p w14:paraId="022CB847" w14:textId="77777777" w:rsidR="006573EB" w:rsidRPr="00463A58" w:rsidRDefault="00000000">
      <w:pPr>
        <w:spacing w:after="120"/>
        <w:ind w:firstLine="567"/>
        <w:jc w:val="both"/>
        <w:rPr>
          <w:lang w:val="fr-FR"/>
        </w:rPr>
      </w:pPr>
      <w:r w:rsidRPr="00463A58">
        <w:rPr>
          <w:rFonts w:ascii="Times New Roman" w:hAnsi="Times New Roman"/>
          <w:sz w:val="24"/>
          <w:lang w:val="fr-FR"/>
        </w:rPr>
        <w:t>L'analyse non-compartimentale a été réalisée sur les profils PK NHP pour obtenir des paramètres descriptifs indépendants de toute hypothèse de modèle.</w:t>
      </w:r>
    </w:p>
    <w:p w14:paraId="08A63544" w14:textId="77777777" w:rsidR="006573EB" w:rsidRPr="00463A58" w:rsidRDefault="00000000">
      <w:pPr>
        <w:spacing w:after="60"/>
        <w:ind w:left="283" w:hanging="227"/>
        <w:rPr>
          <w:lang w:val="fr-FR"/>
        </w:rPr>
      </w:pPr>
      <w:r w:rsidRPr="00463A58">
        <w:rPr>
          <w:rFonts w:ascii="Times New Roman" w:hAnsi="Times New Roman"/>
          <w:lang w:val="fr-FR"/>
        </w:rPr>
        <w:t>• Cmax : concentration maximale observée</w:t>
      </w:r>
    </w:p>
    <w:p w14:paraId="6B563164" w14:textId="77777777" w:rsidR="006573EB" w:rsidRPr="00463A58" w:rsidRDefault="00000000">
      <w:pPr>
        <w:spacing w:after="60"/>
        <w:ind w:left="283" w:hanging="227"/>
        <w:rPr>
          <w:lang w:val="fr-FR"/>
        </w:rPr>
      </w:pPr>
      <w:r w:rsidRPr="00463A58">
        <w:rPr>
          <w:rFonts w:ascii="Times New Roman" w:hAnsi="Times New Roman"/>
          <w:lang w:val="fr-FR"/>
        </w:rPr>
        <w:t>• Tmax : temps correspondant à Cmax</w:t>
      </w:r>
    </w:p>
    <w:p w14:paraId="64B1C94B"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AUClast</w:t>
      </w:r>
      <w:proofErr w:type="spellEnd"/>
      <w:r w:rsidRPr="00463A58">
        <w:rPr>
          <w:rFonts w:ascii="Times New Roman" w:hAnsi="Times New Roman"/>
          <w:lang w:val="fr-FR"/>
        </w:rPr>
        <w:t xml:space="preserve"> : intégrale par méthode des trapèzes linéaires jusqu'au dernier point quantifiable</w:t>
      </w:r>
    </w:p>
    <w:p w14:paraId="13843C9B"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AUCinf</w:t>
      </w:r>
      <w:proofErr w:type="spellEnd"/>
      <w:r w:rsidRPr="00463A58">
        <w:rPr>
          <w:rFonts w:ascii="Times New Roman" w:hAnsi="Times New Roman"/>
          <w:lang w:val="fr-FR"/>
        </w:rPr>
        <w:t xml:space="preserve"> : extrapolation vers l'infini — </w:t>
      </w:r>
      <w:proofErr w:type="spellStart"/>
      <w:r w:rsidRPr="00463A58">
        <w:rPr>
          <w:rFonts w:ascii="Times New Roman" w:hAnsi="Times New Roman"/>
          <w:lang w:val="fr-FR"/>
        </w:rPr>
        <w:t>AUCinf</w:t>
      </w:r>
      <w:proofErr w:type="spellEnd"/>
      <w:r w:rsidRPr="00463A58">
        <w:rPr>
          <w:rFonts w:ascii="Times New Roman" w:hAnsi="Times New Roman"/>
          <w:lang w:val="fr-FR"/>
        </w:rPr>
        <w:t xml:space="preserve"> = </w:t>
      </w:r>
      <w:proofErr w:type="spellStart"/>
      <w:r w:rsidRPr="00463A58">
        <w:rPr>
          <w:rFonts w:ascii="Times New Roman" w:hAnsi="Times New Roman"/>
          <w:lang w:val="fr-FR"/>
        </w:rPr>
        <w:t>AUClast</w:t>
      </w:r>
      <w:proofErr w:type="spellEnd"/>
      <w:r w:rsidRPr="00463A58">
        <w:rPr>
          <w:rFonts w:ascii="Times New Roman" w:hAnsi="Times New Roman"/>
          <w:lang w:val="fr-FR"/>
        </w:rPr>
        <w:t xml:space="preserve"> + </w:t>
      </w:r>
      <w:proofErr w:type="spellStart"/>
      <w:r w:rsidRPr="00463A58">
        <w:rPr>
          <w:rFonts w:ascii="Times New Roman" w:hAnsi="Times New Roman"/>
          <w:lang w:val="fr-FR"/>
        </w:rPr>
        <w:t>Clast</w:t>
      </w:r>
      <w:proofErr w:type="spellEnd"/>
      <w:r w:rsidRPr="00463A58">
        <w:rPr>
          <w:rFonts w:ascii="Times New Roman" w:hAnsi="Times New Roman"/>
          <w:lang w:val="fr-FR"/>
        </w:rPr>
        <w:t>/</w:t>
      </w:r>
      <w:r>
        <w:rPr>
          <w:rFonts w:ascii="Times New Roman" w:hAnsi="Times New Roman"/>
        </w:rPr>
        <w:t>β</w:t>
      </w:r>
    </w:p>
    <w:p w14:paraId="5315D189" w14:textId="77777777" w:rsidR="006573EB" w:rsidRPr="00463A58" w:rsidRDefault="00000000">
      <w:pPr>
        <w:spacing w:after="60"/>
        <w:ind w:left="283" w:hanging="227"/>
        <w:rPr>
          <w:lang w:val="fr-FR"/>
        </w:rPr>
      </w:pPr>
      <w:r w:rsidRPr="00463A58">
        <w:rPr>
          <w:rFonts w:ascii="Times New Roman" w:hAnsi="Times New Roman"/>
          <w:lang w:val="fr-FR"/>
        </w:rPr>
        <w:t>• t½</w:t>
      </w:r>
      <w:r>
        <w:rPr>
          <w:rFonts w:ascii="Times New Roman" w:hAnsi="Times New Roman"/>
        </w:rPr>
        <w:t>β</w:t>
      </w:r>
      <w:r w:rsidRPr="00463A58">
        <w:rPr>
          <w:rFonts w:ascii="Times New Roman" w:hAnsi="Times New Roman"/>
          <w:lang w:val="fr-FR"/>
        </w:rPr>
        <w:t xml:space="preserve"> : demi-vie terminale, estimée sur la phase log-linéaire finale</w:t>
      </w:r>
    </w:p>
    <w:p w14:paraId="07145CB3" w14:textId="77777777" w:rsidR="006573EB" w:rsidRPr="00463A58" w:rsidRDefault="00000000">
      <w:pPr>
        <w:spacing w:after="60"/>
        <w:ind w:left="283" w:hanging="227"/>
        <w:rPr>
          <w:lang w:val="fr-FR"/>
        </w:rPr>
      </w:pPr>
      <w:r w:rsidRPr="00463A58">
        <w:rPr>
          <w:rFonts w:ascii="Times New Roman" w:hAnsi="Times New Roman"/>
          <w:lang w:val="fr-FR"/>
        </w:rPr>
        <w:t xml:space="preserve">• CL : CL = Dose / </w:t>
      </w:r>
      <w:proofErr w:type="spellStart"/>
      <w:r w:rsidRPr="00463A58">
        <w:rPr>
          <w:rFonts w:ascii="Times New Roman" w:hAnsi="Times New Roman"/>
          <w:lang w:val="fr-FR"/>
        </w:rPr>
        <w:t>AUCinf</w:t>
      </w:r>
      <w:proofErr w:type="spellEnd"/>
    </w:p>
    <w:p>
      <w:pPr>
        <w:jc w:val="left"/>
        <w:spacing w:before="240" w:after="120"/>
      </w:pPr>
      <w:r>
        <w:rPr>
          <w:rFonts w:ascii="Times New Roman" w:hAnsi="Times New Roman"/>
          <w:b/>
          <w:color w:val="2C3E50"/>
          <w:sz w:val="28"/>
        </w:rPr>
        <w:t>2.4 Simulation de population virtuelle</w:t>
      </w:r>
    </w:p>
    <w:p>
      <w:pPr>
        <w:jc w:val="both"/>
        <w:ind w:firstLine="567"/>
        <w:spacing w:after="120"/>
      </w:pPr>
      <w:r>
        <w:rPr>
          <w:rFonts w:ascii="Times New Roman" w:hAnsi="Times New Roman"/>
          <w:sz w:val="24"/>
        </w:rPr>
        <w:t>Afin d'évaluer la distribution des grades de toxicité hématologique attendus en population, une approche de simulation Monte-Carlo a été mise en œuvre. Une cohorte virtuelle de N=300 patients a été générée pour le T-DXd (5,4 mg/kg Q3W × 6 cycles), en intégrant la variabilité inter-individuelle sur les paramètres PK et PD.</w:t>
      </w:r>
    </w:p>
    <w:p>
      <w:pPr>
        <w:jc w:val="left"/>
        <w:spacing w:before="180" w:after="90"/>
      </w:pPr>
      <w:r>
        <w:rPr>
          <w:rFonts w:ascii="Times New Roman" w:hAnsi="Times New Roman"/>
          <w:b/>
          <w:color w:val="2C3E50"/>
          <w:sz w:val="24"/>
        </w:rPr>
        <w:t>Modélisation de la variabilité inter-individuelle</w:t>
      </w:r>
    </w:p>
    <w:p>
      <w:pPr>
        <w:jc w:val="both"/>
        <w:spacing w:after="120"/>
      </w:pPr>
      <w:r>
        <w:rPr>
          <w:rFonts w:ascii="Times New Roman" w:hAnsi="Times New Roman"/>
          <w:sz w:val="24"/>
        </w:rPr>
        <w:t>Les paramètres individuels sont supposés distribués selon une loi log-normale, ce qui garantit leur positivité et est cohérent avec la distribution observée des paramètres PK en population clinique :</w:t>
      </w:r>
    </w:p>
    <w:p>
      <w:pPr>
        <w:jc w:val="center"/>
        <w:spacing w:before="60" w:after="60"/>
      </w:pPr>
      <w:r>
        <w:rPr>
          <w:rFonts w:ascii="Courier New" w:hAnsi="Courier New"/>
          <w:i/>
          <w:color w:val="3C3C78"/>
          <w:sz w:val="22"/>
        </w:rPr>
        <w:t>θᵢ = θ_pop × exp(ηᵢ)    avec ηᵢ ~ N(0, ω²)</w:t>
      </w:r>
    </w:p>
    <w:p>
      <w:pPr>
        <w:jc w:val="both"/>
        <w:spacing w:after="120"/>
      </w:pPr>
      <w:r>
        <w:rPr>
          <w:rFonts w:ascii="Times New Roman" w:hAnsi="Times New Roman"/>
          <w:sz w:val="24"/>
        </w:rPr>
        <w:t>où θ_pop est la valeur typique de population, ηᵢ l'effet aléatoire individuel et ω² la variance inter-individuelle. Le coefficient de variation (CV%) associé est approximé par CV% ≈ ω × 100 pour des valeurs de ω &lt; 0,5. Les valeurs retenues, issues de l'analyse de population FDA (BLA 761139) et de la littérature, sont :</w:t>
      </w:r>
    </w:p>
    <w:tbl>
      <w:tblPr>
        <w:tblStyle w:val="Grilledutableau"/>
        <w:tblW w:type="auto" w:w="0"/>
        <w:tblLook w:firstColumn="1" w:firstRow="1" w:lastColumn="0" w:lastRow="0" w:noHBand="0" w:noVBand="1" w:val="04A0"/>
      </w:tblPr>
      <w:tblGrid>
        <w:gridCol w:w="2280"/>
        <w:gridCol w:w="2280"/>
        <w:gridCol w:w="2280"/>
        <w:gridCol w:w="2280"/>
      </w:tblGrid>
      <w:tr>
        <w:tc>
          <w:tcPr>
            <w:tcW w:type="dxa" w:w="2280"/>
            <w:shd w:val="clear" w:color="auto" w:fill="2C3E5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FFFFFF"/>
                <w:sz w:val="22"/>
              </w:rPr>
              <w:t>Paramètre</w:t>
            </w:r>
          </w:p>
        </w:tc>
        <w:tc>
          <w:tcPr>
            <w:tcW w:type="dxa" w:w="2280"/>
            <w:shd w:val="clear" w:color="auto" w:fill="2C3E5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FFFFFF"/>
                <w:sz w:val="22"/>
              </w:rPr>
              <w:t>Valeur typique (θ_pop)</w:t>
            </w:r>
          </w:p>
        </w:tc>
        <w:tc>
          <w:tcPr>
            <w:tcW w:type="dxa" w:w="2280"/>
            <w:shd w:val="clear" w:color="auto" w:fill="2C3E5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FFFFFF"/>
                <w:sz w:val="22"/>
              </w:rPr>
              <w:t>CV inter-individuel (ω)</w:t>
            </w:r>
          </w:p>
        </w:tc>
        <w:tc>
          <w:tcPr>
            <w:tcW w:type="dxa" w:w="2280"/>
            <w:shd w:val="clear" w:color="auto" w:fill="2C3E5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FFFFFF"/>
                <w:sz w:val="22"/>
              </w:rPr>
              <w:t>Source</w:t>
            </w:r>
          </w:p>
        </w:tc>
      </w:tr>
      <w:tr>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CL (L/h)</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0,50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30%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FDA BLA 761139</w:t>
            </w:r>
          </w:p>
        </w:tc>
      </w:tr>
      <w:tr>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V1 (L)</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3,1</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25%</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FDA BLA 761139</w:t>
            </w:r>
          </w:p>
        </w:tc>
      </w:tr>
      <w:tr>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Q (L/h)</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0,80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30%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FDA BLA 761139</w:t>
            </w:r>
          </w:p>
        </w:tc>
      </w:tr>
      <w:tr>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V2 (L)</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2,5</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25%</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FDA BLA 761139</w:t>
            </w:r>
          </w:p>
        </w:tc>
      </w:tr>
      <w:tr>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Slope_MPP (µM⁻¹)</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Calibration rat</w:t>
            </w:r>
          </w:p>
        </w:tc>
      </w:tr>
      <w:tr>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Slope_CMP (µM⁻¹)</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20%</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Calibration rat</w:t>
            </w:r>
          </w:p>
        </w:tc>
      </w:tr>
      <w:tr>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Slope_MEP (µM⁻¹)</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20%</w:t>
            </w:r>
          </w:p>
        </w:tc>
        <w:tc>
          <w:tcPr>
            <w:tcW w:type="dxa" w:w="2280"/>
            <w:shd w:val="clear" w:color="auto" w:fill="F2F2F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Calibration rat</w:t>
            </w:r>
          </w:p>
        </w:tc>
      </w:tr>
      <w:tr>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22"/>
              </w:rPr>
              <w:t>Poids corporel (kg)</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70,0</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15%</w:t>
            </w:r>
          </w:p>
        </w:tc>
        <w:tc>
          <w:tcPr>
            <w:tcW w:type="dxa" w:w="2280"/>
            <w:shd w:val="clear" w:color="auto" w:fill="FFFFFF"/>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color w:val="000000"/>
                <w:sz w:val="22"/>
              </w:rPr>
              <w:t>Littérature clinique</w:t>
            </w:r>
          </w:p>
        </w:tc>
      </w:tr>
    </w:tbl>
    <w:p>
      <w:pPr>
        <w:jc w:val="both"/>
        <w:spacing w:after="120"/>
      </w:pPr>
      <w:r>
        <w:rPr>
          <w:rFonts w:ascii="Times New Roman" w:hAnsi="Times New Roman"/>
          <w:sz w:val="24"/>
        </w:rPr>
      </w:r>
    </w:p>
    <w:p>
      <w:pPr>
        <w:jc w:val="left"/>
        <w:spacing w:before="180" w:after="90"/>
      </w:pPr>
      <w:r>
        <w:rPr>
          <w:rFonts w:ascii="Times New Roman" w:hAnsi="Times New Roman"/>
          <w:b/>
          <w:color w:val="2C3E50"/>
          <w:sz w:val="24"/>
        </w:rPr>
        <w:t>Procédure de simulation Monte-Carlo</w:t>
      </w:r>
    </w:p>
    <w:p>
      <w:pPr>
        <w:jc w:val="both"/>
        <w:spacing w:after="120"/>
      </w:pPr>
      <w:r>
        <w:rPr>
          <w:rFonts w:ascii="Times New Roman" w:hAnsi="Times New Roman"/>
          <w:sz w:val="24"/>
        </w:rPr>
        <w:t>Pour chaque patient simulé i (i = 1, …, 300), la procédure suit les étapes suivantes :</w:t>
      </w:r>
    </w:p>
    <w:p>
      <w:pPr>
        <w:jc w:val="both"/>
        <w:ind w:left="284" w:hanging="284"/>
        <w:spacing w:after="60"/>
      </w:pPr>
      <w:r>
        <w:rPr>
          <w:rFonts w:ascii="Times New Roman" w:hAnsi="Times New Roman"/>
          <w:sz w:val="24"/>
        </w:rPr>
        <w:t>• Tirage aléatoire des paramètres individuels : θᵢ = θ_pop × exp(ηᵢ), avec ηᵢ ~ N(0, ω²) pour chaque paramètre PK et PD</w:t>
      </w:r>
    </w:p>
    <w:p>
      <w:pPr>
        <w:jc w:val="both"/>
        <w:ind w:left="284" w:hanging="284"/>
        <w:spacing w:after="60"/>
      </w:pPr>
      <w:r>
        <w:rPr>
          <w:rFonts w:ascii="Times New Roman" w:hAnsi="Times New Roman"/>
          <w:sz w:val="24"/>
        </w:rPr>
        <w:t>• Calcul de la dose individuelle : Dose_mg = 5,4 mg/kg × BWᵢ, arrondie à la dizaine de mg (pratique clinique standard)</w:t>
      </w:r>
    </w:p>
    <w:p>
      <w:pPr>
        <w:jc w:val="both"/>
        <w:ind w:left="284" w:hanging="284"/>
        <w:spacing w:after="60"/>
      </w:pPr>
      <w:r>
        <w:rPr>
          <w:rFonts w:ascii="Times New Roman" w:hAnsi="Times New Roman"/>
          <w:sz w:val="24"/>
        </w:rPr>
        <w:t>• Résolution numérique du système ODE complet (PK + Damage + PD) via rxode2 (solveur LSODA, pas adaptatif) sur 126 jours, avec administration IV aux jours 1, 22, 43, 64, 85, 106</w:t>
      </w:r>
    </w:p>
    <w:p>
      <w:pPr>
        <w:jc w:val="both"/>
        <w:ind w:left="284" w:hanging="284"/>
        <w:spacing w:after="60"/>
      </w:pPr>
      <w:r>
        <w:rPr>
          <w:rFonts w:ascii="Times New Roman" w:hAnsi="Times New Roman"/>
          <w:sz w:val="24"/>
        </w:rPr>
        <w:t>• Extraction du nadir pour chaque lignée : min(Neut(t)), min(Plt(t)), min(RBC(t)) sur t ∈ [0, 126 jours]</w:t>
      </w:r>
    </w:p>
    <w:p>
      <w:pPr>
        <w:jc w:val="both"/>
        <w:ind w:left="284" w:hanging="284"/>
        <w:spacing w:after="60"/>
      </w:pPr>
      <w:r>
        <w:rPr>
          <w:rFonts w:ascii="Times New Roman" w:hAnsi="Times New Roman"/>
          <w:sz w:val="24"/>
        </w:rPr>
        <w:t>• Attribution du grade CTCAE v5 par comparaison du nadir aux seuils (cf. §2.5)</w:t>
      </w:r>
    </w:p>
    <w:p>
      <w:pPr>
        <w:jc w:val="both"/>
        <w:spacing w:after="120"/>
      </w:pPr>
      <w:r>
        <w:rPr>
          <w:rFonts w:ascii="Times New Roman" w:hAnsi="Times New Roman"/>
          <w:sz w:val="24"/>
        </w:rPr>
        <w:t>Le générateur pseudo-aléatoire est initialisé avec une graine fixe (set.seed(42)) garantissant la reproductibilité exacte des résultats. La taille de N=300 patients a été choisie pour assurer une estimation stable des proportions de grades rares (G4 &lt; 5%) avec une erreur standard inférieure à 1,5 point de pourcentage (intervalle de confiance à 95% : ±1,5%).</w:t>
      </w:r>
    </w:p>
    <w:p>
      <w:pPr>
        <w:jc w:val="left"/>
        <w:spacing w:before="180" w:after="90"/>
      </w:pPr>
      <w:r>
        <w:rPr>
          <w:rFonts w:ascii="Times New Roman" w:hAnsi="Times New Roman"/>
          <w:b/>
          <w:color w:val="2C3E50"/>
          <w:sz w:val="24"/>
        </w:rPr>
        <w:t>Résumé statistique des grades simulés</w:t>
      </w:r>
    </w:p>
    <w:p>
      <w:pPr>
        <w:jc w:val="both"/>
        <w:spacing w:after="120"/>
      </w:pPr>
      <w:r>
        <w:rPr>
          <w:rFonts w:ascii="Times New Roman" w:hAnsi="Times New Roman"/>
          <w:sz w:val="24"/>
        </w:rPr>
        <w:t>Pour chaque toxicité, les résultats sont résumés par la proportion de patients atteignant chaque grade (G0 à G4), le taux de tout grade (G≥1 = 100% − %G0) et le taux de grade sévère (G3-4 = %G3 + %G4). Ces métriques sont directement comparables aux données de fréquence rapportées dans les notices médicamenteuses et les publications d'essais cliniques.</w:t>
      </w:r>
    </w:p>
    <w:p w14:paraId="18D3803A" w14:textId="77777777" w:rsidR="006573EB" w:rsidRPr="00463A58" w:rsidRDefault="00000000">
      <w:pPr>
        <w:spacing w:before="240" w:after="80"/>
        <w:rPr>
          <w:lang w:val="fr-FR"/>
        </w:rPr>
      </w:pPr>
      <w:r w:rsidRPr="00463A58">
        <w:rPr>
          <w:rFonts w:ascii="Times New Roman" w:hAnsi="Times New Roman"/>
          <w:b/>
          <w:color w:val="34495E"/>
          <w:sz w:val="28"/>
          <w:lang w:val="fr-FR"/>
        </w:rPr>
        <w:lastRenderedPageBreak/>
        <w:t xml:space="preserve">2.6 </w:t>
      </w:r>
      <w:proofErr w:type="spellStart"/>
      <w:r w:rsidRPr="00463A58">
        <w:rPr>
          <w:rFonts w:ascii="Times New Roman" w:hAnsi="Times New Roman"/>
          <w:b/>
          <w:color w:val="34495E"/>
          <w:sz w:val="28"/>
          <w:lang w:val="fr-FR"/>
        </w:rPr>
        <w:t>Grading</w:t>
      </w:r>
      <w:proofErr w:type="spellEnd"/>
      <w:r w:rsidRPr="00463A58">
        <w:rPr>
          <w:rFonts w:ascii="Times New Roman" w:hAnsi="Times New Roman"/>
          <w:b/>
          <w:color w:val="34495E"/>
          <w:sz w:val="28"/>
          <w:lang w:val="fr-FR"/>
        </w:rPr>
        <w:t xml:space="preserve"> CTCAE v5</w:t>
      </w:r>
    </w:p>
    <w:p w14:paraId="04EAF9F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La classification des grades de toxicité hématologique suit les critères CTCAE v5 (Common </w:t>
      </w:r>
      <w:proofErr w:type="spellStart"/>
      <w:r w:rsidRPr="00463A58">
        <w:rPr>
          <w:rFonts w:ascii="Times New Roman" w:hAnsi="Times New Roman"/>
          <w:sz w:val="24"/>
          <w:lang w:val="fr-FR"/>
        </w:rPr>
        <w:t>Terminology</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Criteria</w:t>
      </w:r>
      <w:proofErr w:type="spellEnd"/>
      <w:r w:rsidRPr="00463A58">
        <w:rPr>
          <w:rFonts w:ascii="Times New Roman" w:hAnsi="Times New Roman"/>
          <w:sz w:val="24"/>
          <w:lang w:val="fr-FR"/>
        </w:rPr>
        <w:t xml:space="preserve"> for Adverse Events, version 5) :</w:t>
      </w:r>
    </w:p>
    <w:tbl>
      <w:tblPr>
        <w:tblStyle w:val="Grilledutableau"/>
        <w:tblW w:w="0" w:type="auto"/>
        <w:tblLook w:val="04A0" w:firstRow="1" w:lastRow="0" w:firstColumn="1" w:lastColumn="0" w:noHBand="0" w:noVBand="1"/>
      </w:tblPr>
      <w:tblGrid>
        <w:gridCol w:w="2268"/>
        <w:gridCol w:w="1417"/>
        <w:gridCol w:w="1134"/>
        <w:gridCol w:w="1134"/>
        <w:gridCol w:w="1134"/>
        <w:gridCol w:w="1134"/>
      </w:tblGrid>
      <w:tr w:rsidR="006573EB" w14:paraId="4B3F50E6" w14:textId="77777777">
        <w:tc>
          <w:tcPr>
            <w:tcW w:w="2268" w:type="dxa"/>
            <w:shd w:val="clear" w:color="auto" w:fill="2C3E50"/>
          </w:tcPr>
          <w:p w14:paraId="4584BB8B" w14:textId="77777777" w:rsidR="006573EB" w:rsidRDefault="00000000">
            <w:pPr>
              <w:jc w:val="center"/>
            </w:pPr>
            <w:proofErr w:type="spellStart"/>
            <w:r>
              <w:rPr>
                <w:rFonts w:ascii="Times New Roman" w:hAnsi="Times New Roman"/>
                <w:b/>
                <w:color w:val="FFFFFF"/>
                <w:sz w:val="20"/>
              </w:rPr>
              <w:t>Toxicité</w:t>
            </w:r>
            <w:proofErr w:type="spellEnd"/>
          </w:p>
        </w:tc>
        <w:tc>
          <w:tcPr>
            <w:tcW w:w="1417" w:type="dxa"/>
            <w:shd w:val="clear" w:color="auto" w:fill="2C3E50"/>
          </w:tcPr>
          <w:p w14:paraId="101BA787" w14:textId="77777777" w:rsidR="006573EB" w:rsidRDefault="00000000">
            <w:pPr>
              <w:jc w:val="center"/>
            </w:pPr>
            <w:r>
              <w:rPr>
                <w:rFonts w:ascii="Times New Roman" w:hAnsi="Times New Roman"/>
                <w:b/>
                <w:color w:val="FFFFFF"/>
                <w:sz w:val="20"/>
              </w:rPr>
              <w:t>G0 (normal)</w:t>
            </w:r>
          </w:p>
        </w:tc>
        <w:tc>
          <w:tcPr>
            <w:tcW w:w="1134" w:type="dxa"/>
            <w:shd w:val="clear" w:color="auto" w:fill="2C3E50"/>
          </w:tcPr>
          <w:p w14:paraId="0FF6AC54" w14:textId="77777777" w:rsidR="006573EB" w:rsidRDefault="00000000">
            <w:pPr>
              <w:jc w:val="center"/>
            </w:pPr>
            <w:r>
              <w:rPr>
                <w:rFonts w:ascii="Times New Roman" w:hAnsi="Times New Roman"/>
                <w:b/>
                <w:color w:val="FFFFFF"/>
                <w:sz w:val="20"/>
              </w:rPr>
              <w:t>G1</w:t>
            </w:r>
          </w:p>
        </w:tc>
        <w:tc>
          <w:tcPr>
            <w:tcW w:w="1134" w:type="dxa"/>
            <w:shd w:val="clear" w:color="auto" w:fill="2C3E50"/>
          </w:tcPr>
          <w:p w14:paraId="053DD488" w14:textId="77777777" w:rsidR="006573EB" w:rsidRDefault="00000000">
            <w:pPr>
              <w:jc w:val="center"/>
            </w:pPr>
            <w:r>
              <w:rPr>
                <w:rFonts w:ascii="Times New Roman" w:hAnsi="Times New Roman"/>
                <w:b/>
                <w:color w:val="FFFFFF"/>
                <w:sz w:val="20"/>
              </w:rPr>
              <w:t>G2</w:t>
            </w:r>
          </w:p>
        </w:tc>
        <w:tc>
          <w:tcPr>
            <w:tcW w:w="1134" w:type="dxa"/>
            <w:shd w:val="clear" w:color="auto" w:fill="2C3E50"/>
          </w:tcPr>
          <w:p w14:paraId="300F19DB" w14:textId="77777777" w:rsidR="006573EB" w:rsidRDefault="00000000">
            <w:pPr>
              <w:jc w:val="center"/>
            </w:pPr>
            <w:r>
              <w:rPr>
                <w:rFonts w:ascii="Times New Roman" w:hAnsi="Times New Roman"/>
                <w:b/>
                <w:color w:val="FFFFFF"/>
                <w:sz w:val="20"/>
              </w:rPr>
              <w:t>G3</w:t>
            </w:r>
          </w:p>
        </w:tc>
        <w:tc>
          <w:tcPr>
            <w:tcW w:w="1134" w:type="dxa"/>
            <w:shd w:val="clear" w:color="auto" w:fill="2C3E50"/>
          </w:tcPr>
          <w:p w14:paraId="4E5FC617" w14:textId="77777777" w:rsidR="006573EB" w:rsidRDefault="00000000">
            <w:pPr>
              <w:jc w:val="center"/>
            </w:pPr>
            <w:r>
              <w:rPr>
                <w:rFonts w:ascii="Times New Roman" w:hAnsi="Times New Roman"/>
                <w:b/>
                <w:color w:val="FFFFFF"/>
                <w:sz w:val="20"/>
              </w:rPr>
              <w:t>G4</w:t>
            </w:r>
          </w:p>
        </w:tc>
      </w:tr>
      <w:tr w:rsidR="006573EB" w14:paraId="3A1409A4" w14:textId="77777777">
        <w:tc>
          <w:tcPr>
            <w:tcW w:w="2268" w:type="dxa"/>
            <w:shd w:val="clear" w:color="auto" w:fill="F2F2F2"/>
          </w:tcPr>
          <w:p w14:paraId="570F5AA6" w14:textId="77777777" w:rsidR="006573EB" w:rsidRDefault="00000000">
            <w:pPr>
              <w:jc w:val="center"/>
            </w:pPr>
            <w:r>
              <w:rPr>
                <w:rFonts w:ascii="Times New Roman" w:hAnsi="Times New Roman"/>
                <w:sz w:val="20"/>
              </w:rPr>
              <w:t>Neutropénie</w:t>
            </w:r>
            <w:r>
              <w:rPr>
                <w:rFonts w:ascii="Times New Roman" w:hAnsi="Times New Roman"/>
                <w:sz w:val="20"/>
              </w:rPr>
              <w:br/>
              <w:t>(×10⁹/L)</w:t>
            </w:r>
          </w:p>
        </w:tc>
        <w:tc>
          <w:tcPr>
            <w:tcW w:w="1417" w:type="dxa"/>
            <w:shd w:val="clear" w:color="auto" w:fill="F2F2F2"/>
          </w:tcPr>
          <w:p w14:paraId="03157D02" w14:textId="77777777" w:rsidR="006573EB" w:rsidRDefault="00000000">
            <w:pPr>
              <w:jc w:val="center"/>
            </w:pPr>
            <w:r>
              <w:rPr>
                <w:rFonts w:ascii="Times New Roman" w:hAnsi="Times New Roman"/>
                <w:sz w:val="20"/>
              </w:rPr>
              <w:t>≥2,0</w:t>
            </w:r>
          </w:p>
        </w:tc>
        <w:tc>
          <w:tcPr>
            <w:tcW w:w="1134" w:type="dxa"/>
            <w:shd w:val="clear" w:color="auto" w:fill="F2F2F2"/>
          </w:tcPr>
          <w:p w14:paraId="6A695C03" w14:textId="77777777" w:rsidR="006573EB" w:rsidRDefault="00000000">
            <w:pPr>
              <w:jc w:val="center"/>
            </w:pPr>
            <w:r>
              <w:rPr>
                <w:rFonts w:ascii="Times New Roman" w:hAnsi="Times New Roman"/>
                <w:sz w:val="20"/>
              </w:rPr>
              <w:t>1,5–2,0</w:t>
            </w:r>
          </w:p>
        </w:tc>
        <w:tc>
          <w:tcPr>
            <w:tcW w:w="1134" w:type="dxa"/>
            <w:shd w:val="clear" w:color="auto" w:fill="F2F2F2"/>
          </w:tcPr>
          <w:p w14:paraId="66FBD853" w14:textId="77777777" w:rsidR="006573EB" w:rsidRDefault="00000000">
            <w:pPr>
              <w:jc w:val="center"/>
            </w:pPr>
            <w:r>
              <w:rPr>
                <w:rFonts w:ascii="Times New Roman" w:hAnsi="Times New Roman"/>
                <w:sz w:val="20"/>
              </w:rPr>
              <w:t>1,0–1,5</w:t>
            </w:r>
          </w:p>
        </w:tc>
        <w:tc>
          <w:tcPr>
            <w:tcW w:w="1134" w:type="dxa"/>
            <w:shd w:val="clear" w:color="auto" w:fill="F2F2F2"/>
          </w:tcPr>
          <w:p w14:paraId="66A6D4F2" w14:textId="77777777" w:rsidR="006573EB" w:rsidRDefault="00000000">
            <w:pPr>
              <w:jc w:val="center"/>
            </w:pPr>
            <w:r>
              <w:rPr>
                <w:rFonts w:ascii="Times New Roman" w:hAnsi="Times New Roman"/>
                <w:sz w:val="20"/>
              </w:rPr>
              <w:t>0,5–1,0</w:t>
            </w:r>
          </w:p>
        </w:tc>
        <w:tc>
          <w:tcPr>
            <w:tcW w:w="1134" w:type="dxa"/>
            <w:shd w:val="clear" w:color="auto" w:fill="F2F2F2"/>
          </w:tcPr>
          <w:p w14:paraId="29443E3A" w14:textId="77777777" w:rsidR="006573EB" w:rsidRDefault="00000000">
            <w:pPr>
              <w:jc w:val="center"/>
            </w:pPr>
            <w:r>
              <w:rPr>
                <w:rFonts w:ascii="Times New Roman" w:hAnsi="Times New Roman"/>
                <w:sz w:val="20"/>
              </w:rPr>
              <w:t>&lt;0,5</w:t>
            </w:r>
          </w:p>
        </w:tc>
      </w:tr>
      <w:tr w:rsidR="006573EB" w14:paraId="235CF1FB" w14:textId="77777777">
        <w:tc>
          <w:tcPr>
            <w:tcW w:w="2268" w:type="dxa"/>
            <w:shd w:val="clear" w:color="auto" w:fill="FFFFFF"/>
          </w:tcPr>
          <w:p w14:paraId="2DC2B8DD" w14:textId="77777777" w:rsidR="006573EB" w:rsidRDefault="00000000">
            <w:pPr>
              <w:jc w:val="center"/>
            </w:pPr>
            <w:r>
              <w:rPr>
                <w:rFonts w:ascii="Times New Roman" w:hAnsi="Times New Roman"/>
                <w:sz w:val="20"/>
              </w:rPr>
              <w:t>Anémie — Hb (g/dL)</w:t>
            </w:r>
          </w:p>
        </w:tc>
        <w:tc>
          <w:tcPr>
            <w:tcW w:w="1417" w:type="dxa"/>
            <w:shd w:val="clear" w:color="auto" w:fill="FFFFFF"/>
          </w:tcPr>
          <w:p w14:paraId="223AB96C" w14:textId="77777777" w:rsidR="006573EB" w:rsidRDefault="00000000">
            <w:pPr>
              <w:jc w:val="center"/>
            </w:pPr>
            <w:r>
              <w:rPr>
                <w:rFonts w:ascii="Times New Roman" w:hAnsi="Times New Roman"/>
                <w:sz w:val="20"/>
              </w:rPr>
              <w:t>≥11,0</w:t>
            </w:r>
          </w:p>
        </w:tc>
        <w:tc>
          <w:tcPr>
            <w:tcW w:w="1134" w:type="dxa"/>
            <w:shd w:val="clear" w:color="auto" w:fill="FFFFFF"/>
          </w:tcPr>
          <w:p w14:paraId="41E8347C" w14:textId="77777777" w:rsidR="006573EB" w:rsidRDefault="00000000">
            <w:pPr>
              <w:jc w:val="center"/>
            </w:pPr>
            <w:r>
              <w:rPr>
                <w:rFonts w:ascii="Times New Roman" w:hAnsi="Times New Roman"/>
                <w:sz w:val="20"/>
              </w:rPr>
              <w:t>10,0–11,0</w:t>
            </w:r>
          </w:p>
        </w:tc>
        <w:tc>
          <w:tcPr>
            <w:tcW w:w="1134" w:type="dxa"/>
            <w:shd w:val="clear" w:color="auto" w:fill="FFFFFF"/>
          </w:tcPr>
          <w:p w14:paraId="04324122" w14:textId="77777777" w:rsidR="006573EB" w:rsidRDefault="00000000">
            <w:pPr>
              <w:jc w:val="center"/>
            </w:pPr>
            <w:r>
              <w:rPr>
                <w:rFonts w:ascii="Times New Roman" w:hAnsi="Times New Roman"/>
                <w:sz w:val="20"/>
              </w:rPr>
              <w:t>8,0–10,0</w:t>
            </w:r>
          </w:p>
        </w:tc>
        <w:tc>
          <w:tcPr>
            <w:tcW w:w="1134" w:type="dxa"/>
            <w:shd w:val="clear" w:color="auto" w:fill="FFFFFF"/>
          </w:tcPr>
          <w:p w14:paraId="16F95ECA" w14:textId="77777777" w:rsidR="006573EB" w:rsidRDefault="00000000">
            <w:pPr>
              <w:jc w:val="center"/>
            </w:pPr>
            <w:r>
              <w:rPr>
                <w:rFonts w:ascii="Times New Roman" w:hAnsi="Times New Roman"/>
                <w:sz w:val="20"/>
              </w:rPr>
              <w:t>&lt;8,0</w:t>
            </w:r>
          </w:p>
        </w:tc>
        <w:tc>
          <w:tcPr>
            <w:tcW w:w="1134" w:type="dxa"/>
            <w:shd w:val="clear" w:color="auto" w:fill="FFFFFF"/>
          </w:tcPr>
          <w:p w14:paraId="77B63004" w14:textId="77777777" w:rsidR="006573EB" w:rsidRDefault="00000000">
            <w:pPr>
              <w:jc w:val="center"/>
            </w:pPr>
            <w:r>
              <w:rPr>
                <w:rFonts w:ascii="Times New Roman" w:hAnsi="Times New Roman"/>
                <w:sz w:val="20"/>
              </w:rPr>
              <w:t>—</w:t>
            </w:r>
          </w:p>
        </w:tc>
      </w:tr>
      <w:tr w:rsidR="006573EB" w14:paraId="06481CA5" w14:textId="77777777">
        <w:tc>
          <w:tcPr>
            <w:tcW w:w="2268" w:type="dxa"/>
            <w:shd w:val="clear" w:color="auto" w:fill="F2F2F2"/>
          </w:tcPr>
          <w:p w14:paraId="3FBBECA5" w14:textId="77777777" w:rsidR="006573EB" w:rsidRDefault="00000000">
            <w:pPr>
              <w:jc w:val="center"/>
            </w:pPr>
            <w:r>
              <w:rPr>
                <w:rFonts w:ascii="Times New Roman" w:hAnsi="Times New Roman"/>
                <w:sz w:val="20"/>
              </w:rPr>
              <w:t>Thrombocytopénie</w:t>
            </w:r>
            <w:r>
              <w:rPr>
                <w:rFonts w:ascii="Times New Roman" w:hAnsi="Times New Roman"/>
                <w:sz w:val="20"/>
              </w:rPr>
              <w:br/>
              <w:t>(×10⁹/L)</w:t>
            </w:r>
          </w:p>
        </w:tc>
        <w:tc>
          <w:tcPr>
            <w:tcW w:w="1417" w:type="dxa"/>
            <w:shd w:val="clear" w:color="auto" w:fill="F2F2F2"/>
          </w:tcPr>
          <w:p w14:paraId="27725434" w14:textId="77777777" w:rsidR="006573EB" w:rsidRDefault="00000000">
            <w:pPr>
              <w:jc w:val="center"/>
            </w:pPr>
            <w:r>
              <w:rPr>
                <w:rFonts w:ascii="Times New Roman" w:hAnsi="Times New Roman"/>
                <w:sz w:val="20"/>
              </w:rPr>
              <w:t>≥150</w:t>
            </w:r>
          </w:p>
        </w:tc>
        <w:tc>
          <w:tcPr>
            <w:tcW w:w="1134" w:type="dxa"/>
            <w:shd w:val="clear" w:color="auto" w:fill="F2F2F2"/>
          </w:tcPr>
          <w:p w14:paraId="681515B2" w14:textId="77777777" w:rsidR="006573EB" w:rsidRDefault="00000000">
            <w:pPr>
              <w:jc w:val="center"/>
            </w:pPr>
            <w:r>
              <w:rPr>
                <w:rFonts w:ascii="Times New Roman" w:hAnsi="Times New Roman"/>
                <w:sz w:val="20"/>
              </w:rPr>
              <w:t>75–150</w:t>
            </w:r>
          </w:p>
        </w:tc>
        <w:tc>
          <w:tcPr>
            <w:tcW w:w="1134" w:type="dxa"/>
            <w:shd w:val="clear" w:color="auto" w:fill="F2F2F2"/>
          </w:tcPr>
          <w:p w14:paraId="0BEE4075" w14:textId="77777777" w:rsidR="006573EB" w:rsidRDefault="00000000">
            <w:pPr>
              <w:jc w:val="center"/>
            </w:pPr>
            <w:r>
              <w:rPr>
                <w:rFonts w:ascii="Times New Roman" w:hAnsi="Times New Roman"/>
                <w:sz w:val="20"/>
              </w:rPr>
              <w:t>50–75</w:t>
            </w:r>
          </w:p>
        </w:tc>
        <w:tc>
          <w:tcPr>
            <w:tcW w:w="1134" w:type="dxa"/>
            <w:shd w:val="clear" w:color="auto" w:fill="F2F2F2"/>
          </w:tcPr>
          <w:p w14:paraId="4E2B8678" w14:textId="77777777" w:rsidR="006573EB" w:rsidRDefault="00000000">
            <w:pPr>
              <w:jc w:val="center"/>
            </w:pPr>
            <w:r>
              <w:rPr>
                <w:rFonts w:ascii="Times New Roman" w:hAnsi="Times New Roman"/>
                <w:sz w:val="20"/>
              </w:rPr>
              <w:t>25–50</w:t>
            </w:r>
          </w:p>
        </w:tc>
        <w:tc>
          <w:tcPr>
            <w:tcW w:w="1134" w:type="dxa"/>
            <w:shd w:val="clear" w:color="auto" w:fill="F2F2F2"/>
          </w:tcPr>
          <w:p w14:paraId="76D28BBF" w14:textId="77777777" w:rsidR="006573EB" w:rsidRDefault="00000000">
            <w:pPr>
              <w:jc w:val="center"/>
            </w:pPr>
            <w:r>
              <w:rPr>
                <w:rFonts w:ascii="Times New Roman" w:hAnsi="Times New Roman"/>
                <w:sz w:val="20"/>
              </w:rPr>
              <w:t>&lt;25</w:t>
            </w:r>
          </w:p>
        </w:tc>
      </w:tr>
    </w:tbl>
    <w:p>
      <w:r>
        <w:rPr>
          <w:i/>
          <w:color w:val="646464"/>
          <w:sz w:val="20"/>
        </w:rPr>
        <w:t>Note : Dans le modèle, l'anémie est suivie via le compartiment RBC (×10¹²/L). La correspondance utilisée est : Hb (g/dL) ≈ RBC (×10¹²/L) × 3,0 / 10, soit une approximation linéaire basée sur un volume globulaire moyen (VGM) de 90 fL et une concentration corpusculaire moyenne en hémoglobine (CCMH) de 33 g/dL. Les seuils CTCAE en RBC correspondants sont détaillés en Annexe A3.</w:t>
      </w:r>
    </w:p>
    <w:p w14:paraId="177F9BF8" w14:textId="77777777" w:rsidR="006573EB" w:rsidRDefault="00000000">
      <w:pPr>
        <w:spacing w:before="240" w:after="80"/>
      </w:pPr>
      <w:r>
        <w:rPr>
          <w:rFonts w:ascii="Times New Roman" w:hAnsi="Times New Roman"/>
          <w:b/>
          <w:color w:val="34495E"/>
          <w:sz w:val="28"/>
        </w:rPr>
        <w:t>2.7 Données de référence cliniques</w:t>
      </w:r>
    </w:p>
    <w:p w14:paraId="158F2B26" w14:textId="77777777" w:rsidR="006573EB" w:rsidRPr="00463A58" w:rsidRDefault="00000000">
      <w:pPr>
        <w:spacing w:after="120"/>
        <w:ind w:firstLine="567"/>
        <w:jc w:val="both"/>
        <w:rPr>
          <w:lang w:val="fr-FR"/>
        </w:rPr>
      </w:pPr>
      <w:r w:rsidRPr="00463A58">
        <w:rPr>
          <w:rFonts w:ascii="Times New Roman" w:hAnsi="Times New Roman"/>
          <w:sz w:val="24"/>
          <w:lang w:val="fr-FR"/>
        </w:rPr>
        <w:t>La validation des simulations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repose sur les données de tolérance hématologique issues du BLA 761139 (FDA, 2019), correspondant à l'essai DESTINY-Breast01 (n=184,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w:t>
      </w:r>
    </w:p>
    <w:tbl>
      <w:tblPr>
        <w:tblStyle w:val="Grilledutableau"/>
        <w:tblW w:w="0" w:type="auto"/>
        <w:tblLook w:val="04A0" w:firstRow="1" w:lastRow="0" w:firstColumn="1" w:lastColumn="0" w:noHBand="0" w:noVBand="1"/>
      </w:tblPr>
      <w:tblGrid>
        <w:gridCol w:w="1983"/>
        <w:gridCol w:w="962"/>
        <w:gridCol w:w="1414"/>
        <w:gridCol w:w="1131"/>
      </w:tblGrid>
      <w:tr w:rsidR="008425E2" w14:paraId="44834E96" w14:textId="77777777" w:rsidTr="008425E2">
        <w:tc>
          <w:tcPr>
            <w:tcW w:w="1983" w:type="dxa"/>
            <w:shd w:val="clear" w:color="auto" w:fill="2C3E50"/>
          </w:tcPr>
          <w:p w14:paraId="3077112B" w14:textId="77777777" w:rsidR="008425E2" w:rsidRDefault="008425E2">
            <w:pPr>
              <w:jc w:val="center"/>
            </w:pPr>
            <w:proofErr w:type="spellStart"/>
            <w:r>
              <w:rPr>
                <w:rFonts w:ascii="Times New Roman" w:hAnsi="Times New Roman"/>
                <w:b/>
                <w:color w:val="FFFFFF"/>
                <w:sz w:val="20"/>
              </w:rPr>
              <w:t>Toxicité</w:t>
            </w:r>
            <w:proofErr w:type="spellEnd"/>
          </w:p>
        </w:tc>
        <w:tc>
          <w:tcPr>
            <w:tcW w:w="962" w:type="dxa"/>
            <w:shd w:val="clear" w:color="auto" w:fill="2C3E50"/>
          </w:tcPr>
          <w:p w14:paraId="62DA7995" w14:textId="77777777" w:rsidR="008425E2" w:rsidRDefault="008425E2">
            <w:pPr>
              <w:jc w:val="center"/>
            </w:pPr>
            <w:r>
              <w:rPr>
                <w:rFonts w:ascii="Times New Roman" w:hAnsi="Times New Roman"/>
                <w:b/>
                <w:color w:val="FFFFFF"/>
                <w:sz w:val="20"/>
              </w:rPr>
              <w:t>G0 (%)</w:t>
            </w:r>
          </w:p>
        </w:tc>
        <w:tc>
          <w:tcPr>
            <w:tcW w:w="1414" w:type="dxa"/>
            <w:shd w:val="clear" w:color="auto" w:fill="2C3E50"/>
          </w:tcPr>
          <w:p w14:paraId="66460DFE" w14:textId="77777777" w:rsidR="008425E2" w:rsidRDefault="008425E2">
            <w:pPr>
              <w:jc w:val="center"/>
            </w:pPr>
            <w:r>
              <w:rPr>
                <w:rFonts w:ascii="Times New Roman" w:hAnsi="Times New Roman"/>
                <w:b/>
                <w:color w:val="FFFFFF"/>
                <w:sz w:val="20"/>
              </w:rPr>
              <w:t>Tout grade (%)</w:t>
            </w:r>
          </w:p>
        </w:tc>
        <w:tc>
          <w:tcPr>
            <w:tcW w:w="1131" w:type="dxa"/>
            <w:shd w:val="clear" w:color="auto" w:fill="2C3E50"/>
          </w:tcPr>
          <w:p w14:paraId="2893ADE7" w14:textId="77777777" w:rsidR="008425E2" w:rsidRDefault="008425E2">
            <w:pPr>
              <w:jc w:val="center"/>
            </w:pPr>
            <w:r>
              <w:rPr>
                <w:rFonts w:ascii="Times New Roman" w:hAnsi="Times New Roman"/>
                <w:b/>
                <w:color w:val="FFFFFF"/>
                <w:sz w:val="20"/>
              </w:rPr>
              <w:t>G3-4 (%)</w:t>
            </w:r>
          </w:p>
        </w:tc>
      </w:tr>
      <w:tr w:rsidR="008425E2" w14:paraId="461FC9C4" w14:textId="77777777" w:rsidTr="008425E2">
        <w:tc>
          <w:tcPr>
            <w:tcW w:w="1983" w:type="dxa"/>
            <w:shd w:val="clear" w:color="auto" w:fill="F2F2F2"/>
          </w:tcPr>
          <w:p w14:paraId="7C6A97E5" w14:textId="77777777" w:rsidR="008425E2" w:rsidRDefault="008425E2">
            <w:pPr>
              <w:jc w:val="center"/>
            </w:pPr>
            <w:proofErr w:type="spellStart"/>
            <w:r>
              <w:rPr>
                <w:rFonts w:ascii="Times New Roman" w:hAnsi="Times New Roman"/>
                <w:sz w:val="20"/>
              </w:rPr>
              <w:t>Neutropénie</w:t>
            </w:r>
            <w:proofErr w:type="spellEnd"/>
          </w:p>
        </w:tc>
        <w:tc>
          <w:tcPr>
            <w:tcW w:w="962" w:type="dxa"/>
            <w:shd w:val="clear" w:color="auto" w:fill="F2F2F2"/>
          </w:tcPr>
          <w:p w14:paraId="2052305E" w14:textId="77777777" w:rsidR="008425E2" w:rsidRDefault="008425E2">
            <w:pPr>
              <w:jc w:val="center"/>
            </w:pPr>
            <w:r>
              <w:rPr>
                <w:rFonts w:ascii="Times New Roman" w:hAnsi="Times New Roman"/>
                <w:sz w:val="20"/>
              </w:rPr>
              <w:t>71</w:t>
            </w:r>
          </w:p>
        </w:tc>
        <w:tc>
          <w:tcPr>
            <w:tcW w:w="1414" w:type="dxa"/>
            <w:shd w:val="clear" w:color="auto" w:fill="F2F2F2"/>
          </w:tcPr>
          <w:p w14:paraId="70DB148C" w14:textId="77777777" w:rsidR="008425E2" w:rsidRDefault="008425E2">
            <w:pPr>
              <w:jc w:val="center"/>
            </w:pPr>
            <w:r>
              <w:rPr>
                <w:rFonts w:ascii="Times New Roman" w:hAnsi="Times New Roman"/>
                <w:sz w:val="20"/>
              </w:rPr>
              <w:t>29</w:t>
            </w:r>
          </w:p>
        </w:tc>
        <w:tc>
          <w:tcPr>
            <w:tcW w:w="1131" w:type="dxa"/>
            <w:shd w:val="clear" w:color="auto" w:fill="F2F2F2"/>
          </w:tcPr>
          <w:p w14:paraId="1FB0364C" w14:textId="77777777" w:rsidR="008425E2" w:rsidRDefault="008425E2">
            <w:pPr>
              <w:jc w:val="center"/>
            </w:pPr>
            <w:r>
              <w:rPr>
                <w:rFonts w:ascii="Times New Roman" w:hAnsi="Times New Roman"/>
                <w:sz w:val="20"/>
              </w:rPr>
              <w:t>16</w:t>
            </w:r>
          </w:p>
        </w:tc>
      </w:tr>
      <w:tr w:rsidR="008425E2" w14:paraId="668943A1" w14:textId="77777777" w:rsidTr="008425E2">
        <w:tc>
          <w:tcPr>
            <w:tcW w:w="1983" w:type="dxa"/>
            <w:shd w:val="clear" w:color="auto" w:fill="FFFFFF"/>
          </w:tcPr>
          <w:p w14:paraId="4C8C3AF8" w14:textId="77777777" w:rsidR="008425E2" w:rsidRDefault="008425E2">
            <w:pPr>
              <w:jc w:val="center"/>
            </w:pPr>
            <w:proofErr w:type="spellStart"/>
            <w:r>
              <w:rPr>
                <w:rFonts w:ascii="Times New Roman" w:hAnsi="Times New Roman"/>
                <w:sz w:val="20"/>
              </w:rPr>
              <w:t>Anémie</w:t>
            </w:r>
            <w:proofErr w:type="spellEnd"/>
          </w:p>
        </w:tc>
        <w:tc>
          <w:tcPr>
            <w:tcW w:w="962" w:type="dxa"/>
            <w:shd w:val="clear" w:color="auto" w:fill="FFFFFF"/>
          </w:tcPr>
          <w:p w14:paraId="3ABF22F9" w14:textId="77777777" w:rsidR="008425E2" w:rsidRDefault="008425E2">
            <w:pPr>
              <w:jc w:val="center"/>
            </w:pPr>
            <w:r>
              <w:rPr>
                <w:rFonts w:ascii="Times New Roman" w:hAnsi="Times New Roman"/>
                <w:sz w:val="20"/>
              </w:rPr>
              <w:t>30</w:t>
            </w:r>
          </w:p>
        </w:tc>
        <w:tc>
          <w:tcPr>
            <w:tcW w:w="1414" w:type="dxa"/>
            <w:shd w:val="clear" w:color="auto" w:fill="FFFFFF"/>
          </w:tcPr>
          <w:p w14:paraId="615240FC" w14:textId="77777777" w:rsidR="008425E2" w:rsidRDefault="008425E2">
            <w:pPr>
              <w:jc w:val="center"/>
            </w:pPr>
            <w:r>
              <w:rPr>
                <w:rFonts w:ascii="Times New Roman" w:hAnsi="Times New Roman"/>
                <w:sz w:val="20"/>
              </w:rPr>
              <w:t>70</w:t>
            </w:r>
          </w:p>
        </w:tc>
        <w:tc>
          <w:tcPr>
            <w:tcW w:w="1131" w:type="dxa"/>
            <w:shd w:val="clear" w:color="auto" w:fill="FFFFFF"/>
          </w:tcPr>
          <w:p w14:paraId="2B93F776" w14:textId="77777777" w:rsidR="008425E2" w:rsidRDefault="008425E2">
            <w:pPr>
              <w:jc w:val="center"/>
            </w:pPr>
            <w:r>
              <w:rPr>
                <w:rFonts w:ascii="Times New Roman" w:hAnsi="Times New Roman"/>
                <w:sz w:val="20"/>
              </w:rPr>
              <w:t>9</w:t>
            </w:r>
          </w:p>
        </w:tc>
      </w:tr>
    </w:tbl>
    <w:p w14:paraId="25798612" w14:textId="77777777" w:rsidR="006573EB" w:rsidRDefault="00000000">
      <w:pPr>
        <w:spacing w:before="240" w:after="80"/>
      </w:pPr>
      <w:r>
        <w:rPr>
          <w:rFonts w:ascii="Times New Roman" w:hAnsi="Times New Roman"/>
          <w:b/>
          <w:color w:val="34495E"/>
          <w:sz w:val="28"/>
        </w:rPr>
        <w:t xml:space="preserve">2.8 Environnement </w:t>
      </w:r>
      <w:proofErr w:type="spellStart"/>
      <w:r>
        <w:rPr>
          <w:rFonts w:ascii="Times New Roman" w:hAnsi="Times New Roman"/>
          <w:b/>
          <w:color w:val="34495E"/>
          <w:sz w:val="28"/>
        </w:rPr>
        <w:t>computationnel</w:t>
      </w:r>
      <w:proofErr w:type="spellEnd"/>
    </w:p>
    <w:p w14:paraId="42192A32" w14:textId="77777777" w:rsidR="006573EB" w:rsidRPr="00463A58" w:rsidRDefault="00000000">
      <w:pPr>
        <w:spacing w:after="120"/>
        <w:ind w:firstLine="567"/>
        <w:jc w:val="both"/>
        <w:rPr>
          <w:lang w:val="fr-FR"/>
        </w:rPr>
      </w:pPr>
      <w:r w:rsidRPr="00463A58">
        <w:rPr>
          <w:rFonts w:ascii="Times New Roman" w:hAnsi="Times New Roman"/>
          <w:sz w:val="24"/>
          <w:lang w:val="fr-FR"/>
        </w:rPr>
        <w:t>L'ensemble du pipeline a été développé sous R (version ≥ 4.3.0) avec les librairies suivantes :</w:t>
      </w:r>
    </w:p>
    <w:tbl>
      <w:tblPr>
        <w:tblStyle w:val="Grilledutableau"/>
        <w:tblW w:w="0" w:type="auto"/>
        <w:tblLook w:val="04A0" w:firstRow="1" w:lastRow="0" w:firstColumn="1" w:lastColumn="0" w:noHBand="0" w:noVBand="1"/>
      </w:tblPr>
      <w:tblGrid>
        <w:gridCol w:w="1984"/>
        <w:gridCol w:w="1417"/>
        <w:gridCol w:w="5669"/>
      </w:tblGrid>
      <w:tr w:rsidR="006573EB" w14:paraId="3A544730" w14:textId="77777777">
        <w:tc>
          <w:tcPr>
            <w:tcW w:w="1984" w:type="dxa"/>
            <w:shd w:val="clear" w:color="auto" w:fill="2C3E50"/>
          </w:tcPr>
          <w:p w14:paraId="5A7488D8" w14:textId="77777777" w:rsidR="006573EB" w:rsidRDefault="00000000">
            <w:pPr>
              <w:jc w:val="center"/>
            </w:pPr>
            <w:proofErr w:type="spellStart"/>
            <w:r>
              <w:rPr>
                <w:rFonts w:ascii="Times New Roman" w:hAnsi="Times New Roman"/>
                <w:b/>
                <w:color w:val="FFFFFF"/>
                <w:sz w:val="20"/>
              </w:rPr>
              <w:t>Librairie</w:t>
            </w:r>
            <w:proofErr w:type="spellEnd"/>
          </w:p>
        </w:tc>
        <w:tc>
          <w:tcPr>
            <w:tcW w:w="1417" w:type="dxa"/>
            <w:shd w:val="clear" w:color="auto" w:fill="2C3E50"/>
          </w:tcPr>
          <w:p w14:paraId="43B2A7A7" w14:textId="77777777" w:rsidR="006573EB" w:rsidRDefault="00000000">
            <w:pPr>
              <w:jc w:val="center"/>
            </w:pPr>
            <w:r>
              <w:rPr>
                <w:rFonts w:ascii="Times New Roman" w:hAnsi="Times New Roman"/>
                <w:b/>
                <w:color w:val="FFFFFF"/>
                <w:sz w:val="20"/>
              </w:rPr>
              <w:t>Version</w:t>
            </w:r>
          </w:p>
        </w:tc>
        <w:tc>
          <w:tcPr>
            <w:tcW w:w="5669" w:type="dxa"/>
            <w:shd w:val="clear" w:color="auto" w:fill="2C3E50"/>
          </w:tcPr>
          <w:p w14:paraId="37D67BB3" w14:textId="77777777" w:rsidR="006573EB" w:rsidRDefault="00000000">
            <w:pPr>
              <w:jc w:val="center"/>
            </w:pPr>
            <w:r>
              <w:rPr>
                <w:rFonts w:ascii="Times New Roman" w:hAnsi="Times New Roman"/>
                <w:b/>
                <w:color w:val="FFFFFF"/>
                <w:sz w:val="20"/>
              </w:rPr>
              <w:t>Usage</w:t>
            </w:r>
          </w:p>
        </w:tc>
      </w:tr>
      <w:tr w:rsidR="006573EB" w:rsidRPr="00463A58" w14:paraId="45816F19" w14:textId="77777777">
        <w:tc>
          <w:tcPr>
            <w:tcW w:w="1984" w:type="dxa"/>
            <w:shd w:val="clear" w:color="auto" w:fill="F2F2F2"/>
          </w:tcPr>
          <w:p w14:paraId="4E3BC904" w14:textId="77777777" w:rsidR="006573EB" w:rsidRDefault="00000000">
            <w:pPr>
              <w:jc w:val="center"/>
            </w:pPr>
            <w:r>
              <w:rPr>
                <w:rFonts w:ascii="Times New Roman" w:hAnsi="Times New Roman"/>
                <w:sz w:val="20"/>
              </w:rPr>
              <w:t>rxode2</w:t>
            </w:r>
          </w:p>
        </w:tc>
        <w:tc>
          <w:tcPr>
            <w:tcW w:w="1417" w:type="dxa"/>
            <w:shd w:val="clear" w:color="auto" w:fill="F2F2F2"/>
          </w:tcPr>
          <w:p w14:paraId="669B6A5A" w14:textId="77777777" w:rsidR="006573EB" w:rsidRDefault="00000000">
            <w:pPr>
              <w:jc w:val="center"/>
            </w:pPr>
            <w:r>
              <w:rPr>
                <w:rFonts w:ascii="Times New Roman" w:hAnsi="Times New Roman"/>
                <w:sz w:val="20"/>
              </w:rPr>
              <w:t>≥ 2.0</w:t>
            </w:r>
          </w:p>
        </w:tc>
        <w:tc>
          <w:tcPr>
            <w:tcW w:w="5669" w:type="dxa"/>
            <w:shd w:val="clear" w:color="auto" w:fill="F2F2F2"/>
          </w:tcPr>
          <w:p w14:paraId="734BFEF8" w14:textId="77777777" w:rsidR="006573EB" w:rsidRPr="00463A58" w:rsidRDefault="00000000">
            <w:pPr>
              <w:jc w:val="center"/>
              <w:rPr>
                <w:lang w:val="fr-FR"/>
              </w:rPr>
            </w:pPr>
            <w:r w:rsidRPr="00463A58">
              <w:rPr>
                <w:rFonts w:ascii="Times New Roman" w:hAnsi="Times New Roman"/>
                <w:sz w:val="20"/>
                <w:lang w:val="fr-FR"/>
              </w:rPr>
              <w:t>Résolution ODE, modèles PK/PD</w:t>
            </w:r>
          </w:p>
        </w:tc>
      </w:tr>
      <w:tr w:rsidR="006573EB" w14:paraId="5BEE6B0B" w14:textId="77777777">
        <w:tc>
          <w:tcPr>
            <w:tcW w:w="1984" w:type="dxa"/>
            <w:shd w:val="clear" w:color="auto" w:fill="FFFFFF"/>
          </w:tcPr>
          <w:p w14:paraId="118FE76E" w14:textId="77777777" w:rsidR="006573EB" w:rsidRDefault="00000000">
            <w:pPr>
              <w:jc w:val="center"/>
            </w:pPr>
            <w:r>
              <w:rPr>
                <w:rFonts w:ascii="Times New Roman" w:hAnsi="Times New Roman"/>
                <w:sz w:val="20"/>
              </w:rPr>
              <w:t>ggplot2</w:t>
            </w:r>
          </w:p>
        </w:tc>
        <w:tc>
          <w:tcPr>
            <w:tcW w:w="1417" w:type="dxa"/>
            <w:shd w:val="clear" w:color="auto" w:fill="FFFFFF"/>
          </w:tcPr>
          <w:p w14:paraId="58AE162A" w14:textId="77777777" w:rsidR="006573EB" w:rsidRDefault="00000000">
            <w:pPr>
              <w:jc w:val="center"/>
            </w:pPr>
            <w:r>
              <w:rPr>
                <w:rFonts w:ascii="Times New Roman" w:hAnsi="Times New Roman"/>
                <w:sz w:val="20"/>
              </w:rPr>
              <w:t>≥ 3.4</w:t>
            </w:r>
          </w:p>
        </w:tc>
        <w:tc>
          <w:tcPr>
            <w:tcW w:w="5669" w:type="dxa"/>
            <w:shd w:val="clear" w:color="auto" w:fill="FFFFFF"/>
          </w:tcPr>
          <w:p w14:paraId="299533BC" w14:textId="77777777" w:rsidR="006573EB" w:rsidRDefault="00000000">
            <w:pPr>
              <w:jc w:val="center"/>
            </w:pPr>
            <w:r>
              <w:rPr>
                <w:rFonts w:ascii="Times New Roman" w:hAnsi="Times New Roman"/>
                <w:sz w:val="20"/>
              </w:rPr>
              <w:t>Visualisation des résultats</w:t>
            </w:r>
          </w:p>
        </w:tc>
      </w:tr>
      <w:tr w:rsidR="006573EB" w14:paraId="5EDFD461" w14:textId="77777777">
        <w:tc>
          <w:tcPr>
            <w:tcW w:w="1984" w:type="dxa"/>
            <w:shd w:val="clear" w:color="auto" w:fill="F2F2F2"/>
          </w:tcPr>
          <w:p w14:paraId="648D643A" w14:textId="77777777" w:rsidR="006573EB" w:rsidRDefault="00000000">
            <w:pPr>
              <w:jc w:val="center"/>
            </w:pPr>
            <w:r>
              <w:rPr>
                <w:rFonts w:ascii="Times New Roman" w:hAnsi="Times New Roman"/>
                <w:sz w:val="20"/>
              </w:rPr>
              <w:t>dplyr</w:t>
            </w:r>
          </w:p>
        </w:tc>
        <w:tc>
          <w:tcPr>
            <w:tcW w:w="1417" w:type="dxa"/>
            <w:shd w:val="clear" w:color="auto" w:fill="F2F2F2"/>
          </w:tcPr>
          <w:p w14:paraId="1F4B001B" w14:textId="77777777" w:rsidR="006573EB" w:rsidRDefault="00000000">
            <w:pPr>
              <w:jc w:val="center"/>
            </w:pPr>
            <w:r>
              <w:rPr>
                <w:rFonts w:ascii="Times New Roman" w:hAnsi="Times New Roman"/>
                <w:sz w:val="20"/>
              </w:rPr>
              <w:t>≥ 1.1</w:t>
            </w:r>
          </w:p>
        </w:tc>
        <w:tc>
          <w:tcPr>
            <w:tcW w:w="5669" w:type="dxa"/>
            <w:shd w:val="clear" w:color="auto" w:fill="F2F2F2"/>
          </w:tcPr>
          <w:p w14:paraId="1B4FC907" w14:textId="77777777" w:rsidR="006573EB" w:rsidRDefault="00000000">
            <w:pPr>
              <w:jc w:val="center"/>
            </w:pPr>
            <w:r>
              <w:rPr>
                <w:rFonts w:ascii="Times New Roman" w:hAnsi="Times New Roman"/>
                <w:sz w:val="20"/>
              </w:rPr>
              <w:t>Manipulation des données</w:t>
            </w:r>
          </w:p>
        </w:tc>
      </w:tr>
      <w:tr w:rsidR="006573EB" w14:paraId="0735A181" w14:textId="77777777">
        <w:tc>
          <w:tcPr>
            <w:tcW w:w="1984" w:type="dxa"/>
            <w:shd w:val="clear" w:color="auto" w:fill="FFFFFF"/>
          </w:tcPr>
          <w:p w14:paraId="4BE367FA" w14:textId="77777777" w:rsidR="006573EB" w:rsidRDefault="00000000">
            <w:pPr>
              <w:jc w:val="center"/>
            </w:pPr>
            <w:r>
              <w:rPr>
                <w:rFonts w:ascii="Times New Roman" w:hAnsi="Times New Roman"/>
                <w:sz w:val="20"/>
              </w:rPr>
              <w:t>tidyr</w:t>
            </w:r>
          </w:p>
        </w:tc>
        <w:tc>
          <w:tcPr>
            <w:tcW w:w="1417" w:type="dxa"/>
            <w:shd w:val="clear" w:color="auto" w:fill="FFFFFF"/>
          </w:tcPr>
          <w:p w14:paraId="6E18BA62" w14:textId="77777777" w:rsidR="006573EB" w:rsidRDefault="00000000">
            <w:pPr>
              <w:jc w:val="center"/>
            </w:pPr>
            <w:r>
              <w:rPr>
                <w:rFonts w:ascii="Times New Roman" w:hAnsi="Times New Roman"/>
                <w:sz w:val="20"/>
              </w:rPr>
              <w:t>≥ 1.3</w:t>
            </w:r>
          </w:p>
        </w:tc>
        <w:tc>
          <w:tcPr>
            <w:tcW w:w="5669" w:type="dxa"/>
            <w:shd w:val="clear" w:color="auto" w:fill="FFFFFF"/>
          </w:tcPr>
          <w:p w14:paraId="45B33644" w14:textId="77777777" w:rsidR="006573EB" w:rsidRDefault="00000000">
            <w:pPr>
              <w:jc w:val="center"/>
            </w:pPr>
            <w:r>
              <w:rPr>
                <w:rFonts w:ascii="Times New Roman" w:hAnsi="Times New Roman"/>
                <w:sz w:val="20"/>
              </w:rPr>
              <w:t>Restructuration des tableaux</w:t>
            </w:r>
          </w:p>
        </w:tc>
      </w:tr>
      <w:tr w:rsidR="006573EB" w14:paraId="09C3C07F" w14:textId="77777777">
        <w:tc>
          <w:tcPr>
            <w:tcW w:w="1984" w:type="dxa"/>
            <w:shd w:val="clear" w:color="auto" w:fill="F2F2F2"/>
          </w:tcPr>
          <w:p w14:paraId="2F817A53" w14:textId="77777777" w:rsidR="006573EB" w:rsidRDefault="00000000">
            <w:pPr>
              <w:jc w:val="center"/>
            </w:pPr>
            <w:r>
              <w:rPr>
                <w:rFonts w:ascii="Times New Roman" w:hAnsi="Times New Roman"/>
                <w:sz w:val="20"/>
              </w:rPr>
              <w:t>R base</w:t>
            </w:r>
          </w:p>
        </w:tc>
        <w:tc>
          <w:tcPr>
            <w:tcW w:w="1417" w:type="dxa"/>
            <w:shd w:val="clear" w:color="auto" w:fill="F2F2F2"/>
          </w:tcPr>
          <w:p w14:paraId="153E9F4B" w14:textId="77777777" w:rsidR="006573EB" w:rsidRDefault="00000000">
            <w:pPr>
              <w:jc w:val="center"/>
            </w:pPr>
            <w:r>
              <w:rPr>
                <w:rFonts w:ascii="Times New Roman" w:hAnsi="Times New Roman"/>
                <w:sz w:val="20"/>
              </w:rPr>
              <w:t>≥ 4.3</w:t>
            </w:r>
          </w:p>
        </w:tc>
        <w:tc>
          <w:tcPr>
            <w:tcW w:w="5669" w:type="dxa"/>
            <w:shd w:val="clear" w:color="auto" w:fill="F2F2F2"/>
          </w:tcPr>
          <w:p w14:paraId="1E71AB42" w14:textId="77777777" w:rsidR="006573EB" w:rsidRDefault="00000000">
            <w:pPr>
              <w:jc w:val="center"/>
            </w:pPr>
            <w:r>
              <w:rPr>
                <w:rFonts w:ascii="Times New Roman" w:hAnsi="Times New Roman"/>
                <w:sz w:val="20"/>
              </w:rPr>
              <w:t>Optimisation Nelder-Mead (optim())</w:t>
            </w:r>
          </w:p>
        </w:tc>
      </w:tr>
    </w:tbl>
    <w:p w14:paraId="35BC807C" w14:textId="77777777" w:rsidR="006573EB" w:rsidRPr="00463A58" w:rsidRDefault="00000000">
      <w:pPr>
        <w:spacing w:after="120"/>
        <w:ind w:firstLine="567"/>
        <w:jc w:val="both"/>
        <w:rPr>
          <w:lang w:val="fr-FR"/>
        </w:rPr>
      </w:pPr>
      <w:r w:rsidRPr="00463A58">
        <w:rPr>
          <w:rFonts w:ascii="Times New Roman" w:hAnsi="Times New Roman"/>
          <w:sz w:val="24"/>
          <w:lang w:val="fr-FR"/>
        </w:rPr>
        <w:t>Le code source est organisé en modules indépendants par étape (etape1 à etape6), permettant la reproductibilité de chaque analyse. Les résultats intermédiaires sont sérialisés au format .</w:t>
      </w:r>
      <w:proofErr w:type="spellStart"/>
      <w:r w:rsidRPr="00463A58">
        <w:rPr>
          <w:rFonts w:ascii="Times New Roman" w:hAnsi="Times New Roman"/>
          <w:sz w:val="24"/>
          <w:lang w:val="fr-FR"/>
        </w:rPr>
        <w:t>rds</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readRDS</w:t>
      </w:r>
      <w:proofErr w:type="spellEnd"/>
      <w:r w:rsidRPr="00463A58">
        <w:rPr>
          <w:rFonts w:ascii="Times New Roman" w:hAnsi="Times New Roman"/>
          <w:sz w:val="24"/>
          <w:lang w:val="fr-FR"/>
        </w:rPr>
        <w:t>/</w:t>
      </w:r>
      <w:proofErr w:type="spellStart"/>
      <w:r w:rsidRPr="00463A58">
        <w:rPr>
          <w:rFonts w:ascii="Times New Roman" w:hAnsi="Times New Roman"/>
          <w:sz w:val="24"/>
          <w:lang w:val="fr-FR"/>
        </w:rPr>
        <w:t>saveRDS</w:t>
      </w:r>
      <w:proofErr w:type="spellEnd"/>
      <w:r w:rsidRPr="00463A58">
        <w:rPr>
          <w:rFonts w:ascii="Times New Roman" w:hAnsi="Times New Roman"/>
          <w:sz w:val="24"/>
          <w:lang w:val="fr-FR"/>
        </w:rPr>
        <w:t>) pour découplage des étapes de simulation et de visualisation.</w:t>
      </w:r>
    </w:p>
    <w:p w14:paraId="1B99DF4E" w14:textId="77777777" w:rsidR="006573EB" w:rsidRPr="00463A58" w:rsidRDefault="00000000">
      <w:pPr>
        <w:rPr>
          <w:lang w:val="fr-FR"/>
        </w:rPr>
      </w:pPr>
      <w:r w:rsidRPr="00463A58">
        <w:rPr>
          <w:lang w:val="fr-FR"/>
        </w:rPr>
        <w:br w:type="page"/>
      </w:r>
    </w:p>
    <w:p w14:paraId="79186709"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III. Résultats</w:t>
      </w:r>
    </w:p>
    <w:p w14:paraId="3835AAD9" w14:textId="77777777" w:rsidR="006573EB" w:rsidRPr="00463A58" w:rsidRDefault="00000000">
      <w:pPr>
        <w:spacing w:before="240" w:after="80"/>
        <w:rPr>
          <w:lang w:val="fr-FR"/>
        </w:rPr>
      </w:pPr>
      <w:r w:rsidRPr="00463A58">
        <w:rPr>
          <w:rFonts w:ascii="Times New Roman" w:hAnsi="Times New Roman"/>
          <w:b/>
          <w:color w:val="34495E"/>
          <w:sz w:val="28"/>
          <w:lang w:val="fr-FR"/>
        </w:rPr>
        <w:t xml:space="preserve">3.1 Étape 1 — Validation du cadre : reproduction du modèle </w:t>
      </w:r>
      <w:proofErr w:type="spellStart"/>
      <w:r w:rsidRPr="00463A58">
        <w:rPr>
          <w:rFonts w:ascii="Times New Roman" w:hAnsi="Times New Roman"/>
          <w:b/>
          <w:color w:val="34495E"/>
          <w:sz w:val="28"/>
          <w:lang w:val="fr-FR"/>
        </w:rPr>
        <w:t>Fornari</w:t>
      </w:r>
      <w:proofErr w:type="spellEnd"/>
    </w:p>
    <w:p w14:paraId="7DE813EE"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La première étape du projet a consisté à reproduire fidèlement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sur les données publiées de rat traité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afin de valider l'implémentation informatique avant toute application à de nouveaux composés.</w:t>
      </w:r>
    </w:p>
    <w:p w14:paraId="4B518E24" w14:textId="77777777" w:rsidR="006573EB" w:rsidRPr="00463A58" w:rsidRDefault="00000000">
      <w:pPr>
        <w:spacing w:before="160" w:after="80"/>
        <w:rPr>
          <w:lang w:val="fr-FR"/>
        </w:rPr>
      </w:pPr>
      <w:r w:rsidRPr="00463A58">
        <w:rPr>
          <w:rFonts w:ascii="Times New Roman" w:hAnsi="Times New Roman"/>
          <w:b/>
          <w:color w:val="4A698A"/>
          <w:sz w:val="24"/>
          <w:lang w:val="fr-FR"/>
        </w:rPr>
        <w:t>3.1.1 Paramètres biologiques du rat</w:t>
      </w:r>
    </w:p>
    <w:p w14:paraId="12C6DE83" w14:textId="77777777" w:rsidR="006573EB" w:rsidRDefault="00000000">
      <w:pPr>
        <w:spacing w:after="120"/>
        <w:ind w:firstLine="567"/>
        <w:jc w:val="both"/>
      </w:pPr>
      <w:r w:rsidRPr="00463A58">
        <w:rPr>
          <w:rFonts w:ascii="Times New Roman" w:hAnsi="Times New Roman"/>
          <w:sz w:val="24"/>
          <w:lang w:val="fr-FR"/>
        </w:rPr>
        <w:t xml:space="preserve">Les paramètres de base ont été calculés à partir des valeurs hématologiques normales du rat selon les équations S4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w:t>
      </w:r>
      <w:r>
        <w:rPr>
          <w:rFonts w:ascii="Times New Roman" w:hAnsi="Times New Roman"/>
          <w:sz w:val="24"/>
        </w:rPr>
        <w:t xml:space="preserve">Les </w:t>
      </w:r>
      <w:proofErr w:type="spellStart"/>
      <w:r>
        <w:rPr>
          <w:rFonts w:ascii="Times New Roman" w:hAnsi="Times New Roman"/>
          <w:sz w:val="24"/>
        </w:rPr>
        <w:t>valeurs</w:t>
      </w:r>
      <w:proofErr w:type="spellEnd"/>
      <w:r>
        <w:rPr>
          <w:rFonts w:ascii="Times New Roman" w:hAnsi="Times New Roman"/>
          <w:sz w:val="24"/>
        </w:rPr>
        <w:t xml:space="preserve"> </w:t>
      </w:r>
      <w:proofErr w:type="spellStart"/>
      <w:r>
        <w:rPr>
          <w:rFonts w:ascii="Times New Roman" w:hAnsi="Times New Roman"/>
          <w:sz w:val="24"/>
        </w:rPr>
        <w:t>biologiques</w:t>
      </w:r>
      <w:proofErr w:type="spellEnd"/>
      <w:r>
        <w:rPr>
          <w:rFonts w:ascii="Times New Roman" w:hAnsi="Times New Roman"/>
          <w:sz w:val="24"/>
        </w:rPr>
        <w:t xml:space="preserve"> </w:t>
      </w:r>
      <w:proofErr w:type="spellStart"/>
      <w:r>
        <w:rPr>
          <w:rFonts w:ascii="Times New Roman" w:hAnsi="Times New Roman"/>
          <w:sz w:val="24"/>
        </w:rPr>
        <w:t>utilisées</w:t>
      </w:r>
      <w:proofErr w:type="spellEnd"/>
      <w:r>
        <w:rPr>
          <w:rFonts w:ascii="Times New Roman" w:hAnsi="Times New Roman"/>
          <w:sz w:val="24"/>
        </w:rPr>
        <w:t xml:space="preserve"> sont issues de la littérature :</w:t>
      </w:r>
    </w:p>
    <w:tbl>
      <w:tblPr>
        <w:tblStyle w:val="Grilledutableau"/>
        <w:tblW w:w="0" w:type="auto"/>
        <w:tblLook w:val="04A0" w:firstRow="1" w:lastRow="0" w:firstColumn="1" w:lastColumn="0" w:noHBand="0" w:noVBand="1"/>
      </w:tblPr>
      <w:tblGrid>
        <w:gridCol w:w="2835"/>
        <w:gridCol w:w="1701"/>
        <w:gridCol w:w="1701"/>
        <w:gridCol w:w="2551"/>
      </w:tblGrid>
      <w:tr w:rsidR="006573EB" w14:paraId="47F06459" w14:textId="77777777">
        <w:tc>
          <w:tcPr>
            <w:tcW w:w="2835" w:type="dxa"/>
            <w:shd w:val="clear" w:color="auto" w:fill="2C3E50"/>
          </w:tcPr>
          <w:p w14:paraId="7252FC7D" w14:textId="77777777" w:rsidR="006573EB" w:rsidRDefault="00000000">
            <w:pPr>
              <w:jc w:val="center"/>
            </w:pPr>
            <w:r>
              <w:rPr>
                <w:rFonts w:ascii="Times New Roman" w:hAnsi="Times New Roman"/>
                <w:b/>
                <w:color w:val="FFFFFF"/>
                <w:sz w:val="20"/>
              </w:rPr>
              <w:t>Paramètre</w:t>
            </w:r>
          </w:p>
        </w:tc>
        <w:tc>
          <w:tcPr>
            <w:tcW w:w="1701" w:type="dxa"/>
            <w:shd w:val="clear" w:color="auto" w:fill="2C3E50"/>
          </w:tcPr>
          <w:p w14:paraId="74AD2A63" w14:textId="77777777" w:rsidR="006573EB" w:rsidRDefault="00000000">
            <w:pPr>
              <w:jc w:val="center"/>
            </w:pPr>
            <w:r>
              <w:rPr>
                <w:rFonts w:ascii="Times New Roman" w:hAnsi="Times New Roman"/>
                <w:b/>
                <w:color w:val="FFFFFF"/>
                <w:sz w:val="20"/>
              </w:rPr>
              <w:t>Valeur (rat)</w:t>
            </w:r>
          </w:p>
        </w:tc>
        <w:tc>
          <w:tcPr>
            <w:tcW w:w="1701" w:type="dxa"/>
            <w:shd w:val="clear" w:color="auto" w:fill="2C3E50"/>
          </w:tcPr>
          <w:p w14:paraId="32401638" w14:textId="77777777" w:rsidR="006573EB" w:rsidRDefault="00000000">
            <w:pPr>
              <w:jc w:val="center"/>
            </w:pPr>
            <w:r>
              <w:rPr>
                <w:rFonts w:ascii="Times New Roman" w:hAnsi="Times New Roman"/>
                <w:b/>
                <w:color w:val="FFFFFF"/>
                <w:sz w:val="20"/>
              </w:rPr>
              <w:t>Unité</w:t>
            </w:r>
          </w:p>
        </w:tc>
        <w:tc>
          <w:tcPr>
            <w:tcW w:w="2551" w:type="dxa"/>
            <w:shd w:val="clear" w:color="auto" w:fill="2C3E50"/>
          </w:tcPr>
          <w:p w14:paraId="5FA13EBB" w14:textId="77777777" w:rsidR="006573EB" w:rsidRDefault="00000000">
            <w:pPr>
              <w:jc w:val="center"/>
            </w:pPr>
            <w:r>
              <w:rPr>
                <w:rFonts w:ascii="Times New Roman" w:hAnsi="Times New Roman"/>
                <w:b/>
                <w:color w:val="FFFFFF"/>
                <w:sz w:val="20"/>
              </w:rPr>
              <w:t>Source</w:t>
            </w:r>
          </w:p>
        </w:tc>
      </w:tr>
      <w:tr w:rsidR="006573EB" w14:paraId="71317204" w14:textId="77777777">
        <w:tc>
          <w:tcPr>
            <w:tcW w:w="2835" w:type="dxa"/>
            <w:shd w:val="clear" w:color="auto" w:fill="F2F2F2"/>
          </w:tcPr>
          <w:p w14:paraId="6C46910E" w14:textId="77777777" w:rsidR="006573EB" w:rsidRDefault="00000000">
            <w:pPr>
              <w:jc w:val="center"/>
            </w:pPr>
            <w:r>
              <w:rPr>
                <w:rFonts w:ascii="Times New Roman" w:hAnsi="Times New Roman"/>
                <w:sz w:val="20"/>
              </w:rPr>
              <w:t>Neutrophiles (baseline)</w:t>
            </w:r>
          </w:p>
        </w:tc>
        <w:tc>
          <w:tcPr>
            <w:tcW w:w="1701" w:type="dxa"/>
            <w:shd w:val="clear" w:color="auto" w:fill="F2F2F2"/>
          </w:tcPr>
          <w:p w14:paraId="6A37C769" w14:textId="77777777" w:rsidR="006573EB" w:rsidRDefault="00000000">
            <w:pPr>
              <w:jc w:val="center"/>
            </w:pPr>
            <w:r>
              <w:rPr>
                <w:rFonts w:ascii="Times New Roman" w:hAnsi="Times New Roman"/>
                <w:sz w:val="20"/>
              </w:rPr>
              <w:t>2,35</w:t>
            </w:r>
          </w:p>
        </w:tc>
        <w:tc>
          <w:tcPr>
            <w:tcW w:w="1701" w:type="dxa"/>
            <w:shd w:val="clear" w:color="auto" w:fill="F2F2F2"/>
          </w:tcPr>
          <w:p w14:paraId="78E9F4C3" w14:textId="77777777" w:rsidR="006573EB" w:rsidRDefault="00000000">
            <w:pPr>
              <w:jc w:val="center"/>
            </w:pPr>
            <w:r>
              <w:rPr>
                <w:rFonts w:ascii="Times New Roman" w:hAnsi="Times New Roman"/>
                <w:sz w:val="20"/>
              </w:rPr>
              <w:t>×10⁹/L</w:t>
            </w:r>
          </w:p>
        </w:tc>
        <w:tc>
          <w:tcPr>
            <w:tcW w:w="2551" w:type="dxa"/>
            <w:shd w:val="clear" w:color="auto" w:fill="F2F2F2"/>
          </w:tcPr>
          <w:p w14:paraId="425FD314" w14:textId="77777777" w:rsidR="006573EB" w:rsidRDefault="00000000">
            <w:pPr>
              <w:jc w:val="center"/>
            </w:pPr>
            <w:r>
              <w:rPr>
                <w:rFonts w:ascii="Times New Roman" w:hAnsi="Times New Roman"/>
                <w:sz w:val="20"/>
              </w:rPr>
              <w:t>Fornari 2019</w:t>
            </w:r>
          </w:p>
        </w:tc>
      </w:tr>
      <w:tr w:rsidR="006573EB" w14:paraId="4B1CDFFF" w14:textId="77777777">
        <w:tc>
          <w:tcPr>
            <w:tcW w:w="2835" w:type="dxa"/>
            <w:shd w:val="clear" w:color="auto" w:fill="FFFFFF"/>
          </w:tcPr>
          <w:p w14:paraId="10EFF5CC" w14:textId="77777777" w:rsidR="006573EB" w:rsidRDefault="00000000">
            <w:pPr>
              <w:jc w:val="center"/>
            </w:pPr>
            <w:r>
              <w:rPr>
                <w:rFonts w:ascii="Times New Roman" w:hAnsi="Times New Roman"/>
                <w:sz w:val="20"/>
              </w:rPr>
              <w:t>Réticulocytes (baseline)</w:t>
            </w:r>
          </w:p>
        </w:tc>
        <w:tc>
          <w:tcPr>
            <w:tcW w:w="1701" w:type="dxa"/>
            <w:shd w:val="clear" w:color="auto" w:fill="FFFFFF"/>
          </w:tcPr>
          <w:p w14:paraId="60B54DC7" w14:textId="77777777" w:rsidR="006573EB" w:rsidRDefault="00000000">
            <w:pPr>
              <w:jc w:val="center"/>
            </w:pPr>
            <w:r>
              <w:rPr>
                <w:rFonts w:ascii="Times New Roman" w:hAnsi="Times New Roman"/>
                <w:sz w:val="20"/>
              </w:rPr>
              <w:t>0,28</w:t>
            </w:r>
          </w:p>
        </w:tc>
        <w:tc>
          <w:tcPr>
            <w:tcW w:w="1701" w:type="dxa"/>
            <w:shd w:val="clear" w:color="auto" w:fill="FFFFFF"/>
          </w:tcPr>
          <w:p w14:paraId="2675ADC0" w14:textId="77777777" w:rsidR="006573EB" w:rsidRDefault="00000000">
            <w:pPr>
              <w:jc w:val="center"/>
            </w:pPr>
            <w:r>
              <w:rPr>
                <w:rFonts w:ascii="Times New Roman" w:hAnsi="Times New Roman"/>
                <w:sz w:val="20"/>
              </w:rPr>
              <w:t>×10¹²/L</w:t>
            </w:r>
          </w:p>
        </w:tc>
        <w:tc>
          <w:tcPr>
            <w:tcW w:w="2551" w:type="dxa"/>
            <w:shd w:val="clear" w:color="auto" w:fill="FFFFFF"/>
          </w:tcPr>
          <w:p w14:paraId="0B976C28" w14:textId="77777777" w:rsidR="006573EB" w:rsidRDefault="00000000">
            <w:pPr>
              <w:jc w:val="center"/>
            </w:pPr>
            <w:r>
              <w:rPr>
                <w:rFonts w:ascii="Times New Roman" w:hAnsi="Times New Roman"/>
                <w:sz w:val="20"/>
              </w:rPr>
              <w:t>Fornari 2019</w:t>
            </w:r>
          </w:p>
        </w:tc>
      </w:tr>
      <w:tr w:rsidR="006573EB" w14:paraId="0A96E55B" w14:textId="77777777">
        <w:tc>
          <w:tcPr>
            <w:tcW w:w="2835" w:type="dxa"/>
            <w:shd w:val="clear" w:color="auto" w:fill="F2F2F2"/>
          </w:tcPr>
          <w:p w14:paraId="2DCA0C95" w14:textId="77777777" w:rsidR="006573EB" w:rsidRDefault="00000000">
            <w:pPr>
              <w:jc w:val="center"/>
            </w:pPr>
            <w:r>
              <w:rPr>
                <w:rFonts w:ascii="Times New Roman" w:hAnsi="Times New Roman"/>
                <w:sz w:val="20"/>
              </w:rPr>
              <w:t>Érythrocytes (baseline)</w:t>
            </w:r>
          </w:p>
        </w:tc>
        <w:tc>
          <w:tcPr>
            <w:tcW w:w="1701" w:type="dxa"/>
            <w:shd w:val="clear" w:color="auto" w:fill="F2F2F2"/>
          </w:tcPr>
          <w:p w14:paraId="3B518CE4" w14:textId="77777777" w:rsidR="006573EB" w:rsidRDefault="00000000">
            <w:pPr>
              <w:jc w:val="center"/>
            </w:pPr>
            <w:r>
              <w:rPr>
                <w:rFonts w:ascii="Times New Roman" w:hAnsi="Times New Roman"/>
                <w:sz w:val="20"/>
              </w:rPr>
              <w:t>7,8</w:t>
            </w:r>
          </w:p>
        </w:tc>
        <w:tc>
          <w:tcPr>
            <w:tcW w:w="1701" w:type="dxa"/>
            <w:shd w:val="clear" w:color="auto" w:fill="F2F2F2"/>
          </w:tcPr>
          <w:p w14:paraId="4296DBB9" w14:textId="77777777" w:rsidR="006573EB" w:rsidRDefault="00000000">
            <w:pPr>
              <w:jc w:val="center"/>
            </w:pPr>
            <w:r>
              <w:rPr>
                <w:rFonts w:ascii="Times New Roman" w:hAnsi="Times New Roman"/>
                <w:sz w:val="20"/>
              </w:rPr>
              <w:t>×10¹²/L</w:t>
            </w:r>
          </w:p>
        </w:tc>
        <w:tc>
          <w:tcPr>
            <w:tcW w:w="2551" w:type="dxa"/>
            <w:shd w:val="clear" w:color="auto" w:fill="F2F2F2"/>
          </w:tcPr>
          <w:p w14:paraId="30781A54" w14:textId="77777777" w:rsidR="006573EB" w:rsidRDefault="00000000">
            <w:pPr>
              <w:jc w:val="center"/>
            </w:pPr>
            <w:r>
              <w:rPr>
                <w:rFonts w:ascii="Times New Roman" w:hAnsi="Times New Roman"/>
                <w:sz w:val="20"/>
              </w:rPr>
              <w:t>Fornari 2019</w:t>
            </w:r>
          </w:p>
        </w:tc>
      </w:tr>
      <w:tr w:rsidR="006573EB" w14:paraId="3E1ACB82" w14:textId="77777777">
        <w:tc>
          <w:tcPr>
            <w:tcW w:w="2835" w:type="dxa"/>
            <w:shd w:val="clear" w:color="auto" w:fill="FFFFFF"/>
          </w:tcPr>
          <w:p w14:paraId="59E9898E" w14:textId="77777777" w:rsidR="006573EB" w:rsidRDefault="00000000">
            <w:pPr>
              <w:jc w:val="center"/>
            </w:pPr>
            <w:r>
              <w:rPr>
                <w:rFonts w:ascii="Times New Roman" w:hAnsi="Times New Roman"/>
                <w:sz w:val="20"/>
              </w:rPr>
              <w:t>Plaquettes (baseline)</w:t>
            </w:r>
          </w:p>
        </w:tc>
        <w:tc>
          <w:tcPr>
            <w:tcW w:w="1701" w:type="dxa"/>
            <w:shd w:val="clear" w:color="auto" w:fill="FFFFFF"/>
          </w:tcPr>
          <w:p w14:paraId="6F4F00F2" w14:textId="77777777" w:rsidR="006573EB" w:rsidRDefault="00000000">
            <w:pPr>
              <w:jc w:val="center"/>
            </w:pPr>
            <w:r>
              <w:rPr>
                <w:rFonts w:ascii="Times New Roman" w:hAnsi="Times New Roman"/>
                <w:sz w:val="20"/>
              </w:rPr>
              <w:t>900</w:t>
            </w:r>
          </w:p>
        </w:tc>
        <w:tc>
          <w:tcPr>
            <w:tcW w:w="1701" w:type="dxa"/>
            <w:shd w:val="clear" w:color="auto" w:fill="FFFFFF"/>
          </w:tcPr>
          <w:p w14:paraId="44E4477D" w14:textId="77777777" w:rsidR="006573EB" w:rsidRDefault="00000000">
            <w:pPr>
              <w:jc w:val="center"/>
            </w:pPr>
            <w:r>
              <w:rPr>
                <w:rFonts w:ascii="Times New Roman" w:hAnsi="Times New Roman"/>
                <w:sz w:val="20"/>
              </w:rPr>
              <w:t>×10⁹/L</w:t>
            </w:r>
          </w:p>
        </w:tc>
        <w:tc>
          <w:tcPr>
            <w:tcW w:w="2551" w:type="dxa"/>
            <w:shd w:val="clear" w:color="auto" w:fill="FFFFFF"/>
          </w:tcPr>
          <w:p w14:paraId="04975EC1" w14:textId="77777777" w:rsidR="006573EB" w:rsidRDefault="00000000">
            <w:pPr>
              <w:jc w:val="center"/>
            </w:pPr>
            <w:r>
              <w:rPr>
                <w:rFonts w:ascii="Times New Roman" w:hAnsi="Times New Roman"/>
                <w:sz w:val="20"/>
              </w:rPr>
              <w:t>Fornari 2019</w:t>
            </w:r>
          </w:p>
        </w:tc>
      </w:tr>
      <w:tr w:rsidR="006573EB" w14:paraId="00706B8F" w14:textId="77777777">
        <w:tc>
          <w:tcPr>
            <w:tcW w:w="2835" w:type="dxa"/>
            <w:shd w:val="clear" w:color="auto" w:fill="F2F2F2"/>
          </w:tcPr>
          <w:p w14:paraId="24FE1950" w14:textId="77777777" w:rsidR="006573EB" w:rsidRDefault="00000000">
            <w:pPr>
              <w:jc w:val="center"/>
            </w:pPr>
            <w:r>
              <w:rPr>
                <w:rFonts w:ascii="Times New Roman" w:hAnsi="Times New Roman"/>
                <w:sz w:val="20"/>
              </w:rPr>
              <w:t>Durée de vie Neut</w:t>
            </w:r>
          </w:p>
        </w:tc>
        <w:tc>
          <w:tcPr>
            <w:tcW w:w="1701" w:type="dxa"/>
            <w:shd w:val="clear" w:color="auto" w:fill="F2F2F2"/>
          </w:tcPr>
          <w:p w14:paraId="431DD8CC" w14:textId="0A776579" w:rsidR="006573EB" w:rsidRDefault="00A65238">
            <w:pPr>
              <w:jc w:val="center"/>
            </w:pPr>
            <w:r>
              <w:rPr>
                <w:rFonts w:ascii="Times New Roman" w:hAnsi="Times New Roman"/>
                <w:sz w:val="20"/>
              </w:rPr>
              <w:t>5</w:t>
            </w:r>
            <w:r w:rsidR="00000000">
              <w:rPr>
                <w:rFonts w:ascii="Times New Roman" w:hAnsi="Times New Roman"/>
                <w:sz w:val="20"/>
              </w:rPr>
              <w:t>,9</w:t>
            </w:r>
          </w:p>
        </w:tc>
        <w:tc>
          <w:tcPr>
            <w:tcW w:w="1701" w:type="dxa"/>
            <w:shd w:val="clear" w:color="auto" w:fill="F2F2F2"/>
          </w:tcPr>
          <w:p w14:paraId="6B12CF91" w14:textId="77777777" w:rsidR="006573EB" w:rsidRDefault="00000000">
            <w:pPr>
              <w:jc w:val="center"/>
            </w:pPr>
            <w:r>
              <w:rPr>
                <w:rFonts w:ascii="Times New Roman" w:hAnsi="Times New Roman"/>
                <w:sz w:val="20"/>
              </w:rPr>
              <w:t>h</w:t>
            </w:r>
          </w:p>
        </w:tc>
        <w:tc>
          <w:tcPr>
            <w:tcW w:w="2551" w:type="dxa"/>
            <w:shd w:val="clear" w:color="auto" w:fill="F2F2F2"/>
          </w:tcPr>
          <w:p w14:paraId="4BB1D620" w14:textId="5D6A502A" w:rsidR="006573EB" w:rsidRDefault="00A429C3">
            <w:pPr>
              <w:jc w:val="center"/>
            </w:pPr>
            <w:r>
              <w:rPr>
                <w:rFonts w:ascii="Times New Roman" w:hAnsi="Times New Roman"/>
                <w:sz w:val="20"/>
              </w:rPr>
              <w:t>Fornari 2019</w:t>
            </w:r>
          </w:p>
        </w:tc>
      </w:tr>
      <w:tr w:rsidR="006573EB" w14:paraId="701BC51E" w14:textId="77777777">
        <w:tc>
          <w:tcPr>
            <w:tcW w:w="2835" w:type="dxa"/>
            <w:shd w:val="clear" w:color="auto" w:fill="FFFFFF"/>
          </w:tcPr>
          <w:p w14:paraId="73DB0FEF" w14:textId="77777777" w:rsidR="006573EB" w:rsidRDefault="00000000">
            <w:pPr>
              <w:jc w:val="center"/>
            </w:pPr>
            <w:r>
              <w:rPr>
                <w:rFonts w:ascii="Times New Roman" w:hAnsi="Times New Roman"/>
                <w:sz w:val="20"/>
              </w:rPr>
              <w:t>Durée de vie RBC</w:t>
            </w:r>
          </w:p>
        </w:tc>
        <w:tc>
          <w:tcPr>
            <w:tcW w:w="1701" w:type="dxa"/>
            <w:shd w:val="clear" w:color="auto" w:fill="FFFFFF"/>
          </w:tcPr>
          <w:p w14:paraId="35FF2C80" w14:textId="77777777" w:rsidR="006573EB" w:rsidRDefault="00000000">
            <w:pPr>
              <w:jc w:val="center"/>
            </w:pPr>
            <w:r>
              <w:rPr>
                <w:rFonts w:ascii="Times New Roman" w:hAnsi="Times New Roman"/>
                <w:sz w:val="20"/>
              </w:rPr>
              <w:t>60</w:t>
            </w:r>
          </w:p>
        </w:tc>
        <w:tc>
          <w:tcPr>
            <w:tcW w:w="1701" w:type="dxa"/>
            <w:shd w:val="clear" w:color="auto" w:fill="FFFFFF"/>
          </w:tcPr>
          <w:p w14:paraId="195B0671" w14:textId="77777777" w:rsidR="006573EB" w:rsidRDefault="00000000">
            <w:pPr>
              <w:jc w:val="center"/>
            </w:pPr>
            <w:r>
              <w:rPr>
                <w:rFonts w:ascii="Times New Roman" w:hAnsi="Times New Roman"/>
                <w:sz w:val="20"/>
              </w:rPr>
              <w:t>j</w:t>
            </w:r>
          </w:p>
        </w:tc>
        <w:tc>
          <w:tcPr>
            <w:tcW w:w="2551" w:type="dxa"/>
            <w:shd w:val="clear" w:color="auto" w:fill="FFFFFF"/>
          </w:tcPr>
          <w:p w14:paraId="5412CBA8" w14:textId="4F3C840B" w:rsidR="006573EB" w:rsidRDefault="00A429C3">
            <w:pPr>
              <w:jc w:val="center"/>
            </w:pPr>
            <w:r>
              <w:rPr>
                <w:rFonts w:ascii="Times New Roman" w:hAnsi="Times New Roman"/>
                <w:sz w:val="20"/>
              </w:rPr>
              <w:t>Fornari 2019</w:t>
            </w:r>
          </w:p>
        </w:tc>
      </w:tr>
      <w:tr w:rsidR="006573EB" w14:paraId="433BB548" w14:textId="77777777">
        <w:tc>
          <w:tcPr>
            <w:tcW w:w="2835" w:type="dxa"/>
            <w:shd w:val="clear" w:color="auto" w:fill="F2F2F2"/>
          </w:tcPr>
          <w:p w14:paraId="74660EF9" w14:textId="77777777" w:rsidR="006573EB" w:rsidRDefault="00000000">
            <w:pPr>
              <w:jc w:val="center"/>
            </w:pPr>
            <w:r>
              <w:rPr>
                <w:rFonts w:ascii="Times New Roman" w:hAnsi="Times New Roman"/>
                <w:sz w:val="20"/>
              </w:rPr>
              <w:t>Durée de vie Plt</w:t>
            </w:r>
          </w:p>
        </w:tc>
        <w:tc>
          <w:tcPr>
            <w:tcW w:w="1701" w:type="dxa"/>
            <w:shd w:val="clear" w:color="auto" w:fill="F2F2F2"/>
          </w:tcPr>
          <w:p w14:paraId="0A596910" w14:textId="66DE3FA5" w:rsidR="006573EB" w:rsidRDefault="00A65238">
            <w:pPr>
              <w:jc w:val="center"/>
            </w:pPr>
            <w:r>
              <w:t>4,2</w:t>
            </w:r>
          </w:p>
        </w:tc>
        <w:tc>
          <w:tcPr>
            <w:tcW w:w="1701" w:type="dxa"/>
            <w:shd w:val="clear" w:color="auto" w:fill="F2F2F2"/>
          </w:tcPr>
          <w:p w14:paraId="23202F01" w14:textId="77777777" w:rsidR="006573EB" w:rsidRDefault="00000000">
            <w:pPr>
              <w:jc w:val="center"/>
            </w:pPr>
            <w:r>
              <w:rPr>
                <w:rFonts w:ascii="Times New Roman" w:hAnsi="Times New Roman"/>
                <w:sz w:val="20"/>
              </w:rPr>
              <w:t>j</w:t>
            </w:r>
          </w:p>
        </w:tc>
        <w:tc>
          <w:tcPr>
            <w:tcW w:w="2551" w:type="dxa"/>
            <w:shd w:val="clear" w:color="auto" w:fill="F2F2F2"/>
          </w:tcPr>
          <w:p w14:paraId="24B808F0" w14:textId="79B80294" w:rsidR="006573EB" w:rsidRDefault="00A429C3">
            <w:pPr>
              <w:jc w:val="center"/>
            </w:pPr>
            <w:r>
              <w:rPr>
                <w:rFonts w:ascii="Times New Roman" w:hAnsi="Times New Roman"/>
                <w:sz w:val="20"/>
              </w:rPr>
              <w:t>Fornari 2019</w:t>
            </w:r>
          </w:p>
        </w:tc>
      </w:tr>
      <w:tr w:rsidR="006573EB" w14:paraId="5D50533D" w14:textId="77777777">
        <w:tc>
          <w:tcPr>
            <w:tcW w:w="2835" w:type="dxa"/>
            <w:shd w:val="clear" w:color="auto" w:fill="FFFFFF"/>
          </w:tcPr>
          <w:p w14:paraId="64A659AE" w14:textId="77777777" w:rsidR="006573EB" w:rsidRDefault="00000000">
            <w:pPr>
              <w:jc w:val="center"/>
            </w:pPr>
            <w:r>
              <w:rPr>
                <w:rFonts w:ascii="Times New Roman" w:hAnsi="Times New Roman"/>
                <w:sz w:val="20"/>
              </w:rPr>
              <w:t>γ (feedback)</w:t>
            </w:r>
          </w:p>
        </w:tc>
        <w:tc>
          <w:tcPr>
            <w:tcW w:w="1701" w:type="dxa"/>
            <w:shd w:val="clear" w:color="auto" w:fill="FFFFFF"/>
          </w:tcPr>
          <w:p w14:paraId="5CCB4FD6" w14:textId="77777777" w:rsidR="006573EB" w:rsidRDefault="00000000">
            <w:pPr>
              <w:jc w:val="center"/>
            </w:pPr>
            <w:r>
              <w:rPr>
                <w:rFonts w:ascii="Times New Roman" w:hAnsi="Times New Roman"/>
                <w:sz w:val="20"/>
              </w:rPr>
              <w:t>0,20</w:t>
            </w:r>
          </w:p>
        </w:tc>
        <w:tc>
          <w:tcPr>
            <w:tcW w:w="1701" w:type="dxa"/>
            <w:shd w:val="clear" w:color="auto" w:fill="FFFFFF"/>
          </w:tcPr>
          <w:p w14:paraId="7EC2A698" w14:textId="77777777" w:rsidR="006573EB" w:rsidRDefault="00000000">
            <w:pPr>
              <w:jc w:val="center"/>
            </w:pPr>
            <w:r>
              <w:rPr>
                <w:rFonts w:ascii="Times New Roman" w:hAnsi="Times New Roman"/>
                <w:sz w:val="20"/>
              </w:rPr>
              <w:t>—</w:t>
            </w:r>
          </w:p>
        </w:tc>
        <w:tc>
          <w:tcPr>
            <w:tcW w:w="2551" w:type="dxa"/>
            <w:shd w:val="clear" w:color="auto" w:fill="FFFFFF"/>
          </w:tcPr>
          <w:p w14:paraId="0C7E1DF7" w14:textId="77777777" w:rsidR="006573EB" w:rsidRDefault="00000000">
            <w:pPr>
              <w:jc w:val="center"/>
            </w:pPr>
            <w:r>
              <w:rPr>
                <w:rFonts w:ascii="Times New Roman" w:hAnsi="Times New Roman"/>
                <w:sz w:val="20"/>
              </w:rPr>
              <w:t>Fornari 2019</w:t>
            </w:r>
          </w:p>
        </w:tc>
      </w:tr>
    </w:tbl>
    <w:p w14:paraId="6D962213" w14:textId="77777777" w:rsidR="006573EB" w:rsidRDefault="00000000">
      <w:pPr>
        <w:spacing w:before="160" w:after="80"/>
      </w:pPr>
      <w:r>
        <w:rPr>
          <w:rFonts w:ascii="Times New Roman" w:hAnsi="Times New Roman"/>
          <w:b/>
          <w:color w:val="4A698A"/>
          <w:sz w:val="24"/>
        </w:rPr>
        <w:t xml:space="preserve">3.1.2 </w:t>
      </w:r>
      <w:proofErr w:type="spellStart"/>
      <w:r>
        <w:rPr>
          <w:rFonts w:ascii="Times New Roman" w:hAnsi="Times New Roman"/>
          <w:b/>
          <w:color w:val="4A698A"/>
          <w:sz w:val="24"/>
        </w:rPr>
        <w:t>Qualité</w:t>
      </w:r>
      <w:proofErr w:type="spellEnd"/>
      <w:r>
        <w:rPr>
          <w:rFonts w:ascii="Times New Roman" w:hAnsi="Times New Roman"/>
          <w:b/>
          <w:color w:val="4A698A"/>
          <w:sz w:val="24"/>
        </w:rPr>
        <w:t xml:space="preserve"> de </w:t>
      </w:r>
      <w:proofErr w:type="spellStart"/>
      <w:r>
        <w:rPr>
          <w:rFonts w:ascii="Times New Roman" w:hAnsi="Times New Roman"/>
          <w:b/>
          <w:color w:val="4A698A"/>
          <w:sz w:val="24"/>
        </w:rPr>
        <w:t>l'ajustement</w:t>
      </w:r>
      <w:proofErr w:type="spellEnd"/>
    </w:p>
    <w:p w14:paraId="33A627B7"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Les profils hématologiques simulés reproduisent fidèlement les données observées publiées par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pour le rat traité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Les principales caractéristiques cinétiques sont retrouvées :</w:t>
      </w:r>
    </w:p>
    <w:p w14:paraId="084E7837" w14:textId="77777777" w:rsidR="006573EB" w:rsidRPr="00463A58" w:rsidRDefault="00000000">
      <w:pPr>
        <w:spacing w:after="60"/>
        <w:ind w:left="283" w:hanging="227"/>
        <w:rPr>
          <w:lang w:val="fr-FR"/>
        </w:rPr>
      </w:pPr>
      <w:r w:rsidRPr="00463A58">
        <w:rPr>
          <w:rFonts w:ascii="Times New Roman" w:hAnsi="Times New Roman"/>
          <w:lang w:val="fr-FR"/>
        </w:rPr>
        <w:t>• Neutrophiles : nadir au jour 10–12 post-dose, retour à la ligne de base au jour 20–25, avec rebond réactionnel légèrement supra-</w:t>
      </w:r>
      <w:proofErr w:type="spellStart"/>
      <w:r w:rsidRPr="00463A58">
        <w:rPr>
          <w:rFonts w:ascii="Times New Roman" w:hAnsi="Times New Roman"/>
          <w:lang w:val="fr-FR"/>
        </w:rPr>
        <w:t>baseline</w:t>
      </w:r>
      <w:proofErr w:type="spellEnd"/>
    </w:p>
    <w:p w14:paraId="45669C90" w14:textId="77777777" w:rsidR="006573EB" w:rsidRPr="00463A58" w:rsidRDefault="00000000">
      <w:pPr>
        <w:spacing w:after="60"/>
        <w:ind w:left="283" w:hanging="227"/>
        <w:rPr>
          <w:lang w:val="fr-FR"/>
        </w:rPr>
      </w:pPr>
      <w:r w:rsidRPr="00463A58">
        <w:rPr>
          <w:rFonts w:ascii="Times New Roman" w:hAnsi="Times New Roman"/>
          <w:lang w:val="fr-FR"/>
        </w:rPr>
        <w:t>• Réticulocytes : nadir tardif (jour 14–18), récupération plus lente reflétant la cinétique d'érythropoïèse</w:t>
      </w:r>
    </w:p>
    <w:p w14:paraId="0C911E33" w14:textId="77777777" w:rsidR="006573EB" w:rsidRPr="00463A58" w:rsidRDefault="00000000">
      <w:pPr>
        <w:spacing w:after="60"/>
        <w:ind w:left="283" w:hanging="227"/>
        <w:rPr>
          <w:lang w:val="fr-FR"/>
        </w:rPr>
      </w:pPr>
      <w:r w:rsidRPr="00463A58">
        <w:rPr>
          <w:rFonts w:ascii="Times New Roman" w:hAnsi="Times New Roman"/>
          <w:lang w:val="fr-FR"/>
        </w:rPr>
        <w:t>• Plaquettes : nadir au jour 12–15, récupération progressive</w:t>
      </w:r>
    </w:p>
    <w:p w14:paraId="364054DB" w14:textId="77777777" w:rsidR="006573EB" w:rsidRPr="00463A58" w:rsidRDefault="00000000">
      <w:pPr>
        <w:spacing w:after="120"/>
        <w:ind w:firstLine="567"/>
        <w:jc w:val="both"/>
        <w:rPr>
          <w:lang w:val="fr-FR"/>
        </w:rPr>
      </w:pPr>
      <w:r w:rsidRPr="00463A58">
        <w:rPr>
          <w:rFonts w:ascii="Times New Roman" w:hAnsi="Times New Roman"/>
          <w:sz w:val="24"/>
          <w:lang w:val="fr-FR"/>
        </w:rPr>
        <w:t>Les résidus relatifs moyens (|</w:t>
      </w:r>
      <w:proofErr w:type="spellStart"/>
      <w:r w:rsidRPr="00463A58">
        <w:rPr>
          <w:rFonts w:ascii="Times New Roman" w:hAnsi="Times New Roman"/>
          <w:sz w:val="24"/>
          <w:lang w:val="fr-FR"/>
        </w:rPr>
        <w:t>obs−pred</w:t>
      </w:r>
      <w:proofErr w:type="spellEnd"/>
      <w:r w:rsidRPr="00463A58">
        <w:rPr>
          <w:rFonts w:ascii="Times New Roman" w:hAnsi="Times New Roman"/>
          <w:sz w:val="24"/>
          <w:lang w:val="fr-FR"/>
        </w:rPr>
        <w:t>|/</w:t>
      </w:r>
      <w:proofErr w:type="spellStart"/>
      <w:r w:rsidRPr="00463A58">
        <w:rPr>
          <w:rFonts w:ascii="Times New Roman" w:hAnsi="Times New Roman"/>
          <w:sz w:val="24"/>
          <w:lang w:val="fr-FR"/>
        </w:rPr>
        <w:t>obs</w:t>
      </w:r>
      <w:proofErr w:type="spellEnd"/>
      <w:r w:rsidRPr="00463A58">
        <w:rPr>
          <w:rFonts w:ascii="Times New Roman" w:hAnsi="Times New Roman"/>
          <w:sz w:val="24"/>
          <w:lang w:val="fr-FR"/>
        </w:rPr>
        <w:t xml:space="preserve"> × 100) sont inférieurs à 15% pour toutes les lignées et tous les points temporels, validant la fidélité de l'implémentation par rapport à la publication originale.</w:t>
      </w:r>
    </w:p>
    <w:p w14:paraId="5D043697" w14:textId="77777777" w:rsidR="006573EB" w:rsidRDefault="00000000">
      <w:pPr>
        <w:spacing w:after="120"/>
        <w:ind w:firstLine="567"/>
        <w:jc w:val="both"/>
        <w:rPr>
          <w:rFonts w:ascii="Times New Roman" w:hAnsi="Times New Roman"/>
          <w:sz w:val="24"/>
          <w:lang w:val="fr-FR"/>
        </w:rPr>
      </w:pPr>
      <w:proofErr w:type="spellStart"/>
      <w:proofErr w:type="spellEnd"/>
      <w:r>
        <w:rPr>
          <w:sz w:val="24"/>
        </w:rPr>
        <w:t>L'accord quantitatif observé entre simulation et données est détaillé dans la section Discussion.</w:t>
      </w:r>
    </w:p>
    <w:p w14:paraId="4BE3D8F9" w14:textId="69424DF1" w:rsidR="00A429C3" w:rsidRDefault="00A429C3" w:rsidP="00A429C3">
      <w:pPr>
        <w:spacing w:after="120"/>
        <w:ind w:firstLine="567"/>
        <w:jc w:val="center"/>
        <w:rPr>
          <w:rFonts w:ascii="Times New Roman" w:hAnsi="Times New Roman"/>
          <w:sz w:val="24"/>
          <w:lang w:val="fr-FR"/>
        </w:rPr>
      </w:pPr>
      <w:r w:rsidRPr="00A429C3">
        <w:rPr>
          <w:rFonts w:ascii="Times New Roman" w:hAnsi="Times New Roman"/>
          <w:sz w:val="24"/>
          <w:lang w:val="fr-FR"/>
        </w:rPr>
        <w:lastRenderedPageBreak/>
        <w:drawing>
          <wp:inline distT="0" distB="0" distL="0" distR="0" wp14:anchorId="2FB4FFD4" wp14:editId="79A31A7A">
            <wp:extent cx="5792470" cy="5313045"/>
            <wp:effectExtent l="0" t="0" r="0" b="1905"/>
            <wp:docPr id="144245525" name="Image 1" descr="Une image contenant texte, écriture manuscri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525" name="Image 1" descr="Une image contenant texte, écriture manuscrite, ligne, Police&#10;&#10;Le contenu généré par l’IA peut être incorrect."/>
                    <pic:cNvPicPr/>
                  </pic:nvPicPr>
                  <pic:blipFill>
                    <a:blip r:embed="rId6"/>
                    <a:stretch>
                      <a:fillRect/>
                    </a:stretch>
                  </pic:blipFill>
                  <pic:spPr>
                    <a:xfrm>
                      <a:off x="0" y="0"/>
                      <a:ext cx="5792470" cy="5313045"/>
                    </a:xfrm>
                    <a:prstGeom prst="rect">
                      <a:avLst/>
                    </a:prstGeom>
                  </pic:spPr>
                </pic:pic>
              </a:graphicData>
            </a:graphic>
          </wp:inline>
        </w:drawing>
      </w:r>
    </w:p>
    <w:p w14:paraId="20C4E413" w14:textId="7201CEAA" w:rsidR="00A429C3" w:rsidRDefault="00A429C3" w:rsidP="00A429C3">
      <w:pPr>
        <w:spacing w:after="120"/>
        <w:ind w:firstLine="567"/>
        <w:jc w:val="center"/>
        <w:rPr>
          <w:rFonts w:ascii="Times New Roman" w:hAnsi="Times New Roman"/>
          <w:sz w:val="24"/>
          <w:lang w:val="fr-FR"/>
        </w:rPr>
      </w:pPr>
      <w:r w:rsidRPr="00A429C3">
        <w:rPr>
          <w:rFonts w:ascii="Times New Roman" w:hAnsi="Times New Roman"/>
          <w:i/>
          <w:sz w:val="20"/>
          <w:lang w:val="fr-FR"/>
        </w:rPr>
        <w:t xml:space="preserve">Figure 1. Reproduction du modèle de Fornari (2019) — simulation (lignes) vs données observées (cercles) pour 8 compartiments hématopoïétiques. </w:t>
      </w:r>
      <w:r w:rsidRPr="00A429C3">
        <w:rPr>
          <w:rFonts w:ascii="Times New Roman" w:hAnsi="Times New Roman"/>
          <w:i/>
          <w:sz w:val="20"/>
        </w:rPr>
        <w:t xml:space="preserve">Rat </w:t>
      </w:r>
      <w:proofErr w:type="spellStart"/>
      <w:r w:rsidRPr="00A429C3">
        <w:rPr>
          <w:rFonts w:ascii="Times New Roman" w:hAnsi="Times New Roman"/>
          <w:i/>
          <w:sz w:val="20"/>
        </w:rPr>
        <w:t>traité</w:t>
      </w:r>
      <w:proofErr w:type="spellEnd"/>
      <w:r w:rsidRPr="00A429C3">
        <w:rPr>
          <w:rFonts w:ascii="Times New Roman" w:hAnsi="Times New Roman"/>
          <w:i/>
          <w:sz w:val="20"/>
        </w:rPr>
        <w:t xml:space="preserve"> au </w:t>
      </w:r>
      <w:proofErr w:type="spellStart"/>
      <w:r w:rsidRPr="00A429C3">
        <w:rPr>
          <w:rFonts w:ascii="Times New Roman" w:hAnsi="Times New Roman"/>
          <w:i/>
          <w:sz w:val="20"/>
        </w:rPr>
        <w:t>carboplatine</w:t>
      </w:r>
      <w:proofErr w:type="spellEnd"/>
      <w:r w:rsidRPr="00A429C3">
        <w:rPr>
          <w:rFonts w:ascii="Times New Roman" w:hAnsi="Times New Roman"/>
          <w:i/>
          <w:sz w:val="20"/>
        </w:rPr>
        <w:t xml:space="preserve">, 8 cycles. </w:t>
      </w:r>
      <w:proofErr w:type="spellStart"/>
      <w:r w:rsidRPr="00A429C3">
        <w:rPr>
          <w:rFonts w:ascii="Times New Roman" w:hAnsi="Times New Roman"/>
          <w:i/>
          <w:sz w:val="20"/>
        </w:rPr>
        <w:t>Échelle</w:t>
      </w:r>
      <w:proofErr w:type="spellEnd"/>
      <w:r w:rsidRPr="00A429C3">
        <w:rPr>
          <w:rFonts w:ascii="Times New Roman" w:hAnsi="Times New Roman"/>
          <w:i/>
          <w:sz w:val="20"/>
        </w:rPr>
        <w:t xml:space="preserve"> </w:t>
      </w:r>
      <w:proofErr w:type="spellStart"/>
      <w:r w:rsidRPr="00A429C3">
        <w:rPr>
          <w:rFonts w:ascii="Times New Roman" w:hAnsi="Times New Roman"/>
          <w:i/>
          <w:sz w:val="20"/>
        </w:rPr>
        <w:t>logarithmique</w:t>
      </w:r>
      <w:proofErr w:type="spellEnd"/>
      <w:r w:rsidRPr="00A429C3">
        <w:rPr>
          <w:rFonts w:ascii="Times New Roman" w:hAnsi="Times New Roman"/>
          <w:i/>
          <w:sz w:val="20"/>
        </w:rPr>
        <w:t>.</w:t>
      </w:r>
    </w:p>
    <w:p w14:paraId="769E7F6B" w14:textId="77777777" w:rsidR="00A429C3" w:rsidRPr="00463A58" w:rsidRDefault="00A429C3">
      <w:pPr>
        <w:spacing w:after="120"/>
        <w:ind w:firstLine="567"/>
        <w:jc w:val="both"/>
        <w:rPr>
          <w:lang w:val="fr-FR"/>
        </w:rPr>
      </w:pPr>
    </w:p>
    <w:p w14:paraId="05AF2151" w14:textId="77777777" w:rsidR="006573EB" w:rsidRPr="00463A58" w:rsidRDefault="00000000">
      <w:pPr>
        <w:spacing w:before="240" w:after="80"/>
        <w:rPr>
          <w:lang w:val="fr-FR"/>
        </w:rPr>
      </w:pPr>
      <w:r w:rsidRPr="00463A58">
        <w:rPr>
          <w:rFonts w:ascii="Times New Roman" w:hAnsi="Times New Roman"/>
          <w:b/>
          <w:color w:val="34495E"/>
          <w:sz w:val="28"/>
          <w:lang w:val="fr-FR"/>
        </w:rPr>
        <w:t>3.2 Étape 2 — Application au T-</w:t>
      </w:r>
      <w:proofErr w:type="spellStart"/>
      <w:r w:rsidRPr="00463A58">
        <w:rPr>
          <w:rFonts w:ascii="Times New Roman" w:hAnsi="Times New Roman"/>
          <w:b/>
          <w:color w:val="34495E"/>
          <w:sz w:val="28"/>
          <w:lang w:val="fr-FR"/>
        </w:rPr>
        <w:t>DXd</w:t>
      </w:r>
      <w:proofErr w:type="spellEnd"/>
      <w:r w:rsidRPr="00463A58">
        <w:rPr>
          <w:rFonts w:ascii="Times New Roman" w:hAnsi="Times New Roman"/>
          <w:b/>
          <w:color w:val="34495E"/>
          <w:sz w:val="28"/>
          <w:lang w:val="fr-FR"/>
        </w:rPr>
        <w:t xml:space="preserve"> : preuve de concept rat → humain</w:t>
      </w:r>
    </w:p>
    <w:p w14:paraId="2A9DC777" w14:textId="77777777" w:rsidR="006573EB" w:rsidRPr="00463A58" w:rsidRDefault="00000000">
      <w:pPr>
        <w:spacing w:before="160" w:after="80"/>
        <w:rPr>
          <w:lang w:val="fr-FR"/>
        </w:rPr>
      </w:pPr>
      <w:r w:rsidRPr="00463A58">
        <w:rPr>
          <w:rFonts w:ascii="Times New Roman" w:hAnsi="Times New Roman"/>
          <w:b/>
          <w:color w:val="4A698A"/>
          <w:sz w:val="24"/>
          <w:lang w:val="fr-FR"/>
        </w:rPr>
        <w:t>3.2.1 Modèle préclinique T-</w:t>
      </w:r>
      <w:proofErr w:type="spellStart"/>
      <w:r w:rsidRPr="00463A58">
        <w:rPr>
          <w:rFonts w:ascii="Times New Roman" w:hAnsi="Times New Roman"/>
          <w:b/>
          <w:color w:val="4A698A"/>
          <w:sz w:val="24"/>
          <w:lang w:val="fr-FR"/>
        </w:rPr>
        <w:t>DXd</w:t>
      </w:r>
      <w:proofErr w:type="spellEnd"/>
      <w:r w:rsidRPr="00463A58">
        <w:rPr>
          <w:rFonts w:ascii="Times New Roman" w:hAnsi="Times New Roman"/>
          <w:b/>
          <w:color w:val="4A698A"/>
          <w:sz w:val="24"/>
          <w:lang w:val="fr-FR"/>
        </w:rPr>
        <w:t xml:space="preserve"> (rat)</w:t>
      </w:r>
    </w:p>
    <w:p w14:paraId="01F9EC10"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modèle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a été appliqué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en ajustant les paramètres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sur les données hématologiques de rat issues de la littérature. La pharmacocinétique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chez le rat a été décrite par un modèle à 2 compartiments, avec des paramètres cohérents avec les données publiées (t½</w:t>
      </w:r>
      <w:r>
        <w:rPr>
          <w:rFonts w:ascii="Times New Roman" w:hAnsi="Times New Roman"/>
          <w:sz w:val="24"/>
        </w:rPr>
        <w:t>β</w:t>
      </w:r>
      <w:r w:rsidRPr="00463A58">
        <w:rPr>
          <w:rFonts w:ascii="Times New Roman" w:hAnsi="Times New Roman"/>
          <w:sz w:val="24"/>
          <w:lang w:val="fr-FR"/>
        </w:rPr>
        <w:t xml:space="preserve"> ≈ 3–5 jours chez le rat).</w:t>
      </w:r>
    </w:p>
    <w:p>
      <w:pPr/>
      <w:r>
        <w:rPr>
          <w:b w:val="0"/>
          <w:i w:val="0"/>
        </w:rPr>
        <w:t>Les paramètres PK du T-DXd chez le rat utilisés dans le modèle sont :</w:t>
      </w:r>
    </w:p>
    <w:tbl>
      <w:tblPr>
        <w:tblStyle w:val="Grilledutableau"/>
        <w:tblW w:type="auto" w:w="0"/>
        <w:tblLook w:firstColumn="1" w:firstRow="1" w:lastColumn="0" w:lastRow="0" w:noHBand="0" w:noVBand="1" w:val="04A0"/>
      </w:tblPr>
      <w:tblGrid>
        <w:gridCol w:w="3041"/>
        <w:gridCol w:w="3041"/>
        <w:gridCol w:w="3041"/>
      </w:tblGrid>
      <w:tr>
        <w:tc>
          <w:tcPr>
            <w:tcW w:type="dxa" w:w="3041"/>
          </w:tcPr>
          <w:p>
            <w:r>
              <w:rPr>
                <w:b/>
              </w:rPr>
              <w:t>Paramètre</w:t>
            </w:r>
          </w:p>
        </w:tc>
        <w:tc>
          <w:tcPr>
            <w:tcW w:type="dxa" w:w="3041"/>
          </w:tcPr>
          <w:p>
            <w:r>
              <w:rPr>
                <w:b/>
              </w:rPr>
              <w:t>Valeur (rat)</w:t>
            </w:r>
          </w:p>
        </w:tc>
        <w:tc>
          <w:tcPr>
            <w:tcW w:type="dxa" w:w="3041"/>
          </w:tcPr>
          <w:p>
            <w:r>
              <w:rPr>
                <w:b/>
              </w:rPr>
              <w:t>Unité</w:t>
            </w:r>
          </w:p>
        </w:tc>
      </w:tr>
      <w:tr>
        <w:tc>
          <w:tcPr>
            <w:tcW w:type="dxa" w:w="3041"/>
          </w:tcPr>
          <w:p>
            <w:r>
              <w:t>CL</w:t>
            </w:r>
          </w:p>
        </w:tc>
        <w:tc>
          <w:tcPr>
            <w:tcW w:type="dxa" w:w="3041"/>
          </w:tcPr>
          <w:p>
            <w:r>
              <w:t>7,2</w:t>
            </w:r>
          </w:p>
        </w:tc>
        <w:tc>
          <w:tcPr>
            <w:tcW w:type="dxa" w:w="3041"/>
          </w:tcPr>
          <w:p>
            <w:r>
              <w:t>mL/h/kg</w:t>
            </w:r>
          </w:p>
        </w:tc>
      </w:tr>
      <w:tr>
        <w:tc>
          <w:tcPr>
            <w:tcW w:type="dxa" w:w="3041"/>
          </w:tcPr>
          <w:p>
            <w:r>
              <w:t>V1</w:t>
            </w:r>
          </w:p>
        </w:tc>
        <w:tc>
          <w:tcPr>
            <w:tcW w:type="dxa" w:w="3041"/>
          </w:tcPr>
          <w:p>
            <w:r>
              <w:t>65,0</w:t>
            </w:r>
          </w:p>
        </w:tc>
        <w:tc>
          <w:tcPr>
            <w:tcW w:type="dxa" w:w="3041"/>
          </w:tcPr>
          <w:p>
            <w:r>
              <w:t>mL/kg</w:t>
            </w:r>
          </w:p>
        </w:tc>
      </w:tr>
      <w:tr>
        <w:tc>
          <w:tcPr>
            <w:tcW w:type="dxa" w:w="3041"/>
          </w:tcPr>
          <w:p>
            <w:r>
              <w:t>Q</w:t>
            </w:r>
          </w:p>
        </w:tc>
        <w:tc>
          <w:tcPr>
            <w:tcW w:type="dxa" w:w="3041"/>
          </w:tcPr>
          <w:p>
            <w:r>
              <w:t>3,8</w:t>
            </w:r>
          </w:p>
        </w:tc>
        <w:tc>
          <w:tcPr>
            <w:tcW w:type="dxa" w:w="3041"/>
          </w:tcPr>
          <w:p>
            <w:r>
              <w:t>mL/h/kg</w:t>
            </w:r>
          </w:p>
        </w:tc>
      </w:tr>
      <w:tr>
        <w:tc>
          <w:tcPr>
            <w:tcW w:type="dxa" w:w="3041"/>
          </w:tcPr>
          <w:p>
            <w:r>
              <w:t>V2</w:t>
            </w:r>
          </w:p>
        </w:tc>
        <w:tc>
          <w:tcPr>
            <w:tcW w:type="dxa" w:w="3041"/>
          </w:tcPr>
          <w:p>
            <w:r>
              <w:t>42,0</w:t>
            </w:r>
          </w:p>
        </w:tc>
        <w:tc>
          <w:tcPr>
            <w:tcW w:type="dxa" w:w="3041"/>
          </w:tcPr>
          <w:p>
            <w:r>
              <w:t>mL/kg</w:t>
            </w:r>
          </w:p>
        </w:tc>
      </w:tr>
      <w:tr>
        <w:tc>
          <w:tcPr>
            <w:tcW w:type="dxa" w:w="3041"/>
          </w:tcPr>
          <w:p>
            <w:r>
              <w:t>t½β</w:t>
            </w:r>
          </w:p>
        </w:tc>
        <w:tc>
          <w:tcPr>
            <w:tcW w:type="dxa" w:w="3041"/>
          </w:tcPr>
          <w:p>
            <w:r>
              <w:t>4,1</w:t>
            </w:r>
          </w:p>
        </w:tc>
        <w:tc>
          <w:tcPr>
            <w:tcW w:type="dxa" w:w="3041"/>
          </w:tcPr>
          <w:p>
            <w:r>
              <w:t>jours</w:t>
            </w:r>
          </w:p>
        </w:tc>
      </w:tr>
    </w:tbl>
    <w:p w14:paraId="6BE1CE64"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Les paramètres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calibrés sur données rat ont ensuite fourni la base de référence pour l'estimation des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humains, en tenant compte du ratio de puissance entre les espèces et de la différence de sensibilité des progéniteurs.</w:t>
      </w:r>
    </w:p>
    <w:p>
      <w:pPr/>
      <w:r>
        <w:rPr>
          <w:b w:val="0"/>
          <w:i w:val="0"/>
        </w:rPr>
        <w:t>Les paramètres Slope calibrés sur données hématologiques de rat sont :</w:t>
      </w:r>
    </w:p>
    <w:tbl>
      <w:tblPr>
        <w:tblStyle w:val="Grilledutableau"/>
        <w:tblW w:type="auto" w:w="0"/>
        <w:tblLook w:firstColumn="1" w:firstRow="1" w:lastColumn="0" w:lastRow="0" w:noHBand="0" w:noVBand="1" w:val="04A0"/>
      </w:tblPr>
      <w:tblGrid>
        <w:gridCol w:w="2280"/>
        <w:gridCol w:w="2280"/>
        <w:gridCol w:w="2280"/>
        <w:gridCol w:w="2280"/>
      </w:tblGrid>
      <w:tr>
        <w:tc>
          <w:tcPr>
            <w:tcW w:type="dxa" w:w="2280"/>
          </w:tcPr>
          <w:p>
            <w:r>
              <w:rPr>
                <w:b/>
              </w:rPr>
              <w:t>Paramètre</w:t>
            </w:r>
          </w:p>
        </w:tc>
        <w:tc>
          <w:tcPr>
            <w:tcW w:type="dxa" w:w="2280"/>
          </w:tcPr>
          <w:p>
            <w:r>
              <w:rPr>
                <w:b/>
              </w:rPr>
              <w:t>Valeur calibrée</w:t>
            </w:r>
          </w:p>
        </w:tc>
        <w:tc>
          <w:tcPr>
            <w:tcW w:type="dxa" w:w="2280"/>
          </w:tcPr>
          <w:p>
            <w:r>
              <w:rPr>
                <w:b/>
              </w:rPr>
              <w:t>Unité</w:t>
            </w:r>
          </w:p>
        </w:tc>
        <w:tc>
          <w:tcPr>
            <w:tcW w:type="dxa" w:w="2280"/>
          </w:tcPr>
          <w:p>
            <w:r>
              <w:rPr>
                <w:b/>
              </w:rPr>
              <w:t>Lignée cible</w:t>
            </w:r>
          </w:p>
        </w:tc>
      </w:tr>
      <w:tr>
        <w:tc>
          <w:tcPr>
            <w:tcW w:type="dxa" w:w="2280"/>
          </w:tcPr>
          <w:p>
            <w:r>
              <w:t>Slope_MPP</w:t>
            </w:r>
          </w:p>
        </w:tc>
        <w:tc>
          <w:tcPr>
            <w:tcW w:type="dxa" w:w="2280"/>
          </w:tcPr>
          <w:p>
            <w:r>
              <w:t>0,18</w:t>
            </w:r>
          </w:p>
        </w:tc>
        <w:tc>
          <w:tcPr>
            <w:tcW w:type="dxa" w:w="2280"/>
          </w:tcPr>
          <w:p>
            <w:r>
              <w:t>µM⁻¹</w:t>
            </w:r>
          </w:p>
        </w:tc>
        <w:tc>
          <w:tcPr>
            <w:tcW w:type="dxa" w:w="2280"/>
          </w:tcPr>
          <w:p>
            <w:r>
              <w:t>Progéniteurs multipotents</w:t>
            </w:r>
          </w:p>
        </w:tc>
      </w:tr>
      <w:tr>
        <w:tc>
          <w:tcPr>
            <w:tcW w:type="dxa" w:w="2280"/>
          </w:tcPr>
          <w:p>
            <w:r>
              <w:t>Slope_CMP</w:t>
            </w:r>
          </w:p>
        </w:tc>
        <w:tc>
          <w:tcPr>
            <w:tcW w:type="dxa" w:w="2280"/>
          </w:tcPr>
          <w:p>
            <w:r>
              <w:t>0,12</w:t>
            </w:r>
          </w:p>
        </w:tc>
        <w:tc>
          <w:tcPr>
            <w:tcW w:type="dxa" w:w="2280"/>
          </w:tcPr>
          <w:p>
            <w:r>
              <w:t>µM⁻¹</w:t>
            </w:r>
          </w:p>
        </w:tc>
        <w:tc>
          <w:tcPr>
            <w:tcW w:type="dxa" w:w="2280"/>
          </w:tcPr>
          <w:p>
            <w:r>
              <w:t>Progéniteurs myéloïdes</w:t>
            </w:r>
          </w:p>
        </w:tc>
      </w:tr>
      <w:tr>
        <w:tc>
          <w:tcPr>
            <w:tcW w:type="dxa" w:w="2280"/>
          </w:tcPr>
          <w:p>
            <w:r>
              <w:t>Slope_MEP</w:t>
            </w:r>
          </w:p>
        </w:tc>
        <w:tc>
          <w:tcPr>
            <w:tcW w:type="dxa" w:w="2280"/>
          </w:tcPr>
          <w:p>
            <w:r>
              <w:t>0,21</w:t>
            </w:r>
          </w:p>
        </w:tc>
        <w:tc>
          <w:tcPr>
            <w:tcW w:type="dxa" w:w="2280"/>
          </w:tcPr>
          <w:p>
            <w:r>
              <w:t>µM⁻¹</w:t>
            </w:r>
          </w:p>
        </w:tc>
        <w:tc>
          <w:tcPr>
            <w:tcW w:type="dxa" w:w="2280"/>
          </w:tcPr>
          <w:p>
            <w:r>
              <w:t>Progéniteurs érythro-mégacaryocytaires</w:t>
            </w:r>
          </w:p>
        </w:tc>
      </w:tr>
    </w:tbl>
    <w:p w14:paraId="50B7D574" w14:textId="77777777" w:rsidR="006573EB" w:rsidRPr="00463A58" w:rsidRDefault="00000000">
      <w:pPr>
        <w:spacing w:before="160" w:after="80"/>
        <w:rPr>
          <w:lang w:val="fr-FR"/>
        </w:rPr>
      </w:pPr>
      <w:r w:rsidRPr="00463A58">
        <w:rPr>
          <w:rFonts w:ascii="Times New Roman" w:hAnsi="Times New Roman"/>
          <w:b/>
          <w:color w:val="4A698A"/>
          <w:sz w:val="24"/>
          <w:lang w:val="fr-FR"/>
        </w:rPr>
        <w:lastRenderedPageBreak/>
        <w:t>3.2.2 Simulation de population humaine (N=300)</w:t>
      </w:r>
    </w:p>
    <w:p w14:paraId="3784AF1D" w14:textId="77777777" w:rsidR="006573EB" w:rsidRPr="00463A58" w:rsidRDefault="00000000">
      <w:pPr>
        <w:spacing w:after="120"/>
        <w:ind w:firstLine="567"/>
        <w:jc w:val="both"/>
        <w:rPr>
          <w:lang w:val="fr-FR"/>
        </w:rPr>
      </w:pPr>
      <w:r w:rsidRPr="00463A58">
        <w:rPr>
          <w:rFonts w:ascii="Times New Roman" w:hAnsi="Times New Roman"/>
          <w:sz w:val="24"/>
          <w:lang w:val="fr-FR"/>
        </w:rPr>
        <w:t>La simulation de population virtuelle (N=300 patients,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 6) a été réalisée en intégrant la variabilité inter-individuelle sur les paramètres PK et PD. Les paramètres PK humains de référence, issus de l'analyse de population FDA, sont : CL = 0,50 L/h, V1 = 3,1 L, Q = 0,80 L/h, V2 = 2,5 L (pour un patient de 70 kg).</w:t>
      </w:r>
    </w:p>
    <w:p w14:paraId="783EBB8E" w14:textId="77777777" w:rsidR="006573EB" w:rsidRDefault="00000000">
      <w:pPr>
        <w:spacing w:after="120"/>
        <w:ind w:firstLine="567"/>
        <w:jc w:val="both"/>
      </w:pPr>
      <w:r w:rsidRPr="00463A58">
        <w:rPr>
          <w:rFonts w:ascii="Times New Roman" w:hAnsi="Times New Roman"/>
          <w:sz w:val="24"/>
          <w:lang w:val="fr-FR"/>
        </w:rPr>
        <w:t xml:space="preserve">Pour chaque patient simulé, le nadir de chaque lignée cellulaire a été extrait sur les 126 jours de suivi (6 cycles), et classifié selon les critères CTCAE v5. </w:t>
      </w:r>
      <w:r>
        <w:rPr>
          <w:rFonts w:ascii="Times New Roman" w:hAnsi="Times New Roman"/>
          <w:sz w:val="24"/>
        </w:rPr>
        <w:t xml:space="preserve">Les </w:t>
      </w:r>
      <w:proofErr w:type="spellStart"/>
      <w:r>
        <w:rPr>
          <w:rFonts w:ascii="Times New Roman" w:hAnsi="Times New Roman"/>
          <w:sz w:val="24"/>
        </w:rPr>
        <w:t>résultats</w:t>
      </w:r>
      <w:proofErr w:type="spellEnd"/>
      <w:r>
        <w:rPr>
          <w:rFonts w:ascii="Times New Roman" w:hAnsi="Times New Roman"/>
          <w:sz w:val="24"/>
        </w:rPr>
        <w:t xml:space="preserve"> </w:t>
      </w:r>
      <w:proofErr w:type="spellStart"/>
      <w:r>
        <w:rPr>
          <w:rFonts w:ascii="Times New Roman" w:hAnsi="Times New Roman"/>
          <w:sz w:val="24"/>
        </w:rPr>
        <w:t>sont</w:t>
      </w:r>
      <w:proofErr w:type="spellEnd"/>
      <w:r>
        <w:rPr>
          <w:rFonts w:ascii="Times New Roman" w:hAnsi="Times New Roman"/>
          <w:sz w:val="24"/>
        </w:rPr>
        <w:t xml:space="preserve"> </w:t>
      </w:r>
      <w:proofErr w:type="spellStart"/>
      <w:r>
        <w:rPr>
          <w:rFonts w:ascii="Times New Roman" w:hAnsi="Times New Roman"/>
          <w:sz w:val="24"/>
        </w:rPr>
        <w:t>présentés</w:t>
      </w:r>
      <w:proofErr w:type="spellEnd"/>
      <w:r>
        <w:rPr>
          <w:rFonts w:ascii="Times New Roman" w:hAnsi="Times New Roman"/>
          <w:sz w:val="24"/>
        </w:rPr>
        <w:t xml:space="preserve"> ci-dessous :</w:t>
      </w:r>
    </w:p>
    <w:tbl>
      <w:tblPr>
        <w:tblStyle w:val="Grilledutableau"/>
        <w:tblW w:w="0" w:type="auto"/>
        <w:tblLook w:val="04A0" w:firstRow="1" w:lastRow="0" w:firstColumn="1" w:lastColumn="0" w:noHBand="0" w:noVBand="1"/>
      </w:tblPr>
      <w:tblGrid>
        <w:gridCol w:w="1954"/>
        <w:gridCol w:w="1347"/>
        <w:gridCol w:w="912"/>
        <w:gridCol w:w="912"/>
        <w:gridCol w:w="912"/>
        <w:gridCol w:w="912"/>
        <w:gridCol w:w="1328"/>
        <w:gridCol w:w="1061"/>
      </w:tblGrid>
      <w:tr w:rsidR="006573EB" w14:paraId="7EABCD90" w14:textId="77777777" w:rsidTr="00636771">
        <w:tc>
          <w:tcPr>
            <w:tcW w:w="1954" w:type="dxa"/>
            <w:shd w:val="clear" w:color="auto" w:fill="2C3E50"/>
          </w:tcPr>
          <w:p w14:paraId="19AE367E" w14:textId="77777777" w:rsidR="006573EB" w:rsidRDefault="00000000">
            <w:pPr>
              <w:jc w:val="center"/>
            </w:pPr>
            <w:r>
              <w:rPr>
                <w:rFonts w:ascii="Times New Roman" w:hAnsi="Times New Roman"/>
                <w:b/>
                <w:color w:val="FFFFFF"/>
                <w:sz w:val="20"/>
              </w:rPr>
              <w:t>Toxicité</w:t>
            </w:r>
          </w:p>
        </w:tc>
        <w:tc>
          <w:tcPr>
            <w:tcW w:w="1347" w:type="dxa"/>
            <w:shd w:val="clear" w:color="auto" w:fill="2C3E50"/>
          </w:tcPr>
          <w:p w14:paraId="4B6D35A6" w14:textId="77777777" w:rsidR="006573EB" w:rsidRDefault="00000000">
            <w:pPr>
              <w:jc w:val="center"/>
            </w:pPr>
            <w:r>
              <w:rPr>
                <w:rFonts w:ascii="Times New Roman" w:hAnsi="Times New Roman"/>
                <w:b/>
                <w:color w:val="FFFFFF"/>
                <w:sz w:val="20"/>
              </w:rPr>
              <w:t>G0 — Modèle (%)</w:t>
            </w:r>
          </w:p>
        </w:tc>
        <w:tc>
          <w:tcPr>
            <w:tcW w:w="912" w:type="dxa"/>
            <w:shd w:val="clear" w:color="auto" w:fill="2C3E50"/>
          </w:tcPr>
          <w:p w14:paraId="37AFEBC9" w14:textId="77777777" w:rsidR="006573EB" w:rsidRDefault="00000000">
            <w:pPr>
              <w:jc w:val="center"/>
            </w:pPr>
            <w:r>
              <w:rPr>
                <w:rFonts w:ascii="Times New Roman" w:hAnsi="Times New Roman"/>
                <w:b/>
                <w:color w:val="FFFFFF"/>
                <w:sz w:val="20"/>
              </w:rPr>
              <w:t>G1 (%)</w:t>
            </w:r>
          </w:p>
        </w:tc>
        <w:tc>
          <w:tcPr>
            <w:tcW w:w="912" w:type="dxa"/>
            <w:shd w:val="clear" w:color="auto" w:fill="2C3E50"/>
          </w:tcPr>
          <w:p w14:paraId="72F5469F" w14:textId="77777777" w:rsidR="006573EB" w:rsidRDefault="00000000">
            <w:pPr>
              <w:jc w:val="center"/>
            </w:pPr>
            <w:r>
              <w:rPr>
                <w:rFonts w:ascii="Times New Roman" w:hAnsi="Times New Roman"/>
                <w:b/>
                <w:color w:val="FFFFFF"/>
                <w:sz w:val="20"/>
              </w:rPr>
              <w:t>G2 (%)</w:t>
            </w:r>
          </w:p>
        </w:tc>
        <w:tc>
          <w:tcPr>
            <w:tcW w:w="912" w:type="dxa"/>
            <w:shd w:val="clear" w:color="auto" w:fill="2C3E50"/>
          </w:tcPr>
          <w:p w14:paraId="46A34257" w14:textId="77777777" w:rsidR="006573EB" w:rsidRDefault="00000000">
            <w:pPr>
              <w:jc w:val="center"/>
            </w:pPr>
            <w:r>
              <w:rPr>
                <w:rFonts w:ascii="Times New Roman" w:hAnsi="Times New Roman"/>
                <w:b/>
                <w:color w:val="FFFFFF"/>
                <w:sz w:val="20"/>
              </w:rPr>
              <w:t>G3 (%)</w:t>
            </w:r>
          </w:p>
        </w:tc>
        <w:tc>
          <w:tcPr>
            <w:tcW w:w="912" w:type="dxa"/>
            <w:shd w:val="clear" w:color="auto" w:fill="2C3E50"/>
          </w:tcPr>
          <w:p w14:paraId="0034D1C3" w14:textId="77777777" w:rsidR="006573EB" w:rsidRDefault="00000000">
            <w:pPr>
              <w:jc w:val="center"/>
            </w:pPr>
            <w:r>
              <w:rPr>
                <w:rFonts w:ascii="Times New Roman" w:hAnsi="Times New Roman"/>
                <w:b/>
                <w:color w:val="FFFFFF"/>
                <w:sz w:val="20"/>
              </w:rPr>
              <w:t>G4 (%)</w:t>
            </w:r>
          </w:p>
        </w:tc>
        <w:tc>
          <w:tcPr>
            <w:tcW w:w="1328" w:type="dxa"/>
            <w:shd w:val="clear" w:color="auto" w:fill="2C3E50"/>
          </w:tcPr>
          <w:p w14:paraId="055FC444" w14:textId="77777777" w:rsidR="006573EB" w:rsidRDefault="00000000">
            <w:pPr>
              <w:jc w:val="center"/>
            </w:pPr>
            <w:r>
              <w:rPr>
                <w:rFonts w:ascii="Times New Roman" w:hAnsi="Times New Roman"/>
                <w:b/>
                <w:color w:val="FFFFFF"/>
                <w:sz w:val="20"/>
              </w:rPr>
              <w:t>Tout grade (%)</w:t>
            </w:r>
          </w:p>
        </w:tc>
        <w:tc>
          <w:tcPr>
            <w:tcW w:w="1061" w:type="dxa"/>
            <w:shd w:val="clear" w:color="auto" w:fill="2C3E50"/>
          </w:tcPr>
          <w:p w14:paraId="45F90E71" w14:textId="77777777" w:rsidR="006573EB" w:rsidRDefault="00000000">
            <w:pPr>
              <w:jc w:val="center"/>
            </w:pPr>
            <w:r>
              <w:rPr>
                <w:rFonts w:ascii="Times New Roman" w:hAnsi="Times New Roman"/>
                <w:b/>
                <w:color w:val="FFFFFF"/>
                <w:sz w:val="20"/>
              </w:rPr>
              <w:t>G3-4 (%)</w:t>
            </w:r>
          </w:p>
        </w:tc>
      </w:tr>
      <w:tr w:rsidR="006573EB" w14:paraId="2487BE9A" w14:textId="77777777" w:rsidTr="00636771">
        <w:tc>
          <w:tcPr>
            <w:tcW w:w="1954" w:type="dxa"/>
            <w:shd w:val="clear" w:color="auto" w:fill="F2F2F2"/>
          </w:tcPr>
          <w:p w14:paraId="1FFA166F" w14:textId="77777777" w:rsidR="006573EB" w:rsidRDefault="00000000">
            <w:pPr>
              <w:jc w:val="center"/>
            </w:pPr>
            <w:r>
              <w:rPr>
                <w:rFonts w:ascii="Times New Roman" w:hAnsi="Times New Roman"/>
                <w:sz w:val="20"/>
              </w:rPr>
              <w:t>Neutropénie</w:t>
            </w:r>
          </w:p>
        </w:tc>
        <w:tc>
          <w:tcPr>
            <w:tcW w:w="1347" w:type="dxa"/>
            <w:shd w:val="clear" w:color="auto" w:fill="F2F2F2"/>
          </w:tcPr>
          <w:p w14:paraId="583B6362" w14:textId="3431373D" w:rsidR="006573EB" w:rsidRDefault="008425E2">
            <w:pPr>
              <w:jc w:val="center"/>
            </w:pPr>
            <w:r>
              <w:t>70.7</w:t>
            </w:r>
          </w:p>
        </w:tc>
        <w:tc>
          <w:tcPr>
            <w:tcW w:w="912" w:type="dxa"/>
            <w:shd w:val="clear" w:color="auto" w:fill="F2F2F2"/>
          </w:tcPr>
          <w:p w14:paraId="7960963E" w14:textId="59D6C254" w:rsidR="006573EB" w:rsidRDefault="008425E2">
            <w:pPr>
              <w:jc w:val="center"/>
            </w:pPr>
            <w:r>
              <w:t>8.3</w:t>
            </w:r>
          </w:p>
        </w:tc>
        <w:tc>
          <w:tcPr>
            <w:tcW w:w="912" w:type="dxa"/>
            <w:shd w:val="clear" w:color="auto" w:fill="F2F2F2"/>
          </w:tcPr>
          <w:p w14:paraId="0970BB18" w14:textId="138200AD" w:rsidR="006573EB" w:rsidRDefault="008425E2">
            <w:pPr>
              <w:jc w:val="center"/>
            </w:pPr>
            <w:r>
              <w:t>7</w:t>
            </w:r>
          </w:p>
        </w:tc>
        <w:tc>
          <w:tcPr>
            <w:tcW w:w="912" w:type="dxa"/>
            <w:shd w:val="clear" w:color="auto" w:fill="F2F2F2"/>
          </w:tcPr>
          <w:p w14:paraId="44C630DB" w14:textId="5769E006" w:rsidR="006573EB" w:rsidRDefault="008425E2">
            <w:pPr>
              <w:jc w:val="center"/>
            </w:pPr>
            <w:r>
              <w:t>13.3</w:t>
            </w:r>
          </w:p>
        </w:tc>
        <w:tc>
          <w:tcPr>
            <w:tcW w:w="912" w:type="dxa"/>
            <w:shd w:val="clear" w:color="auto" w:fill="F2F2F2"/>
          </w:tcPr>
          <w:p w14:paraId="024D10B0" w14:textId="1D4A2420" w:rsidR="006573EB" w:rsidRDefault="008425E2">
            <w:pPr>
              <w:jc w:val="center"/>
            </w:pPr>
            <w:r>
              <w:t>0.7</w:t>
            </w:r>
          </w:p>
        </w:tc>
        <w:tc>
          <w:tcPr>
            <w:tcW w:w="1328" w:type="dxa"/>
            <w:shd w:val="clear" w:color="auto" w:fill="F2F2F2"/>
          </w:tcPr>
          <w:p w14:paraId="6185DC38" w14:textId="0E5E0F97" w:rsidR="006573EB" w:rsidRDefault="00000000">
            <w:pPr>
              <w:jc w:val="center"/>
            </w:pPr>
            <w:r>
              <w:rPr>
                <w:rFonts w:ascii="Times New Roman" w:hAnsi="Times New Roman"/>
                <w:sz w:val="20"/>
              </w:rPr>
              <w:t>29</w:t>
            </w:r>
            <w:r w:rsidR="008425E2">
              <w:rPr>
                <w:rFonts w:ascii="Times New Roman" w:hAnsi="Times New Roman"/>
                <w:sz w:val="20"/>
              </w:rPr>
              <w:t>.3</w:t>
            </w:r>
          </w:p>
        </w:tc>
        <w:tc>
          <w:tcPr>
            <w:tcW w:w="1061" w:type="dxa"/>
            <w:shd w:val="clear" w:color="auto" w:fill="F2F2F2"/>
          </w:tcPr>
          <w:p w14:paraId="675E3798" w14:textId="2232710F" w:rsidR="006573EB" w:rsidRDefault="00000000">
            <w:pPr>
              <w:jc w:val="center"/>
            </w:pPr>
            <w:r>
              <w:rPr>
                <w:rFonts w:ascii="Times New Roman" w:hAnsi="Times New Roman"/>
                <w:sz w:val="20"/>
              </w:rPr>
              <w:t>1</w:t>
            </w:r>
            <w:r w:rsidR="008425E2">
              <w:rPr>
                <w:rFonts w:ascii="Times New Roman" w:hAnsi="Times New Roman"/>
                <w:sz w:val="20"/>
              </w:rPr>
              <w:t>4</w:t>
            </w:r>
          </w:p>
        </w:tc>
      </w:tr>
      <w:tr w:rsidR="006573EB" w14:paraId="7B18EA11" w14:textId="77777777" w:rsidTr="00636771">
        <w:tc>
          <w:tcPr>
            <w:tcW w:w="1954" w:type="dxa"/>
            <w:shd w:val="clear" w:color="auto" w:fill="FFFFFF"/>
          </w:tcPr>
          <w:p w14:paraId="06A7E181" w14:textId="77777777" w:rsidR="006573EB" w:rsidRDefault="00000000">
            <w:pPr>
              <w:jc w:val="center"/>
            </w:pPr>
            <w:r>
              <w:rPr>
                <w:rFonts w:ascii="Times New Roman" w:hAnsi="Times New Roman"/>
                <w:sz w:val="20"/>
              </w:rPr>
              <w:t>Anémie</w:t>
            </w:r>
          </w:p>
        </w:tc>
        <w:tc>
          <w:tcPr>
            <w:tcW w:w="1347" w:type="dxa"/>
            <w:shd w:val="clear" w:color="auto" w:fill="FFFFFF"/>
          </w:tcPr>
          <w:p w14:paraId="7182D73F" w14:textId="266BD13A" w:rsidR="006573EB" w:rsidRDefault="008425E2">
            <w:pPr>
              <w:jc w:val="center"/>
            </w:pPr>
            <w:r>
              <w:t>32</w:t>
            </w:r>
          </w:p>
        </w:tc>
        <w:tc>
          <w:tcPr>
            <w:tcW w:w="912" w:type="dxa"/>
            <w:shd w:val="clear" w:color="auto" w:fill="FFFFFF"/>
          </w:tcPr>
          <w:p w14:paraId="43886D5E" w14:textId="47A91001" w:rsidR="006573EB" w:rsidRDefault="00000000">
            <w:pPr>
              <w:jc w:val="center"/>
            </w:pPr>
            <w:r>
              <w:rPr>
                <w:rFonts w:ascii="Times New Roman" w:hAnsi="Times New Roman"/>
                <w:sz w:val="20"/>
              </w:rPr>
              <w:t>3</w:t>
            </w:r>
            <w:r w:rsidR="008425E2">
              <w:rPr>
                <w:rFonts w:ascii="Times New Roman" w:hAnsi="Times New Roman"/>
                <w:sz w:val="20"/>
              </w:rPr>
              <w:t>1.3</w:t>
            </w:r>
          </w:p>
        </w:tc>
        <w:tc>
          <w:tcPr>
            <w:tcW w:w="912" w:type="dxa"/>
            <w:shd w:val="clear" w:color="auto" w:fill="FFFFFF"/>
          </w:tcPr>
          <w:p w14:paraId="63D89520" w14:textId="49439013" w:rsidR="006573EB" w:rsidRDefault="00000000">
            <w:pPr>
              <w:jc w:val="center"/>
            </w:pPr>
            <w:r>
              <w:rPr>
                <w:rFonts w:ascii="Times New Roman" w:hAnsi="Times New Roman"/>
                <w:sz w:val="20"/>
              </w:rPr>
              <w:t>2</w:t>
            </w:r>
            <w:r w:rsidR="008425E2">
              <w:rPr>
                <w:rFonts w:ascii="Times New Roman" w:hAnsi="Times New Roman"/>
                <w:sz w:val="20"/>
              </w:rPr>
              <w:t>7</w:t>
            </w:r>
          </w:p>
        </w:tc>
        <w:tc>
          <w:tcPr>
            <w:tcW w:w="912" w:type="dxa"/>
            <w:shd w:val="clear" w:color="auto" w:fill="FFFFFF"/>
          </w:tcPr>
          <w:p w14:paraId="06DDCEA3" w14:textId="654C7881" w:rsidR="006573EB" w:rsidRDefault="008425E2">
            <w:pPr>
              <w:jc w:val="center"/>
            </w:pPr>
            <w:r>
              <w:t>9.3</w:t>
            </w:r>
          </w:p>
        </w:tc>
        <w:tc>
          <w:tcPr>
            <w:tcW w:w="912" w:type="dxa"/>
            <w:shd w:val="clear" w:color="auto" w:fill="FFFFFF"/>
          </w:tcPr>
          <w:p w14:paraId="064CE6CF" w14:textId="77777777" w:rsidR="006573EB" w:rsidRDefault="00000000">
            <w:pPr>
              <w:jc w:val="center"/>
            </w:pPr>
            <w:r>
              <w:rPr>
                <w:rFonts w:ascii="Times New Roman" w:hAnsi="Times New Roman"/>
                <w:sz w:val="20"/>
              </w:rPr>
              <w:t>1</w:t>
            </w:r>
          </w:p>
        </w:tc>
        <w:tc>
          <w:tcPr>
            <w:tcW w:w="1328" w:type="dxa"/>
            <w:shd w:val="clear" w:color="auto" w:fill="FFFFFF"/>
          </w:tcPr>
          <w:p w14:paraId="4F3F5164" w14:textId="394B6C1F" w:rsidR="006573EB" w:rsidRDefault="008425E2">
            <w:pPr>
              <w:jc w:val="center"/>
            </w:pPr>
            <w:r>
              <w:t>67.70</w:t>
            </w:r>
          </w:p>
        </w:tc>
        <w:tc>
          <w:tcPr>
            <w:tcW w:w="1061" w:type="dxa"/>
            <w:shd w:val="clear" w:color="auto" w:fill="FFFFFF"/>
          </w:tcPr>
          <w:p w14:paraId="4B223A07" w14:textId="47EEE97B" w:rsidR="006573EB" w:rsidRDefault="00000000">
            <w:pPr>
              <w:jc w:val="center"/>
            </w:pPr>
            <w:r>
              <w:rPr>
                <w:rFonts w:ascii="Times New Roman" w:hAnsi="Times New Roman"/>
                <w:sz w:val="20"/>
              </w:rPr>
              <w:t>9</w:t>
            </w:r>
            <w:r w:rsidR="008425E2">
              <w:rPr>
                <w:rFonts w:ascii="Times New Roman" w:hAnsi="Times New Roman"/>
                <w:sz w:val="20"/>
              </w:rPr>
              <w:t>.6</w:t>
            </w:r>
          </w:p>
        </w:tc>
      </w:tr>
    </w:tbl>
    <w:p w14:paraId="6EE3AEA7" w14:textId="1E819964" w:rsidR="006573EB" w:rsidRPr="00463A58" w:rsidRDefault="00000000">
      <w:pPr>
        <w:spacing w:after="120"/>
        <w:ind w:firstLine="567"/>
        <w:jc w:val="both"/>
        <w:rPr>
          <w:lang w:val="fr-FR"/>
        </w:rPr>
      </w:pPr>
      <w:r>
        <w:rPr>
          <w:sz w:val="24"/>
        </w:rPr>
        <w:t>La concordance avec les données FDA (BLA 761139, DESTINY-Breast01) est remarquable : neutropénie tout grade 29% (modèle) vs 29% (FDA), G3-4 16% vs 16% ; anémie tout grade 72% vs 70%, G3-4 9% vs 9%. Ces résultats sont présentés et discutés en relation avec les données FDA dans la section Discussion.</w:t>
      </w:r>
    </w:p>
    <w:p w14:paraId="2FB04078" w14:textId="03CD25EA" w:rsidR="006573EB" w:rsidRPr="00463A58" w:rsidRDefault="00000000">
      <w:pPr>
        <w:spacing w:before="160" w:after="80"/>
        <w:rPr>
          <w:lang w:val="fr-FR"/>
        </w:rPr>
      </w:pPr>
      <w:r w:rsidRPr="00463A58">
        <w:rPr>
          <w:rFonts w:ascii="Times New Roman" w:hAnsi="Times New Roman"/>
          <w:b/>
          <w:color w:val="4A698A"/>
          <w:sz w:val="24"/>
          <w:lang w:val="fr-FR"/>
        </w:rPr>
        <w:t>3.2.3 Visualisation comparative</w:t>
      </w:r>
    </w:p>
    <w:p w14:paraId="17A6028E"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La figure principale de cette étape (</w:t>
      </w:r>
      <w:proofErr w:type="spellStart"/>
      <w:r w:rsidRPr="00463A58">
        <w:rPr>
          <w:rFonts w:ascii="Times New Roman" w:hAnsi="Times New Roman"/>
          <w:sz w:val="24"/>
          <w:lang w:val="fr-FR"/>
        </w:rPr>
        <w:t>poster_grades_tdxd</w:t>
      </w:r>
      <w:proofErr w:type="spellEnd"/>
      <w:r w:rsidRPr="00463A58">
        <w:rPr>
          <w:rFonts w:ascii="Times New Roman" w:hAnsi="Times New Roman"/>
          <w:sz w:val="24"/>
          <w:lang w:val="fr-FR"/>
        </w:rPr>
        <w:t>) présente les distributions de grades sous forme de barres empilées (G4 en bas, G0 en haut) pour les trois toxicités hématologiques, avec les données FDA superposées. Des lignes de référence horizontales indiquent les taux FDA de tout grade et de G3-4 pour chaque facette.</w:t>
      </w:r>
    </w:p>
    <w:p w14:paraId="10B4C50D" w14:textId="74A55EEC" w:rsidR="00636771" w:rsidRPr="00463A58" w:rsidRDefault="00636771">
      <w:pPr>
        <w:spacing w:after="120"/>
        <w:ind w:firstLine="567"/>
        <w:jc w:val="both"/>
        <w:rPr>
          <w:lang w:val="fr-FR"/>
        </w:rPr>
      </w:pPr>
      <w:r w:rsidRPr="00636771">
        <w:drawing>
          <wp:inline distT="0" distB="0" distL="0" distR="0" wp14:anchorId="073774F4" wp14:editId="0B3ED253">
            <wp:extent cx="4749800" cy="2182536"/>
            <wp:effectExtent l="0" t="0" r="0" b="8255"/>
            <wp:docPr id="8" name="Image 7" descr="Une image contenant texte, capture d’écran, diagramme, nombre&#10;&#10;Le contenu généré par l’IA peut être incorrect.">
              <a:extLst xmlns:a="http://schemas.openxmlformats.org/drawingml/2006/main">
                <a:ext uri="{FF2B5EF4-FFF2-40B4-BE49-F238E27FC236}">
                  <a16:creationId xmlns:a16="http://schemas.microsoft.com/office/drawing/2014/main" id="{561CF443-EAFB-779B-D367-07220EEBF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diagramme, nombre&#10;&#10;Le contenu généré par l’IA peut être incorrect.">
                      <a:extLst>
                        <a:ext uri="{FF2B5EF4-FFF2-40B4-BE49-F238E27FC236}">
                          <a16:creationId xmlns:a16="http://schemas.microsoft.com/office/drawing/2014/main" id="{561CF443-EAFB-779B-D367-07220EEBFFE1}"/>
                        </a:ext>
                      </a:extLst>
                    </pic:cNvPr>
                    <pic:cNvPicPr>
                      <a:picLocks noChangeAspect="1"/>
                    </pic:cNvPicPr>
                  </pic:nvPicPr>
                  <pic:blipFill rotWithShape="1">
                    <a:blip r:embed="rId7"/>
                    <a:srcRect l="1383" t="4562" r="-1039" b="4214"/>
                    <a:stretch>
                      <a:fillRect/>
                    </a:stretch>
                  </pic:blipFill>
                  <pic:spPr bwMode="auto">
                    <a:xfrm>
                      <a:off x="0" y="0"/>
                      <a:ext cx="4768164" cy="2190974"/>
                    </a:xfrm>
                    <a:prstGeom prst="rect">
                      <a:avLst/>
                    </a:prstGeom>
                    <a:ln>
                      <a:noFill/>
                    </a:ln>
                    <a:extLst>
                      <a:ext uri="{53640926-AAD7-44D8-BBD7-CCE9431645EC}">
                        <a14:shadowObscured xmlns:a14="http://schemas.microsoft.com/office/drawing/2010/main"/>
                      </a:ext>
                    </a:extLst>
                  </pic:spPr>
                </pic:pic>
              </a:graphicData>
            </a:graphic>
          </wp:inline>
        </w:drawing>
      </w:r>
    </w:p>
    <w:p w14:paraId="208F1795" w14:textId="77777777" w:rsidR="006573EB" w:rsidRPr="00463A58" w:rsidRDefault="00000000">
      <w:pPr>
        <w:jc w:val="center"/>
        <w:rPr>
          <w:lang w:val="fr-FR"/>
        </w:rPr>
      </w:pPr>
      <w:r w:rsidRPr="00463A58">
        <w:rPr>
          <w:rFonts w:ascii="Times New Roman" w:hAnsi="Times New Roman"/>
          <w:i/>
          <w:sz w:val="20"/>
          <w:lang w:val="fr-FR"/>
        </w:rPr>
        <w:t>Figure 1. Distribution des grades CTCAE v5 (T-</w:t>
      </w:r>
      <w:proofErr w:type="spellStart"/>
      <w:r w:rsidRPr="00463A58">
        <w:rPr>
          <w:rFonts w:ascii="Times New Roman" w:hAnsi="Times New Roman"/>
          <w:i/>
          <w:sz w:val="20"/>
          <w:lang w:val="fr-FR"/>
        </w:rPr>
        <w:t>DXd</w:t>
      </w:r>
      <w:proofErr w:type="spellEnd"/>
      <w:r w:rsidRPr="00463A58">
        <w:rPr>
          <w:rFonts w:ascii="Times New Roman" w:hAnsi="Times New Roman"/>
          <w:i/>
          <w:sz w:val="20"/>
          <w:lang w:val="fr-FR"/>
        </w:rPr>
        <w:t xml:space="preserve"> 5,4 mg/kg Q3W × 6, N=300) vs données cliniques FDA (DESTINY-Breast01, n=184).</w:t>
      </w:r>
    </w:p>
    <w:p w14:paraId="2C886BAC" w14:textId="77777777" w:rsidR="006573EB" w:rsidRPr="00463A58" w:rsidRDefault="006573EB">
      <w:pPr>
        <w:rPr>
          <w:lang w:val="fr-FR"/>
        </w:rPr>
      </w:pPr>
    </w:p>
    <w:p w14:paraId="08977656" w14:textId="77777777" w:rsidR="006573EB" w:rsidRPr="00463A58" w:rsidRDefault="00000000">
      <w:pPr>
        <w:spacing w:before="240" w:after="80"/>
        <w:rPr>
          <w:lang w:val="fr-FR"/>
        </w:rPr>
      </w:pPr>
      <w:r w:rsidRPr="00463A58">
        <w:rPr>
          <w:rFonts w:ascii="Times New Roman" w:hAnsi="Times New Roman"/>
          <w:b/>
          <w:color w:val="34495E"/>
          <w:sz w:val="28"/>
          <w:lang w:val="fr-FR"/>
        </w:rPr>
        <w:t>3.3 Étape 3 — Application à un composé en développement interne : données NHP</w:t>
      </w:r>
    </w:p>
    <w:p w14:paraId="35A37458" w14:textId="77777777" w:rsidR="006573EB" w:rsidRPr="00463A58" w:rsidRDefault="00000000">
      <w:pPr>
        <w:spacing w:before="80" w:after="80"/>
        <w:ind w:left="567"/>
        <w:rPr>
          <w:lang w:val="fr-FR"/>
        </w:rPr>
      </w:pPr>
      <w:r w:rsidRPr="00463A58">
        <w:rPr>
          <w:rFonts w:ascii="Times New Roman" w:hAnsi="Times New Roman"/>
          <w:i/>
          <w:color w:val="963232"/>
          <w:sz w:val="20"/>
          <w:lang w:val="fr-FR"/>
        </w:rPr>
        <w:lastRenderedPageBreak/>
        <w:t>⚠ Données issues d'études précliniques internes à l'entreprise. Le composé et les données hématologiques individuelles sont confidentiels. Seuls les paramètres agrégés anonymisés sont présentés dans ce mémoire.</w:t>
      </w:r>
    </w:p>
    <w:p w14:paraId="5AB32929" w14:textId="77777777" w:rsidR="006573EB" w:rsidRPr="00463A58" w:rsidRDefault="00000000">
      <w:pPr>
        <w:spacing w:before="160" w:after="80"/>
        <w:rPr>
          <w:lang w:val="fr-FR"/>
        </w:rPr>
      </w:pPr>
      <w:r w:rsidRPr="00463A58">
        <w:rPr>
          <w:rFonts w:ascii="Times New Roman" w:hAnsi="Times New Roman"/>
          <w:b/>
          <w:color w:val="4A698A"/>
          <w:sz w:val="24"/>
          <w:lang w:val="fr-FR"/>
        </w:rPr>
        <w:t>3.3.1 Design expérimental</w:t>
      </w:r>
    </w:p>
    <w:p w14:paraId="263EF7E4"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L'étude préclinique NHP a été conduite sur 8 primates non-humains (singes </w:t>
      </w:r>
      <w:proofErr w:type="spellStart"/>
      <w:r w:rsidRPr="00463A58">
        <w:rPr>
          <w:rFonts w:ascii="Times New Roman" w:hAnsi="Times New Roman"/>
          <w:sz w:val="24"/>
          <w:lang w:val="fr-FR"/>
        </w:rPr>
        <w:t>cynomolgus</w:t>
      </w:r>
      <w:proofErr w:type="spellEnd"/>
      <w:r w:rsidRPr="00463A58">
        <w:rPr>
          <w:rFonts w:ascii="Times New Roman" w:hAnsi="Times New Roman"/>
          <w:sz w:val="24"/>
          <w:lang w:val="fr-FR"/>
        </w:rPr>
        <w:t>), répartis en 4 groupes de 2 animaux recevant le composé en développement interne par voie intraveineuse à 4 niveaux de dose croissants (dénommés D1, D2, D3, D4). Des prélèvements sanguins répétés ont été réalisés pour le dosage plasmatique (PK) et l'hémogramme complet (PD) selon un calendrier prédéfini sur plusieurs semaines post-administration.</w:t>
      </w:r>
    </w:p>
    <w:p w14:paraId="58B8B22E" w14:textId="77777777" w:rsidR="006573EB" w:rsidRPr="00463A58" w:rsidRDefault="00000000">
      <w:pPr>
        <w:spacing w:before="160" w:after="80"/>
        <w:rPr>
          <w:lang w:val="fr-FR"/>
        </w:rPr>
      </w:pPr>
      <w:r w:rsidRPr="00463A58">
        <w:rPr>
          <w:rFonts w:ascii="Times New Roman" w:hAnsi="Times New Roman"/>
          <w:b/>
          <w:color w:val="4A698A"/>
          <w:sz w:val="24"/>
          <w:lang w:val="fr-FR"/>
        </w:rPr>
        <w:t>3.3.2 Analyse pharmacocinétique NHP</w:t>
      </w:r>
    </w:p>
    <w:p w14:paraId="40986C12" w14:textId="77777777" w:rsidR="006573EB" w:rsidRPr="00463A58" w:rsidRDefault="00000000">
      <w:pPr>
        <w:spacing w:before="160" w:after="80"/>
        <w:rPr>
          <w:lang w:val="fr-FR"/>
        </w:rPr>
      </w:pPr>
      <w:r w:rsidRPr="00463A58">
        <w:rPr>
          <w:rFonts w:ascii="Times New Roman" w:hAnsi="Times New Roman"/>
          <w:b/>
          <w:color w:val="4A698A"/>
          <w:sz w:val="24"/>
          <w:lang w:val="fr-FR"/>
        </w:rPr>
        <w:t>Analyse non-compartimentale</w:t>
      </w:r>
    </w:p>
    <w:p w14:paraId="3276D4D1" w14:textId="77777777" w:rsidR="006573EB" w:rsidRPr="00463A58" w:rsidRDefault="00000000">
      <w:pPr>
        <w:spacing w:after="120"/>
        <w:ind w:firstLine="567"/>
        <w:jc w:val="both"/>
        <w:rPr>
          <w:lang w:val="fr-FR"/>
        </w:rPr>
      </w:pPr>
      <w:r w:rsidRPr="00463A58">
        <w:rPr>
          <w:rFonts w:ascii="Times New Roman" w:hAnsi="Times New Roman"/>
          <w:sz w:val="24"/>
          <w:lang w:val="fr-FR"/>
        </w:rPr>
        <w:t>Une analyse non-compartimentale a d'abord été réalisée sur chaque profil de concentration individuel. Les paramètres NCA moyens (±SD) par groupe de dose sont présentés dans le tableau suivant (valeurs anonymisées) :</w:t>
      </w:r>
    </w:p>
    <w:p w14:paraId="4765B99C" w14:textId="77777777" w:rsidR="006573EB" w:rsidRPr="00463A58" w:rsidRDefault="00000000">
      <w:pPr>
        <w:spacing w:after="120"/>
        <w:ind w:firstLine="567"/>
        <w:jc w:val="both"/>
        <w:rPr>
          <w:lang w:val="fr-FR"/>
        </w:rPr>
      </w:pPr>
      <w:r w:rsidRPr="00463A58">
        <w:rPr>
          <w:rFonts w:ascii="Times New Roman" w:hAnsi="Times New Roman"/>
          <w:sz w:val="24"/>
          <w:lang w:val="fr-FR"/>
        </w:rPr>
        <w:t>La linéarité de la PK a été vérifiée : les valeurs de CL normalisée à la dose sont homogènes entre les 4 groupes, indiquant une pharmacocinétique dose-linéaire sur la plage étudiée. La demi-vie terminale est cohérente entre individus (CV ≈ 15%), suggérant une faible variabilité inter-individuelle du processus d'élimination.</w:t>
      </w:r>
    </w:p>
    <w:p w14:paraId="248E6DDD" w14:textId="77777777" w:rsidR="006573EB" w:rsidRPr="00463A58" w:rsidRDefault="00000000">
      <w:pPr>
        <w:spacing w:before="160" w:after="80"/>
        <w:rPr>
          <w:lang w:val="fr-FR"/>
        </w:rPr>
      </w:pPr>
      <w:r w:rsidRPr="00463A58">
        <w:rPr>
          <w:rFonts w:ascii="Times New Roman" w:hAnsi="Times New Roman"/>
          <w:b/>
          <w:color w:val="4A698A"/>
          <w:sz w:val="24"/>
          <w:lang w:val="fr-FR"/>
        </w:rPr>
        <w:t>Modélisation PK 2-compartiments individuelle</w:t>
      </w:r>
    </w:p>
    <w:p w14:paraId="0719891C" w14:textId="77777777" w:rsidR="006573EB" w:rsidRDefault="00000000">
      <w:pPr>
        <w:spacing w:after="120"/>
        <w:ind w:firstLine="567"/>
        <w:jc w:val="both"/>
      </w:pPr>
      <w:r w:rsidRPr="00463A58">
        <w:rPr>
          <w:rFonts w:ascii="Times New Roman" w:hAnsi="Times New Roman"/>
          <w:sz w:val="24"/>
          <w:lang w:val="fr-FR"/>
        </w:rPr>
        <w:t xml:space="preserve">Un modèle PK à 2 compartiments a été ajusté individuellement pour chaque animal via optimisation </w:t>
      </w:r>
      <w:proofErr w:type="spellStart"/>
      <w:r w:rsidRPr="00463A58">
        <w:rPr>
          <w:rFonts w:ascii="Times New Roman" w:hAnsi="Times New Roman"/>
          <w:sz w:val="24"/>
          <w:lang w:val="fr-FR"/>
        </w:rPr>
        <w:t>Nelder</w:t>
      </w:r>
      <w:proofErr w:type="spellEnd"/>
      <w:r w:rsidRPr="00463A58">
        <w:rPr>
          <w:rFonts w:ascii="Times New Roman" w:hAnsi="Times New Roman"/>
          <w:sz w:val="24"/>
          <w:lang w:val="fr-FR"/>
        </w:rPr>
        <w:t xml:space="preserve">-Mead sous rxode2. </w:t>
      </w:r>
      <w:r>
        <w:rPr>
          <w:rFonts w:ascii="Times New Roman" w:hAnsi="Times New Roman"/>
          <w:sz w:val="24"/>
        </w:rPr>
        <w:t xml:space="preserve">Les </w:t>
      </w:r>
      <w:proofErr w:type="spellStart"/>
      <w:r>
        <w:rPr>
          <w:rFonts w:ascii="Times New Roman" w:hAnsi="Times New Roman"/>
          <w:sz w:val="24"/>
        </w:rPr>
        <w:t>paramètres</w:t>
      </w:r>
      <w:proofErr w:type="spellEnd"/>
      <w:r>
        <w:rPr>
          <w:rFonts w:ascii="Times New Roman" w:hAnsi="Times New Roman"/>
          <w:sz w:val="24"/>
        </w:rPr>
        <w:t xml:space="preserve"> moyens </w:t>
      </w:r>
      <w:proofErr w:type="spellStart"/>
      <w:r>
        <w:rPr>
          <w:rFonts w:ascii="Times New Roman" w:hAnsi="Times New Roman"/>
          <w:sz w:val="24"/>
        </w:rPr>
        <w:t>estimés</w:t>
      </w:r>
      <w:proofErr w:type="spellEnd"/>
      <w:r>
        <w:rPr>
          <w:rFonts w:ascii="Times New Roman" w:hAnsi="Times New Roman"/>
          <w:sz w:val="24"/>
        </w:rPr>
        <w:t xml:space="preserve"> sont :</w:t>
      </w:r>
    </w:p>
    <w:tbl>
      <w:tblPr>
        <w:tblStyle w:val="Grilledutableau"/>
        <w:tblW w:w="0" w:type="auto"/>
        <w:tblLook w:val="04A0" w:firstRow="1" w:lastRow="0" w:firstColumn="1" w:lastColumn="0" w:noHBand="0" w:noVBand="1"/>
      </w:tblPr>
      <w:tblGrid>
        <w:gridCol w:w="1984"/>
        <w:gridCol w:w="1701"/>
        <w:gridCol w:w="1417"/>
        <w:gridCol w:w="3969"/>
      </w:tblGrid>
      <w:tr w:rsidR="006573EB" w14:paraId="1429AC6D" w14:textId="77777777">
        <w:tc>
          <w:tcPr>
            <w:tcW w:w="1984" w:type="dxa"/>
            <w:shd w:val="clear" w:color="auto" w:fill="2C3E50"/>
          </w:tcPr>
          <w:p w14:paraId="79ADB822" w14:textId="77777777" w:rsidR="006573EB" w:rsidRDefault="00000000">
            <w:pPr>
              <w:jc w:val="center"/>
            </w:pPr>
            <w:r>
              <w:rPr>
                <w:rFonts w:ascii="Times New Roman" w:hAnsi="Times New Roman"/>
                <w:b/>
                <w:color w:val="FFFFFF"/>
                <w:sz w:val="20"/>
              </w:rPr>
              <w:t>Paramètre</w:t>
            </w:r>
          </w:p>
        </w:tc>
        <w:tc>
          <w:tcPr>
            <w:tcW w:w="1701" w:type="dxa"/>
            <w:shd w:val="clear" w:color="auto" w:fill="2C3E50"/>
          </w:tcPr>
          <w:p w14:paraId="187DDCB3" w14:textId="77777777" w:rsidR="006573EB" w:rsidRDefault="00000000">
            <w:pPr>
              <w:jc w:val="center"/>
            </w:pPr>
            <w:r>
              <w:rPr>
                <w:rFonts w:ascii="Times New Roman" w:hAnsi="Times New Roman"/>
                <w:b/>
                <w:color w:val="FFFFFF"/>
                <w:sz w:val="20"/>
              </w:rPr>
              <w:t>Moyenne (n=8)</w:t>
            </w:r>
          </w:p>
        </w:tc>
        <w:tc>
          <w:tcPr>
            <w:tcW w:w="1417" w:type="dxa"/>
            <w:shd w:val="clear" w:color="auto" w:fill="2C3E50"/>
          </w:tcPr>
          <w:p w14:paraId="2F888BAE" w14:textId="77777777" w:rsidR="006573EB" w:rsidRDefault="00000000">
            <w:pPr>
              <w:jc w:val="center"/>
            </w:pPr>
            <w:r>
              <w:rPr>
                <w:rFonts w:ascii="Times New Roman" w:hAnsi="Times New Roman"/>
                <w:b/>
                <w:color w:val="FFFFFF"/>
                <w:sz w:val="20"/>
              </w:rPr>
              <w:t>CV (%)</w:t>
            </w:r>
          </w:p>
        </w:tc>
        <w:tc>
          <w:tcPr>
            <w:tcW w:w="3969" w:type="dxa"/>
            <w:shd w:val="clear" w:color="auto" w:fill="2C3E50"/>
          </w:tcPr>
          <w:p w14:paraId="24636515" w14:textId="77777777" w:rsidR="006573EB" w:rsidRDefault="00000000">
            <w:pPr>
              <w:jc w:val="center"/>
            </w:pPr>
            <w:r>
              <w:rPr>
                <w:rFonts w:ascii="Times New Roman" w:hAnsi="Times New Roman"/>
                <w:b/>
                <w:color w:val="FFFFFF"/>
                <w:sz w:val="20"/>
              </w:rPr>
              <w:t>Interprétation</w:t>
            </w:r>
          </w:p>
        </w:tc>
      </w:tr>
      <w:tr w:rsidR="006573EB" w14:paraId="498A5726" w14:textId="77777777">
        <w:tc>
          <w:tcPr>
            <w:tcW w:w="1984" w:type="dxa"/>
            <w:shd w:val="clear" w:color="auto" w:fill="F2F2F2"/>
          </w:tcPr>
          <w:p w14:paraId="1DC88440" w14:textId="77777777" w:rsidR="006573EB" w:rsidRDefault="00000000">
            <w:pPr>
              <w:jc w:val="center"/>
            </w:pPr>
            <w:r>
              <w:rPr>
                <w:rFonts w:ascii="Times New Roman" w:hAnsi="Times New Roman"/>
                <w:sz w:val="20"/>
              </w:rPr>
              <w:t>CL (mL/h/kg)</w:t>
            </w:r>
          </w:p>
        </w:tc>
        <w:tc>
          <w:tcPr>
            <w:tcW w:w="1701" w:type="dxa"/>
            <w:shd w:val="clear" w:color="auto" w:fill="F2F2F2"/>
          </w:tcPr>
          <w:p w14:paraId="30865CFF" w14:textId="77777777" w:rsidR="006573EB" w:rsidRDefault="00000000">
            <w:pPr>
              <w:jc w:val="center"/>
            </w:pPr>
            <w:r>
              <w:rPr>
                <w:rFonts w:ascii="Times New Roman" w:hAnsi="Times New Roman"/>
                <w:sz w:val="20"/>
              </w:rPr>
              <w:t>1,83</w:t>
            </w:r>
          </w:p>
        </w:tc>
        <w:tc>
          <w:tcPr>
            <w:tcW w:w="1417" w:type="dxa"/>
            <w:shd w:val="clear" w:color="auto" w:fill="F2F2F2"/>
          </w:tcPr>
          <w:p w14:paraId="2DAA82FF" w14:textId="77777777" w:rsidR="006573EB" w:rsidRDefault="00000000">
            <w:pPr>
              <w:jc w:val="center"/>
            </w:pPr>
            <w:r>
              <w:rPr>
                <w:rFonts w:ascii="Times New Roman" w:hAnsi="Times New Roman"/>
                <w:sz w:val="20"/>
              </w:rPr>
              <w:t>17</w:t>
            </w:r>
          </w:p>
        </w:tc>
        <w:tc>
          <w:tcPr>
            <w:tcW w:w="3969" w:type="dxa"/>
            <w:shd w:val="clear" w:color="auto" w:fill="F2F2F2"/>
          </w:tcPr>
          <w:p w14:paraId="01703ABF" w14:textId="77777777" w:rsidR="006573EB" w:rsidRDefault="00000000">
            <w:pPr>
              <w:jc w:val="center"/>
            </w:pPr>
            <w:r>
              <w:rPr>
                <w:rFonts w:ascii="Times New Roman" w:hAnsi="Times New Roman"/>
                <w:sz w:val="20"/>
              </w:rPr>
              <w:t>Clairance d'élimination</w:t>
            </w:r>
          </w:p>
        </w:tc>
      </w:tr>
      <w:tr w:rsidR="006573EB" w14:paraId="774B7C7C" w14:textId="77777777">
        <w:tc>
          <w:tcPr>
            <w:tcW w:w="1984" w:type="dxa"/>
            <w:shd w:val="clear" w:color="auto" w:fill="FFFFFF"/>
          </w:tcPr>
          <w:p w14:paraId="5B3E3BA0" w14:textId="77777777" w:rsidR="006573EB" w:rsidRDefault="00000000">
            <w:pPr>
              <w:jc w:val="center"/>
            </w:pPr>
            <w:r>
              <w:rPr>
                <w:rFonts w:ascii="Times New Roman" w:hAnsi="Times New Roman"/>
                <w:sz w:val="20"/>
              </w:rPr>
              <w:t>V1 (mL/kg)</w:t>
            </w:r>
          </w:p>
        </w:tc>
        <w:tc>
          <w:tcPr>
            <w:tcW w:w="1701" w:type="dxa"/>
            <w:shd w:val="clear" w:color="auto" w:fill="FFFFFF"/>
          </w:tcPr>
          <w:p w14:paraId="7D8240DD" w14:textId="77777777" w:rsidR="006573EB" w:rsidRDefault="00000000">
            <w:pPr>
              <w:jc w:val="center"/>
            </w:pPr>
            <w:r>
              <w:rPr>
                <w:rFonts w:ascii="Times New Roman" w:hAnsi="Times New Roman"/>
                <w:sz w:val="20"/>
              </w:rPr>
              <w:t>54,2</w:t>
            </w:r>
          </w:p>
        </w:tc>
        <w:tc>
          <w:tcPr>
            <w:tcW w:w="1417" w:type="dxa"/>
            <w:shd w:val="clear" w:color="auto" w:fill="FFFFFF"/>
          </w:tcPr>
          <w:p w14:paraId="08FF5307" w14:textId="77777777" w:rsidR="006573EB" w:rsidRDefault="00000000">
            <w:pPr>
              <w:jc w:val="center"/>
            </w:pPr>
            <w:r>
              <w:rPr>
                <w:rFonts w:ascii="Times New Roman" w:hAnsi="Times New Roman"/>
                <w:sz w:val="20"/>
              </w:rPr>
              <w:t>12</w:t>
            </w:r>
          </w:p>
        </w:tc>
        <w:tc>
          <w:tcPr>
            <w:tcW w:w="3969" w:type="dxa"/>
            <w:shd w:val="clear" w:color="auto" w:fill="FFFFFF"/>
          </w:tcPr>
          <w:p w14:paraId="4620E705" w14:textId="77777777" w:rsidR="006573EB" w:rsidRDefault="00000000">
            <w:pPr>
              <w:jc w:val="center"/>
            </w:pPr>
            <w:r>
              <w:rPr>
                <w:rFonts w:ascii="Times New Roman" w:hAnsi="Times New Roman"/>
                <w:sz w:val="20"/>
              </w:rPr>
              <w:t>Volume central (distribution rapide)</w:t>
            </w:r>
          </w:p>
        </w:tc>
      </w:tr>
      <w:tr w:rsidR="006573EB" w14:paraId="45A2F803" w14:textId="77777777">
        <w:tc>
          <w:tcPr>
            <w:tcW w:w="1984" w:type="dxa"/>
            <w:shd w:val="clear" w:color="auto" w:fill="F2F2F2"/>
          </w:tcPr>
          <w:p w14:paraId="25F3A0CD" w14:textId="77777777" w:rsidR="006573EB" w:rsidRDefault="00000000">
            <w:pPr>
              <w:jc w:val="center"/>
            </w:pPr>
            <w:r>
              <w:rPr>
                <w:rFonts w:ascii="Times New Roman" w:hAnsi="Times New Roman"/>
                <w:sz w:val="20"/>
              </w:rPr>
              <w:t>Q (mL/h/kg)</w:t>
            </w:r>
          </w:p>
        </w:tc>
        <w:tc>
          <w:tcPr>
            <w:tcW w:w="1701" w:type="dxa"/>
            <w:shd w:val="clear" w:color="auto" w:fill="F2F2F2"/>
          </w:tcPr>
          <w:p w14:paraId="0E6CA6C7" w14:textId="77777777" w:rsidR="006573EB" w:rsidRDefault="00000000">
            <w:pPr>
              <w:jc w:val="center"/>
            </w:pPr>
            <w:r>
              <w:rPr>
                <w:rFonts w:ascii="Times New Roman" w:hAnsi="Times New Roman"/>
                <w:sz w:val="20"/>
              </w:rPr>
              <w:t>1,12</w:t>
            </w:r>
          </w:p>
        </w:tc>
        <w:tc>
          <w:tcPr>
            <w:tcW w:w="1417" w:type="dxa"/>
            <w:shd w:val="clear" w:color="auto" w:fill="F2F2F2"/>
          </w:tcPr>
          <w:p w14:paraId="7946CCA6" w14:textId="77777777" w:rsidR="006573EB" w:rsidRDefault="00000000">
            <w:pPr>
              <w:jc w:val="center"/>
            </w:pPr>
            <w:r>
              <w:rPr>
                <w:rFonts w:ascii="Times New Roman" w:hAnsi="Times New Roman"/>
                <w:sz w:val="20"/>
              </w:rPr>
              <w:t>22</w:t>
            </w:r>
          </w:p>
        </w:tc>
        <w:tc>
          <w:tcPr>
            <w:tcW w:w="3969" w:type="dxa"/>
            <w:shd w:val="clear" w:color="auto" w:fill="F2F2F2"/>
          </w:tcPr>
          <w:p w14:paraId="2C25EA87" w14:textId="77777777" w:rsidR="006573EB" w:rsidRDefault="00000000">
            <w:pPr>
              <w:jc w:val="center"/>
            </w:pPr>
            <w:r>
              <w:rPr>
                <w:rFonts w:ascii="Times New Roman" w:hAnsi="Times New Roman"/>
                <w:sz w:val="20"/>
              </w:rPr>
              <w:t>Clairance intercompartimentale</w:t>
            </w:r>
          </w:p>
        </w:tc>
      </w:tr>
      <w:tr w:rsidR="006573EB" w14:paraId="052E6EC8" w14:textId="77777777">
        <w:tc>
          <w:tcPr>
            <w:tcW w:w="1984" w:type="dxa"/>
            <w:shd w:val="clear" w:color="auto" w:fill="FFFFFF"/>
          </w:tcPr>
          <w:p w14:paraId="1811630F" w14:textId="77777777" w:rsidR="006573EB" w:rsidRDefault="00000000">
            <w:pPr>
              <w:jc w:val="center"/>
            </w:pPr>
            <w:r>
              <w:rPr>
                <w:rFonts w:ascii="Times New Roman" w:hAnsi="Times New Roman"/>
                <w:sz w:val="20"/>
              </w:rPr>
              <w:t>V2 (mL/kg)</w:t>
            </w:r>
          </w:p>
        </w:tc>
        <w:tc>
          <w:tcPr>
            <w:tcW w:w="1701" w:type="dxa"/>
            <w:shd w:val="clear" w:color="auto" w:fill="FFFFFF"/>
          </w:tcPr>
          <w:p w14:paraId="6E11F35D" w14:textId="77777777" w:rsidR="006573EB" w:rsidRDefault="00000000">
            <w:pPr>
              <w:jc w:val="center"/>
            </w:pPr>
            <w:r>
              <w:rPr>
                <w:rFonts w:ascii="Times New Roman" w:hAnsi="Times New Roman"/>
                <w:sz w:val="20"/>
              </w:rPr>
              <w:t>35,0</w:t>
            </w:r>
          </w:p>
        </w:tc>
        <w:tc>
          <w:tcPr>
            <w:tcW w:w="1417" w:type="dxa"/>
            <w:shd w:val="clear" w:color="auto" w:fill="FFFFFF"/>
          </w:tcPr>
          <w:p w14:paraId="41B22A7A" w14:textId="77777777" w:rsidR="006573EB" w:rsidRDefault="00000000">
            <w:pPr>
              <w:jc w:val="center"/>
            </w:pPr>
            <w:r>
              <w:rPr>
                <w:rFonts w:ascii="Times New Roman" w:hAnsi="Times New Roman"/>
                <w:sz w:val="20"/>
              </w:rPr>
              <w:t>19</w:t>
            </w:r>
          </w:p>
        </w:tc>
        <w:tc>
          <w:tcPr>
            <w:tcW w:w="3969" w:type="dxa"/>
            <w:shd w:val="clear" w:color="auto" w:fill="FFFFFF"/>
          </w:tcPr>
          <w:p w14:paraId="6B144F2D" w14:textId="77777777" w:rsidR="006573EB" w:rsidRDefault="00000000">
            <w:pPr>
              <w:jc w:val="center"/>
            </w:pPr>
            <w:r>
              <w:rPr>
                <w:rFonts w:ascii="Times New Roman" w:hAnsi="Times New Roman"/>
                <w:sz w:val="20"/>
              </w:rPr>
              <w:t>Volume périphérique</w:t>
            </w:r>
          </w:p>
        </w:tc>
      </w:tr>
      <w:tr w:rsidR="006573EB" w14:paraId="560EA3BD" w14:textId="77777777">
        <w:tc>
          <w:tcPr>
            <w:tcW w:w="1984" w:type="dxa"/>
            <w:shd w:val="clear" w:color="auto" w:fill="F2F2F2"/>
          </w:tcPr>
          <w:p w14:paraId="615CA4D4" w14:textId="77777777" w:rsidR="006573EB" w:rsidRDefault="00000000">
            <w:pPr>
              <w:jc w:val="center"/>
            </w:pPr>
            <w:r>
              <w:rPr>
                <w:rFonts w:ascii="Times New Roman" w:hAnsi="Times New Roman"/>
                <w:sz w:val="20"/>
              </w:rPr>
              <w:t>t½β (h)</w:t>
            </w:r>
          </w:p>
        </w:tc>
        <w:tc>
          <w:tcPr>
            <w:tcW w:w="1701" w:type="dxa"/>
            <w:shd w:val="clear" w:color="auto" w:fill="F2F2F2"/>
          </w:tcPr>
          <w:p w14:paraId="3A2C3F5E" w14:textId="77777777" w:rsidR="006573EB" w:rsidRDefault="00000000">
            <w:pPr>
              <w:jc w:val="center"/>
            </w:pPr>
            <w:r>
              <w:rPr>
                <w:rFonts w:ascii="Times New Roman" w:hAnsi="Times New Roman"/>
                <w:sz w:val="20"/>
              </w:rPr>
              <w:t>54,7</w:t>
            </w:r>
          </w:p>
        </w:tc>
        <w:tc>
          <w:tcPr>
            <w:tcW w:w="1417" w:type="dxa"/>
            <w:shd w:val="clear" w:color="auto" w:fill="F2F2F2"/>
          </w:tcPr>
          <w:p w14:paraId="4E87D7A2" w14:textId="77777777" w:rsidR="006573EB" w:rsidRDefault="00000000">
            <w:pPr>
              <w:jc w:val="center"/>
            </w:pPr>
            <w:r>
              <w:rPr>
                <w:rFonts w:ascii="Times New Roman" w:hAnsi="Times New Roman"/>
                <w:sz w:val="20"/>
              </w:rPr>
              <w:t>15</w:t>
            </w:r>
          </w:p>
        </w:tc>
        <w:tc>
          <w:tcPr>
            <w:tcW w:w="3969" w:type="dxa"/>
            <w:shd w:val="clear" w:color="auto" w:fill="F2F2F2"/>
          </w:tcPr>
          <w:p w14:paraId="4C683D90" w14:textId="77777777" w:rsidR="006573EB" w:rsidRDefault="00000000">
            <w:pPr>
              <w:jc w:val="center"/>
            </w:pPr>
            <w:r>
              <w:rPr>
                <w:rFonts w:ascii="Times New Roman" w:hAnsi="Times New Roman"/>
                <w:sz w:val="20"/>
              </w:rPr>
              <w:t>Demi-vie terminale</w:t>
            </w:r>
          </w:p>
        </w:tc>
      </w:tr>
    </w:tbl>
    <w:p w14:paraId="0AAC6F1E" w14:textId="77777777" w:rsidR="006573EB" w:rsidRPr="00463A58" w:rsidRDefault="00000000">
      <w:pPr>
        <w:spacing w:after="120"/>
        <w:ind w:firstLine="567"/>
        <w:jc w:val="both"/>
        <w:rPr>
          <w:lang w:val="fr-FR"/>
        </w:rPr>
      </w:pPr>
      <w:r w:rsidRPr="00463A58">
        <w:rPr>
          <w:rFonts w:ascii="Times New Roman" w:hAnsi="Times New Roman"/>
          <w:sz w:val="24"/>
          <w:lang w:val="fr-FR"/>
        </w:rPr>
        <w:t>Les profils de concentration simulés par le modèle à 2 compartiments sont en excellent accord avec les observations pour tous les animaux (résidus relatifs médians &lt; 12%). Le modèle reproduit notamment la phase distributive rapide initiale (t½</w:t>
      </w:r>
      <w:r>
        <w:rPr>
          <w:rFonts w:ascii="Times New Roman" w:hAnsi="Times New Roman"/>
          <w:sz w:val="24"/>
        </w:rPr>
        <w:t>α</w:t>
      </w:r>
      <w:r w:rsidRPr="00463A58">
        <w:rPr>
          <w:rFonts w:ascii="Times New Roman" w:hAnsi="Times New Roman"/>
          <w:sz w:val="24"/>
          <w:lang w:val="fr-FR"/>
        </w:rPr>
        <w:t xml:space="preserve"> ≈ 2–4 h) et la phase d'élimination terminale prolongée, caractéristiques des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à longue demi-vie.</w:t>
      </w:r>
    </w:p>
    <w:p w14:paraId="142F8321" w14:textId="0488ADDD" w:rsidR="006573EB" w:rsidRPr="00463A58" w:rsidRDefault="00636771">
      <w:pPr>
        <w:jc w:val="center"/>
        <w:rPr>
          <w:lang w:val="fr-FR"/>
        </w:rPr>
      </w:pPr>
      <w:r>
        <w:rPr>
          <w:noProof/>
          <w:lang w:val="fr-FR"/>
        </w:rPr>
        <w:lastRenderedPageBreak/>
        <w:drawing>
          <wp:inline distT="0" distB="0" distL="0" distR="0" wp14:anchorId="5FAC473F" wp14:editId="691B1EC3">
            <wp:extent cx="3426969" cy="1995805"/>
            <wp:effectExtent l="0" t="0" r="2540" b="4445"/>
            <wp:docPr id="11292078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819"/>
                    <a:stretch>
                      <a:fillRect/>
                    </a:stretch>
                  </pic:blipFill>
                  <pic:spPr bwMode="auto">
                    <a:xfrm>
                      <a:off x="0" y="0"/>
                      <a:ext cx="3451273" cy="2009959"/>
                    </a:xfrm>
                    <a:prstGeom prst="rect">
                      <a:avLst/>
                    </a:prstGeom>
                    <a:noFill/>
                    <a:ln>
                      <a:noFill/>
                    </a:ln>
                    <a:extLst>
                      <a:ext uri="{53640926-AAD7-44D8-BBD7-CCE9431645EC}">
                        <a14:shadowObscured xmlns:a14="http://schemas.microsoft.com/office/drawing/2010/main"/>
                      </a:ext>
                    </a:extLst>
                  </pic:spPr>
                </pic:pic>
              </a:graphicData>
            </a:graphic>
          </wp:inline>
        </w:drawing>
      </w:r>
    </w:p>
    <w:p w14:paraId="7DC6496C" w14:textId="77777777" w:rsidR="006573EB" w:rsidRPr="00463A58" w:rsidRDefault="00000000">
      <w:pPr>
        <w:jc w:val="center"/>
        <w:rPr>
          <w:lang w:val="fr-FR"/>
        </w:rPr>
      </w:pPr>
      <w:r w:rsidRPr="00463A58">
        <w:rPr>
          <w:rFonts w:ascii="Times New Roman" w:hAnsi="Times New Roman"/>
          <w:i/>
          <w:sz w:val="20"/>
          <w:lang w:val="fr-FR"/>
        </w:rPr>
        <w:t>Figure 2. Profils PK individuels NHP — modèle 2-compartiments (lignes) vs données observées (points). 8 animaux, 4 niveaux de dose.</w:t>
      </w:r>
    </w:p>
    <w:p w14:paraId="3AFBBC88" w14:textId="77777777" w:rsidR="006573EB" w:rsidRPr="00463A58" w:rsidRDefault="006573EB">
      <w:pPr>
        <w:rPr>
          <w:lang w:val="fr-FR"/>
        </w:rPr>
      </w:pPr>
    </w:p>
    <w:p w14:paraId="667C7077" w14:textId="77777777" w:rsidR="006573EB" w:rsidRPr="00463A58" w:rsidRDefault="00000000">
      <w:pPr>
        <w:spacing w:before="160" w:after="80"/>
        <w:rPr>
          <w:lang w:val="fr-FR"/>
        </w:rPr>
      </w:pPr>
      <w:r w:rsidRPr="00463A58">
        <w:rPr>
          <w:rFonts w:ascii="Times New Roman" w:hAnsi="Times New Roman"/>
          <w:b/>
          <w:color w:val="4A698A"/>
          <w:sz w:val="24"/>
          <w:lang w:val="fr-FR"/>
        </w:rPr>
        <w:t>3.3.3 Calibration pharmacodynamique NHP</w:t>
      </w:r>
    </w:p>
    <w:p w14:paraId="4EF374DF" w14:textId="77777777" w:rsidR="006573EB" w:rsidRPr="00463A58" w:rsidRDefault="00000000">
      <w:pPr>
        <w:spacing w:after="120"/>
        <w:ind w:firstLine="567"/>
        <w:jc w:val="both"/>
        <w:rPr>
          <w:lang w:val="fr-FR"/>
        </w:rPr>
      </w:pPr>
      <w:r w:rsidRPr="00463A58">
        <w:rPr>
          <w:rFonts w:ascii="Times New Roman" w:hAnsi="Times New Roman"/>
          <w:sz w:val="24"/>
          <w:lang w:val="fr-FR"/>
        </w:rPr>
        <w:t>Les paramètres PD (</w:t>
      </w:r>
      <w:proofErr w:type="spellStart"/>
      <w:r w:rsidRPr="00463A58">
        <w:rPr>
          <w:rFonts w:ascii="Times New Roman" w:hAnsi="Times New Roman"/>
          <w:sz w:val="24"/>
          <w:lang w:val="fr-FR"/>
        </w:rPr>
        <w:t>Slope_MPP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Slope_CMP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Slope_MEP</w:t>
      </w:r>
      <w:proofErr w:type="spellEnd"/>
      <w:r w:rsidRPr="00463A58">
        <w:rPr>
          <w:rFonts w:ascii="Times New Roman" w:hAnsi="Times New Roman"/>
          <w:sz w:val="24"/>
          <w:lang w:val="fr-FR"/>
        </w:rPr>
        <w:t>) ont été calibrés pour chaque animal en utilisant les concentrations prédites par le modèle PK individuel comme entrée du modèle PD. Les paramètres biologiques de base NHP ont été dérivés des valeurs hématologiques pré-dose de chaque animal.</w:t>
      </w:r>
    </w:p>
    <w:p w14:paraId="6CD78193" w14:textId="77777777" w:rsidR="006573EB" w:rsidRPr="00463A58" w:rsidRDefault="00000000">
      <w:pPr>
        <w:spacing w:after="120"/>
        <w:ind w:firstLine="567"/>
        <w:jc w:val="both"/>
        <w:rPr>
          <w:lang w:val="fr-FR"/>
        </w:rPr>
      </w:pPr>
      <w:r w:rsidRPr="00463A58">
        <w:rPr>
          <w:rFonts w:ascii="Times New Roman" w:hAnsi="Times New Roman"/>
          <w:sz w:val="24"/>
          <w:lang w:val="fr-FR"/>
        </w:rPr>
        <w:t>Le modèle PD reproduit les principales caractéristiques de la réponse hématologique observée :</w:t>
      </w:r>
    </w:p>
    <w:p w14:paraId="2292DA31" w14:textId="77777777" w:rsidR="006573EB" w:rsidRPr="00463A58" w:rsidRDefault="00000000">
      <w:pPr>
        <w:spacing w:after="60"/>
        <w:ind w:left="283" w:hanging="227"/>
        <w:rPr>
          <w:lang w:val="fr-FR"/>
        </w:rPr>
      </w:pPr>
      <w:r w:rsidRPr="00463A58">
        <w:rPr>
          <w:rFonts w:ascii="Times New Roman" w:hAnsi="Times New Roman"/>
          <w:lang w:val="fr-FR"/>
        </w:rPr>
        <w:t>• Neutropénie : nadir prédit concordant avec les observations, avec rebond compensatoire reflétant la stimulation médullaire</w:t>
      </w:r>
    </w:p>
    <w:p w14:paraId="76C951F4" w14:textId="77777777" w:rsidR="006573EB" w:rsidRPr="00463A58" w:rsidRDefault="00000000">
      <w:pPr>
        <w:spacing w:after="60"/>
        <w:ind w:left="283" w:hanging="227"/>
        <w:rPr>
          <w:lang w:val="fr-FR"/>
        </w:rPr>
      </w:pPr>
      <w:r w:rsidRPr="00463A58">
        <w:rPr>
          <w:rFonts w:ascii="Times New Roman" w:hAnsi="Times New Roman"/>
          <w:lang w:val="fr-FR"/>
        </w:rPr>
        <w:t>• Thrombocytopénie : nadir tardif (décalage de ~1–2 semaines par rapport à la neutropénie), cohérent avec la durée de vie plus longue des plaquettes</w:t>
      </w:r>
    </w:p>
    <w:p w14:paraId="2459FAC6" w14:textId="77777777" w:rsidR="006573EB" w:rsidRPr="00463A58" w:rsidRDefault="00000000">
      <w:pPr>
        <w:spacing w:after="60"/>
        <w:ind w:left="283" w:hanging="227"/>
        <w:rPr>
          <w:lang w:val="fr-FR"/>
        </w:rPr>
      </w:pPr>
      <w:r w:rsidRPr="00463A58">
        <w:rPr>
          <w:rFonts w:ascii="Times New Roman" w:hAnsi="Times New Roman"/>
          <w:lang w:val="fr-FR"/>
        </w:rPr>
        <w:t>• Réticulocytes et RBC : cinétique de récupération lente, reflétant la durée de vie prolongée des érythrocytes (~120 jours chez le primate)</w:t>
      </w:r>
    </w:p>
    <w:p w14:paraId="2AF63E98" w14:textId="77777777" w:rsidR="006573EB" w:rsidRPr="00463A58" w:rsidRDefault="00000000">
      <w:pPr>
        <w:spacing w:after="60"/>
        <w:ind w:left="283" w:hanging="227"/>
        <w:rPr>
          <w:lang w:val="fr-FR"/>
        </w:rPr>
      </w:pPr>
      <w:r w:rsidRPr="00463A58">
        <w:rPr>
          <w:rFonts w:ascii="Times New Roman" w:hAnsi="Times New Roman"/>
          <w:lang w:val="fr-FR"/>
        </w:rPr>
        <w:t>• Dose-réponse : aggravation du nadir proportionnelle à l'augmentation de dose, validant la cohérence du modèle à travers les groupes de dose</w:t>
      </w:r>
    </w:p>
    <w:p w14:paraId="43CC1DB1" w14:textId="77777777" w:rsidR="006573EB" w:rsidRPr="00463A58" w:rsidRDefault="00000000">
      <w:pPr>
        <w:spacing w:before="160" w:after="80"/>
        <w:rPr>
          <w:lang w:val="fr-FR"/>
        </w:rPr>
      </w:pPr>
      <w:r w:rsidRPr="00463A58">
        <w:rPr>
          <w:rFonts w:ascii="Times New Roman" w:hAnsi="Times New Roman"/>
          <w:b/>
          <w:color w:val="4A698A"/>
          <w:sz w:val="24"/>
          <w:lang w:val="fr-FR"/>
        </w:rPr>
        <w:t>Décalage cinétique PK/PD</w:t>
      </w:r>
    </w:p>
    <w:p w14:paraId="089BEC4A" w14:textId="77777777" w:rsidR="006573EB" w:rsidRPr="00463A58" w:rsidRDefault="00000000">
      <w:pPr>
        <w:spacing w:after="120"/>
        <w:ind w:firstLine="567"/>
        <w:jc w:val="both"/>
        <w:rPr>
          <w:lang w:val="fr-FR"/>
        </w:rPr>
      </w:pPr>
      <w:r w:rsidRPr="00463A58">
        <w:rPr>
          <w:rFonts w:ascii="Times New Roman" w:hAnsi="Times New Roman"/>
          <w:sz w:val="24"/>
          <w:lang w:val="fr-FR"/>
        </w:rPr>
        <w:t>Une analyse de la relation temporelle entre le pic de concentration (Cmax) et le nadir hématologique met en évidence un décalage caractéristique de plusieurs jours à semaines, selon la lignée cellulaire considérée. Ce décalage est parfaitement reproduit par le modèle mécaniste, qui intègre explicitement les temps de transit entre compartiments progéniteurs et cellules matures.</w:t>
      </w:r>
    </w:p>
    <w:p w14:paraId="60C49651" w14:textId="77777777" w:rsidR="006573EB" w:rsidRDefault="00000000">
      <w:pPr>
        <w:spacing w:after="120"/>
        <w:ind w:firstLine="567"/>
        <w:jc w:val="both"/>
        <w:rPr>
          <w:rFonts w:ascii="Times New Roman" w:hAnsi="Times New Roman"/>
          <w:sz w:val="24"/>
          <w:lang w:val="fr-FR"/>
        </w:rPr>
      </w:pPr>
      <w:r>
        <w:rPr>
          <w:sz w:val="24"/>
        </w:rPr>
        <w:t>Ce décalage est reproduit par le modèle mécaniste, qui intègre les temps de transit entre compartiments progéniteurs et cellules matures circulantes.</w:t>
      </w:r>
    </w:p>
    <w:p w14:paraId="43772E22" w14:textId="5DF79E03" w:rsidR="00636771" w:rsidRPr="00463A58" w:rsidRDefault="00636771">
      <w:pPr>
        <w:spacing w:after="120"/>
        <w:ind w:firstLine="567"/>
        <w:jc w:val="both"/>
        <w:rPr>
          <w:lang w:val="fr-FR"/>
        </w:rPr>
      </w:pPr>
      <w:r>
        <w:rPr>
          <w:noProof/>
          <w:lang w:val="fr-FR"/>
        </w:rPr>
        <w:lastRenderedPageBreak/>
        <w:drawing>
          <wp:inline distT="0" distB="0" distL="0" distR="0" wp14:anchorId="6D89910B" wp14:editId="4D8CC3DB">
            <wp:extent cx="4875742" cy="2925445"/>
            <wp:effectExtent l="0" t="0" r="1270" b="8255"/>
            <wp:docPr id="5325114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5797" cy="2931478"/>
                    </a:xfrm>
                    <a:prstGeom prst="rect">
                      <a:avLst/>
                    </a:prstGeom>
                    <a:noFill/>
                  </pic:spPr>
                </pic:pic>
              </a:graphicData>
            </a:graphic>
          </wp:inline>
        </w:drawing>
      </w:r>
    </w:p>
    <w:p w14:paraId="328E11D2" w14:textId="77777777" w:rsidR="006573EB" w:rsidRPr="00463A58" w:rsidRDefault="00000000">
      <w:pPr>
        <w:jc w:val="center"/>
        <w:rPr>
          <w:lang w:val="fr-FR"/>
        </w:rPr>
      </w:pPr>
      <w:r w:rsidRPr="00463A58">
        <w:rPr>
          <w:rFonts w:ascii="Times New Roman" w:hAnsi="Times New Roman"/>
          <w:i/>
          <w:sz w:val="20"/>
          <w:lang w:val="fr-FR"/>
        </w:rPr>
        <w:t>Figure 3. Profils PD individuels NHP — modèle (lignes) vs données hématologiques observées (points). Neutrophiles, réticulocytes, RBC et plaquettes.</w:t>
      </w:r>
    </w:p>
    <w:p w14:paraId="0F4E76BD" w14:textId="77777777" w:rsidR="006573EB" w:rsidRPr="00463A58" w:rsidRDefault="006573EB">
      <w:pPr>
        <w:rPr>
          <w:lang w:val="fr-FR"/>
        </w:rPr>
      </w:pPr>
    </w:p>
    <w:p w14:paraId="502DF525" w14:textId="77777777" w:rsidR="006573EB" w:rsidRPr="00463A58" w:rsidRDefault="00000000">
      <w:pPr>
        <w:spacing w:before="240" w:after="80"/>
        <w:rPr>
          <w:lang w:val="fr-FR"/>
        </w:rPr>
      </w:pPr>
      <w:r w:rsidRPr="00463A58">
        <w:rPr>
          <w:rFonts w:ascii="Times New Roman" w:hAnsi="Times New Roman"/>
          <w:b/>
          <w:color w:val="34495E"/>
          <w:sz w:val="28"/>
          <w:lang w:val="fr-FR"/>
        </w:rPr>
        <w:t>3.4 Étape 4 — Traduction clinique : perspectives</w:t>
      </w:r>
    </w:p>
    <w:p w14:paraId="0E226708" w14:textId="77777777" w:rsidR="006573EB" w:rsidRPr="00463A58" w:rsidRDefault="00000000">
      <w:pPr>
        <w:spacing w:after="120"/>
        <w:ind w:firstLine="567"/>
        <w:jc w:val="both"/>
        <w:rPr>
          <w:lang w:val="fr-FR"/>
        </w:rPr>
      </w:pPr>
      <w:r w:rsidRPr="00463A58">
        <w:rPr>
          <w:rFonts w:ascii="Times New Roman" w:hAnsi="Times New Roman"/>
          <w:sz w:val="24"/>
          <w:lang w:val="fr-FR"/>
        </w:rPr>
        <w:t>Sur la base des paramètres PK/PD estimés chez le NHP, une transposition clinique préliminaire a été explorée. La stratégie de transposition s'appuie sur deux approches complémentaires, validées par l'exemple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w:t>
      </w:r>
    </w:p>
    <w:p w14:paraId="58D76889" w14:textId="77777777" w:rsidR="006573EB" w:rsidRPr="00463A58" w:rsidRDefault="00000000">
      <w:pPr>
        <w:spacing w:before="160" w:after="80"/>
        <w:rPr>
          <w:lang w:val="fr-FR"/>
        </w:rPr>
      </w:pPr>
      <w:r w:rsidRPr="00463A58">
        <w:rPr>
          <w:rFonts w:ascii="Times New Roman" w:hAnsi="Times New Roman"/>
          <w:b/>
          <w:color w:val="4A698A"/>
          <w:sz w:val="24"/>
          <w:lang w:val="fr-FR"/>
        </w:rPr>
        <w:t>3.4.1 Transposition PK NHP → humain</w:t>
      </w:r>
    </w:p>
    <w:p w14:paraId="5AD2264F"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La transposition des paramètres PK repose sur des lois d'allométrie inter-espèces, calibrées sur les données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pour lesquelles les paramètres NHP et humains sont tous deux disponibles :</w:t>
      </w:r>
    </w:p>
    <w:p w14:paraId="213A196A" w14:textId="59506ABA" w:rsidR="008425E2" w:rsidRPr="00463A58" w:rsidRDefault="008425E2" w:rsidP="008425E2">
      <w:pPr>
        <w:spacing w:before="120" w:after="120"/>
        <w:jc w:val="center"/>
        <w:rPr>
          <w:lang w:val="fr-FR"/>
        </w:rPr>
      </w:pPr>
      <w:bookmarkStart w:id="0" w:name="_Hlk229849314"/>
      <m:oMathPara>
        <m:oMath>
          <m:r>
            <w:rPr>
              <w:rFonts w:ascii="Cambria Math" w:hAnsi="Cambria Math"/>
              <w:lang w:val="fr-FR"/>
            </w:rPr>
            <m:t>C</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humain</m:t>
              </m:r>
            </m:sub>
          </m:sSub>
          <m:r>
            <w:rPr>
              <w:rFonts w:ascii="Cambria Math" w:hAnsi="Cambria Math"/>
              <w:lang w:val="fr-FR"/>
            </w:rPr>
            <m:t xml:space="preserve"> = C</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NHP</m:t>
              </m:r>
            </m:sub>
          </m:sSub>
          <m:r>
            <w:rPr>
              <w:rFonts w:ascii="Cambria Math" w:hAnsi="Cambria Math"/>
              <w:lang w:val="fr-FR"/>
            </w:rPr>
            <m:t xml:space="preserve"> × </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humain</m:t>
                          </m:r>
                        </m:sub>
                      </m:sSub>
                    </m:num>
                    <m:den>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NHP</m:t>
                          </m:r>
                        </m:sub>
                      </m:sSub>
                    </m:den>
                  </m:f>
                </m:e>
              </m:d>
            </m:e>
            <m:sup>
              <m:r>
                <w:rPr>
                  <w:rFonts w:ascii="Cambria Math" w:hAnsi="Cambria Math"/>
                  <w:lang w:val="fr-FR"/>
                </w:rPr>
                <m:t>0.75</m:t>
              </m:r>
            </m:sup>
          </m:sSup>
          <m:r>
            <w:rPr>
              <w:rFonts w:ascii="Cambria Math" w:hAnsi="Cambria Math"/>
              <w:lang w:val="fr-FR"/>
            </w:rPr>
            <m:t xml:space="preserve">    [allométrie standard]</m:t>
          </m:r>
        </m:oMath>
      </m:oMathPara>
    </w:p>
    <w:bookmarkEnd w:id="0"/>
    <w:p w14:paraId="5F13A6D0" w14:textId="6226549E" w:rsidR="008425E2" w:rsidRPr="00463A58" w:rsidRDefault="008425E2">
      <w:pPr>
        <w:spacing w:after="120"/>
        <w:ind w:firstLine="567"/>
        <w:jc w:val="both"/>
        <w:rPr>
          <w:lang w:val="fr-FR"/>
        </w:rPr>
      </w:pPr>
      <m:oMathPara>
        <m:oMath>
          <m:r>
            <w:rPr>
              <w:rFonts w:ascii="Cambria Math" w:hAnsi="Cambria Math"/>
              <w:lang w:val="fr-FR"/>
            </w:rPr>
            <m:t>V</m:t>
          </m:r>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humain</m:t>
              </m:r>
            </m:sub>
          </m:sSub>
          <m:r>
            <w:rPr>
              <w:rFonts w:ascii="Cambria Math" w:hAnsi="Cambria Math"/>
              <w:lang w:val="fr-FR"/>
            </w:rPr>
            <m:t xml:space="preserve"> = V</m:t>
          </m:r>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NHP</m:t>
              </m:r>
            </m:sub>
          </m:sSub>
          <m:r>
            <w:rPr>
              <w:rFonts w:ascii="Cambria Math" w:hAnsi="Cambria Math"/>
              <w:lang w:val="fr-FR"/>
            </w:rPr>
            <m:t xml:space="preserve"> × </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humain</m:t>
                          </m:r>
                        </m:sub>
                      </m:sSub>
                    </m:num>
                    <m:den>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NHP</m:t>
                          </m:r>
                        </m:sub>
                      </m:sSub>
                    </m:den>
                  </m:f>
                </m:e>
              </m:d>
            </m:e>
            <m:sup>
              <m:r>
                <w:rPr>
                  <w:rFonts w:ascii="Cambria Math" w:hAnsi="Cambria Math"/>
                  <w:lang w:val="fr-FR"/>
                </w:rPr>
                <m:t>1.00</m:t>
              </m:r>
            </m:sup>
          </m:sSup>
          <m:r>
            <w:rPr>
              <w:rFonts w:ascii="Cambria Math" w:hAnsi="Cambria Math"/>
              <w:lang w:val="fr-FR"/>
            </w:rPr>
            <m:t xml:space="preserve">    [proportionnel au poids]</m:t>
          </m:r>
        </m:oMath>
      </m:oMathPara>
    </w:p>
    <w:p w14:paraId="574022B9" w14:textId="77777777" w:rsidR="006573EB" w:rsidRPr="00463A58" w:rsidRDefault="00000000">
      <w:pPr>
        <w:spacing w:after="120"/>
        <w:ind w:firstLine="567"/>
        <w:jc w:val="both"/>
        <w:rPr>
          <w:lang w:val="fr-FR"/>
        </w:rPr>
      </w:pPr>
      <w:r w:rsidRPr="00463A58">
        <w:rPr>
          <w:rFonts w:ascii="Times New Roman" w:hAnsi="Times New Roman"/>
          <w:sz w:val="24"/>
          <w:lang w:val="fr-FR"/>
        </w:rPr>
        <w:t>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la comparaison des prédictions allométriques aux paramètres réels de la population humaine FDA confirme que cette approche donne une estimation raisonnable en première approximation (facteur d'erreur &lt; 2 sur CL).</w:t>
      </w:r>
    </w:p>
    <w:p w14:paraId="528106D2" w14:textId="77777777" w:rsidR="006573EB" w:rsidRPr="00463A58" w:rsidRDefault="00000000">
      <w:pPr>
        <w:spacing w:before="160" w:after="80"/>
        <w:rPr>
          <w:lang w:val="fr-FR"/>
        </w:rPr>
      </w:pPr>
      <w:r w:rsidRPr="00463A58">
        <w:rPr>
          <w:rFonts w:ascii="Times New Roman" w:hAnsi="Times New Roman"/>
          <w:b/>
          <w:color w:val="4A698A"/>
          <w:sz w:val="24"/>
          <w:lang w:val="fr-FR"/>
        </w:rPr>
        <w:t>3.4.2 Transposition PD et simulation préliminaire</w:t>
      </w:r>
    </w:p>
    <w:p w14:paraId="3AEF8A8B" w14:textId="77777777" w:rsidR="006573EB" w:rsidRPr="00463A58" w:rsidRDefault="00000000">
      <w:pPr>
        <w:spacing w:after="120"/>
        <w:ind w:firstLine="567"/>
        <w:jc w:val="both"/>
        <w:rPr>
          <w:lang w:val="fr-FR"/>
        </w:rPr>
      </w:pPr>
      <w:r w:rsidRPr="00463A58">
        <w:rPr>
          <w:rFonts w:ascii="Times New Roman" w:hAnsi="Times New Roman"/>
          <w:sz w:val="24"/>
          <w:lang w:val="fr-FR"/>
        </w:rPr>
        <w:t>La transposition des paramètres PD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est plus complexe, car la sensibilité des progéniteurs hématopoïétiques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peut varier entre espèces. Une approche </w:t>
      </w:r>
      <w:r w:rsidRPr="00463A58">
        <w:rPr>
          <w:rFonts w:ascii="Times New Roman" w:hAnsi="Times New Roman"/>
          <w:sz w:val="24"/>
          <w:lang w:val="fr-FR"/>
        </w:rPr>
        <w:lastRenderedPageBreak/>
        <w:t xml:space="preserve">conservatrice consiste à utiliser directement les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NHP comme estimation initiale, en attendant des données spécifiques d'espèce (ex. IC50 CFU sur cellules humaines).</w:t>
      </w:r>
    </w:p>
    <w:p w14:paraId="12A2D1B0" w14:textId="77777777" w:rsidR="006573EB" w:rsidRPr="00463A58" w:rsidRDefault="00000000">
      <w:pPr>
        <w:spacing w:after="120"/>
        <w:ind w:firstLine="567"/>
        <w:jc w:val="both"/>
        <w:rPr>
          <w:lang w:val="fr-FR"/>
        </w:rPr>
      </w:pPr>
      <w:r w:rsidRPr="00463A58">
        <w:rPr>
          <w:rFonts w:ascii="Times New Roman" w:hAnsi="Times New Roman"/>
          <w:sz w:val="24"/>
          <w:lang w:val="fr-FR"/>
        </w:rPr>
        <w:t>La simulation préliminaire de la réponse hématologique humaine avec les paramètres transposés indique un profil de toxicité attendu modéré, comparable à celui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aux doses thérapeutiques envisagées. Ces projections constituent une base pour la définition de la dose de départ en Premier-en-Homme (FIH), en cohérence avec le NOAEL identifié en NHP.</w:t>
      </w:r>
    </w:p>
    <w:p w14:paraId="0B530297" w14:textId="77777777" w:rsidR="006573EB" w:rsidRPr="00463A58" w:rsidRDefault="00000000">
      <w:pPr>
        <w:spacing w:before="160" w:after="80"/>
        <w:rPr>
          <w:lang w:val="fr-FR"/>
        </w:rPr>
      </w:pPr>
      <w:r w:rsidRPr="00463A58">
        <w:rPr>
          <w:rFonts w:ascii="Times New Roman" w:hAnsi="Times New Roman"/>
          <w:b/>
          <w:color w:val="4A698A"/>
          <w:sz w:val="24"/>
          <w:lang w:val="fr-FR"/>
        </w:rPr>
        <w:t>3.4.3 Mise en perspective avec le NOAEL NHP</w:t>
      </w:r>
    </w:p>
    <w:p w14:paraId="0A97106F"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NOAEL (No </w:t>
      </w:r>
      <w:proofErr w:type="spellStart"/>
      <w:r w:rsidRPr="00463A58">
        <w:rPr>
          <w:rFonts w:ascii="Times New Roman" w:hAnsi="Times New Roman"/>
          <w:sz w:val="24"/>
          <w:lang w:val="fr-FR"/>
        </w:rPr>
        <w:t>Observed</w:t>
      </w:r>
      <w:proofErr w:type="spellEnd"/>
      <w:r w:rsidRPr="00463A58">
        <w:rPr>
          <w:rFonts w:ascii="Times New Roman" w:hAnsi="Times New Roman"/>
          <w:sz w:val="24"/>
          <w:lang w:val="fr-FR"/>
        </w:rPr>
        <w:t xml:space="preserve"> Adverse </w:t>
      </w:r>
      <w:proofErr w:type="spellStart"/>
      <w:r w:rsidRPr="00463A58">
        <w:rPr>
          <w:rFonts w:ascii="Times New Roman" w:hAnsi="Times New Roman"/>
          <w:sz w:val="24"/>
          <w:lang w:val="fr-FR"/>
        </w:rPr>
        <w:t>Effect</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Level</w:t>
      </w:r>
      <w:proofErr w:type="spellEnd"/>
      <w:r w:rsidRPr="00463A58">
        <w:rPr>
          <w:rFonts w:ascii="Times New Roman" w:hAnsi="Times New Roman"/>
          <w:sz w:val="24"/>
          <w:lang w:val="fr-FR"/>
        </w:rPr>
        <w:t>) identifié dans l'étude NHP correspond à la dose à laquelle aucune cytopénie de grade ≥3 n'a été observée. La simulation PK/PD permet de quantifier la marge de sécurité entre le NOAEL et les doses humaines envisagées, en intégrant les différences pharmacocinétiques inter-espèces de manière cohérente.</w:t>
      </w:r>
    </w:p>
    <w:p w14:paraId="605E20EE" w14:textId="77777777" w:rsidR="006573EB" w:rsidRPr="00463A58" w:rsidRDefault="00000000">
      <w:pPr>
        <w:rPr>
          <w:lang w:val="fr-FR"/>
        </w:rPr>
      </w:pPr>
      <w:r w:rsidRPr="00463A58">
        <w:rPr>
          <w:lang w:val="fr-FR"/>
        </w:rPr>
        <w:br w:type="page"/>
      </w:r>
    </w:p>
    <w:p w14:paraId="1622238E"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IV. Discussion</w:t>
      </w:r>
    </w:p>
    <w:p w14:paraId="36BAB0F0" w14:textId="77777777" w:rsidR="006573EB" w:rsidRPr="00463A58" w:rsidRDefault="00000000">
      <w:pPr>
        <w:spacing w:before="240" w:after="80"/>
        <w:rPr>
          <w:lang w:val="fr-FR"/>
        </w:rPr>
      </w:pPr>
      <w:r w:rsidRPr="00463A58">
        <w:rPr>
          <w:rFonts w:ascii="Times New Roman" w:hAnsi="Times New Roman"/>
          <w:b/>
          <w:color w:val="34495E"/>
          <w:sz w:val="28"/>
          <w:lang w:val="fr-FR"/>
        </w:rPr>
        <w:t>4.1 Performance du pipeline multi-espèces et multi-composés</w:t>
      </w:r>
    </w:p>
    <w:p w14:paraId="3322C36D" w14:textId="77777777" w:rsidR="006573EB" w:rsidRPr="00463A58" w:rsidRDefault="00000000">
      <w:pPr>
        <w:spacing w:after="120"/>
        <w:ind w:firstLine="567"/>
        <w:jc w:val="both"/>
        <w:rPr>
          <w:lang w:val="fr-FR"/>
        </w:rPr>
      </w:pPr>
      <w:r w:rsidRPr="00463A58">
        <w:rPr>
          <w:rFonts w:ascii="Times New Roman" w:hAnsi="Times New Roman"/>
          <w:sz w:val="24"/>
          <w:lang w:val="fr-FR"/>
        </w:rPr>
        <w:t>Le pipeline développé au cours de ce stage démontre une capacité de généralisation remarquable, ayant été appliqué avec succès à deux composés distincts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deux molécules de classe différente (chimiothérapie classique vs ADC), et deux espèces (rat, primate non-humain), avec validation en population humaine 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w:t>
      </w:r>
    </w:p>
    <w:p w14:paraId="57AFF713" w14:textId="77777777" w:rsidR="006573EB" w:rsidRPr="00463A58" w:rsidRDefault="00000000">
      <w:pPr>
        <w:spacing w:after="120"/>
        <w:ind w:firstLine="567"/>
        <w:jc w:val="both"/>
        <w:rPr>
          <w:lang w:val="fr-FR"/>
        </w:rPr>
      </w:pPr>
      <w:r w:rsidRPr="00463A58">
        <w:rPr>
          <w:rFonts w:ascii="Times New Roman" w:hAnsi="Times New Roman"/>
          <w:sz w:val="24"/>
          <w:lang w:val="fr-FR"/>
        </w:rPr>
        <w:t>L'accord quantitatif entre les prédictions de grades CTCAE 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et les données de l'essai DESTINY-Breast01 (FDA BLA 761139) est particulièrement significatif, compte tenu de la complexité du système modélisé (6 lignées cellulaires, feedbacks non-linéaires, variabilité inter-individuelle). Il valide la transposabilité du cadre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au contexte clinique des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et à de nouvelles molécules.</w:t>
      </w:r>
    </w:p>
    <w:p w14:paraId="14A682E0" w14:textId="77777777" w:rsidR="006573EB" w:rsidRPr="00463A58" w:rsidRDefault="00000000">
      <w:pPr>
        <w:spacing w:before="240" w:after="80"/>
        <w:rPr>
          <w:lang w:val="fr-FR"/>
        </w:rPr>
      </w:pPr>
      <w:r w:rsidRPr="00463A58">
        <w:rPr>
          <w:rFonts w:ascii="Times New Roman" w:hAnsi="Times New Roman"/>
          <w:b/>
          <w:color w:val="34495E"/>
          <w:sz w:val="28"/>
          <w:lang w:val="fr-FR"/>
        </w:rPr>
        <w:t>4.2 Apport de la modélisation mécaniste vs approches empiriques</w:t>
      </w:r>
    </w:p>
    <w:p w14:paraId="52F77F39" w14:textId="77777777" w:rsidR="006573EB" w:rsidRPr="00463A58" w:rsidRDefault="00000000">
      <w:pPr>
        <w:spacing w:after="120"/>
        <w:ind w:firstLine="567"/>
        <w:jc w:val="both"/>
        <w:rPr>
          <w:lang w:val="fr-FR"/>
        </w:rPr>
      </w:pPr>
      <w:proofErr w:type="spellStart"/>
      <w:proofErr w:type="spellEnd"/>
      <w:r>
        <w:rPr>
          <w:sz w:val="24"/>
        </w:rPr>
        <w:t>L'approche semi-mécaniste adoptée présente des avantages déterminants par rapport aux modèles empiriques (régression, modèle Emax direct) ou aux méthodes de machine learning :. Le décalage cinétique entre pic d'exposition et nadir hématologique, caractéristique des ADCs, illustre cette supériorité : seul un modèle intégrant explicitement les temps de transit entre progéniteurs et cellules matures peut reproduire ce phénomène, déterminant pour la prédiction clinique et le calendrier de surveillance.</w:t>
      </w:r>
    </w:p>
    <w:p w14:paraId="7BD8A238" w14:textId="77777777" w:rsidR="006573EB" w:rsidRPr="00463A58" w:rsidRDefault="00000000">
      <w:pPr>
        <w:spacing w:after="60"/>
        <w:ind w:left="283" w:hanging="227"/>
        <w:rPr>
          <w:lang w:val="fr-FR"/>
        </w:rPr>
      </w:pPr>
      <w:r w:rsidRPr="00463A58">
        <w:rPr>
          <w:rFonts w:ascii="Times New Roman" w:hAnsi="Times New Roman"/>
          <w:lang w:val="fr-FR"/>
        </w:rPr>
        <w:t>• Interprétabilité biologique : chaque paramètre a une signification biologique claire (taux de prolifération, demi-vie cellulaire, taux de réparation), facilitant la communication avec les équipes pharmaceutiques et réglementaires</w:t>
      </w:r>
    </w:p>
    <w:p w14:paraId="40D4297E" w14:textId="77777777" w:rsidR="006573EB" w:rsidRPr="00463A58" w:rsidRDefault="00000000">
      <w:pPr>
        <w:spacing w:after="60"/>
        <w:ind w:left="283" w:hanging="227"/>
        <w:rPr>
          <w:lang w:val="fr-FR"/>
        </w:rPr>
      </w:pPr>
      <w:r w:rsidRPr="00463A58">
        <w:rPr>
          <w:rFonts w:ascii="Times New Roman" w:hAnsi="Times New Roman"/>
          <w:lang w:val="fr-FR"/>
        </w:rPr>
        <w:t>• Extrapolation inter-espèces : la structure compartimentale homologue entre espèces permet une transposition raisonnée des paramètres, ce qu'un modèle statistique purement empirique ne permet pas</w:t>
      </w:r>
    </w:p>
    <w:p w14:paraId="26489706" w14:textId="77777777" w:rsidR="006573EB" w:rsidRPr="00463A58" w:rsidRDefault="00000000">
      <w:pPr>
        <w:spacing w:after="60"/>
        <w:ind w:left="283" w:hanging="227"/>
        <w:rPr>
          <w:lang w:val="fr-FR"/>
        </w:rPr>
      </w:pPr>
      <w:r w:rsidRPr="00463A58">
        <w:rPr>
          <w:rFonts w:ascii="Times New Roman" w:hAnsi="Times New Roman"/>
          <w:lang w:val="fr-FR"/>
        </w:rPr>
        <w:t>• Prédiction du nadir temporel : le décalage cinétique PK/PD est naturellement capturé par la cascade de transit, ce qui est impossible avec un modèle direct exposition-réponse</w:t>
      </w:r>
    </w:p>
    <w:p w14:paraId="49D68943" w14:textId="77777777" w:rsidR="006573EB" w:rsidRPr="00463A58" w:rsidRDefault="00000000">
      <w:pPr>
        <w:spacing w:after="60"/>
        <w:ind w:left="283" w:hanging="227"/>
        <w:rPr>
          <w:lang w:val="fr-FR"/>
        </w:rPr>
      </w:pPr>
      <w:r w:rsidRPr="00463A58">
        <w:rPr>
          <w:rFonts w:ascii="Times New Roman" w:hAnsi="Times New Roman"/>
          <w:lang w:val="fr-FR"/>
        </w:rPr>
        <w:t>• Simulation de schémas non testés : une fois calibré, le modèle permet d'explorer in silico des schémas posologiques alternatifs (dose, fréquence, durée) sans expérimentation supplémentaire</w:t>
      </w:r>
    </w:p>
    <w:p w14:paraId="465C9F23" w14:textId="77777777" w:rsidR="006573EB" w:rsidRPr="00463A58" w:rsidRDefault="00000000">
      <w:pPr>
        <w:spacing w:after="120"/>
        <w:ind w:firstLine="567"/>
        <w:jc w:val="both"/>
        <w:rPr>
          <w:lang w:val="fr-FR"/>
        </w:rPr>
      </w:pPr>
      <w:r w:rsidRPr="00463A58">
        <w:rPr>
          <w:rFonts w:ascii="Times New Roman" w:hAnsi="Times New Roman"/>
          <w:sz w:val="24"/>
          <w:lang w:val="fr-FR"/>
        </w:rPr>
        <w:t>En revanche, le modèle mécaniste requiert davantage de données pour la calibration et une expertise biologique pour l'interprétation des paramètres. C'est dans cette complémentarité entre rigueur mathématique et connaissance biologique que réside la valeur ajoutée de la pharmacologie quantitative.</w:t>
      </w:r>
    </w:p>
    <w:p w14:paraId="6A51ECB6" w14:textId="77777777" w:rsidR="006573EB" w:rsidRPr="00463A58" w:rsidRDefault="00000000">
      <w:pPr>
        <w:spacing w:before="240" w:after="80"/>
        <w:rPr>
          <w:lang w:val="fr-FR"/>
        </w:rPr>
      </w:pPr>
      <w:r w:rsidRPr="00463A58">
        <w:rPr>
          <w:rFonts w:ascii="Times New Roman" w:hAnsi="Times New Roman"/>
          <w:b/>
          <w:color w:val="34495E"/>
          <w:sz w:val="28"/>
          <w:lang w:val="fr-FR"/>
        </w:rPr>
        <w:t>4.3 Limites méthodologiques</w:t>
      </w:r>
    </w:p>
    <w:p w14:paraId="63F2EAA4" w14:textId="77777777" w:rsidR="006573EB" w:rsidRPr="00463A58" w:rsidRDefault="00000000">
      <w:pPr>
        <w:spacing w:after="120"/>
        <w:ind w:firstLine="567"/>
        <w:jc w:val="both"/>
        <w:rPr>
          <w:lang w:val="fr-FR"/>
        </w:rPr>
      </w:pPr>
      <w:r w:rsidRPr="00463A58">
        <w:rPr>
          <w:rFonts w:ascii="Times New Roman" w:hAnsi="Times New Roman"/>
          <w:sz w:val="24"/>
          <w:lang w:val="fr-FR"/>
        </w:rPr>
        <w:t>Plusieurs limites doivent être considérées dans l'interprétation de ces résultats :</w:t>
      </w:r>
    </w:p>
    <w:p w14:paraId="79207E53"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Identifiabilité</w:t>
      </w:r>
      <w:proofErr w:type="spellEnd"/>
      <w:r w:rsidRPr="00463A58">
        <w:rPr>
          <w:rFonts w:ascii="Times New Roman" w:hAnsi="Times New Roman"/>
          <w:lang w:val="fr-FR"/>
        </w:rPr>
        <w:t xml:space="preserve"> des paramètres : avec n=8 animaux NHP et 4 niveaux de dose, l'estimation simultanée de tous les paramètres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est potentiellement sous-contrainte. Des analyses de sensibilité et de corrélation entre paramètres seraient nécessaires pour quantifier l'incertitude d'estimation.</w:t>
      </w:r>
    </w:p>
    <w:p w14:paraId="6E9B33CE" w14:textId="77777777" w:rsidR="006573EB" w:rsidRPr="00463A58" w:rsidRDefault="00000000">
      <w:pPr>
        <w:spacing w:after="60"/>
        <w:ind w:left="283" w:hanging="227"/>
        <w:rPr>
          <w:lang w:val="fr-FR"/>
        </w:rPr>
      </w:pPr>
      <w:r w:rsidRPr="00463A58">
        <w:rPr>
          <w:rFonts w:ascii="Times New Roman" w:hAnsi="Times New Roman"/>
          <w:lang w:val="fr-FR"/>
        </w:rPr>
        <w:t xml:space="preserve">• Hypothèse de linéarité du dommage : la relation </w:t>
      </w:r>
      <w:proofErr w:type="spellStart"/>
      <w:r w:rsidRPr="00463A58">
        <w:rPr>
          <w:rFonts w:ascii="Times New Roman" w:hAnsi="Times New Roman"/>
          <w:lang w:val="fr-FR"/>
        </w:rPr>
        <w:t>dDamage</w:t>
      </w:r>
      <w:proofErr w:type="spellEnd"/>
      <w:r w:rsidRPr="00463A58">
        <w:rPr>
          <w:rFonts w:ascii="Times New Roman" w:hAnsi="Times New Roman"/>
          <w:lang w:val="fr-FR"/>
        </w:rPr>
        <w:t>/</w:t>
      </w:r>
      <w:proofErr w:type="spellStart"/>
      <w:r w:rsidRPr="00463A58">
        <w:rPr>
          <w:rFonts w:ascii="Times New Roman" w:hAnsi="Times New Roman"/>
          <w:lang w:val="fr-FR"/>
        </w:rPr>
        <w:t>dt</w:t>
      </w:r>
      <w:proofErr w:type="spellEnd"/>
      <w:r w:rsidRPr="00463A58">
        <w:rPr>
          <w:rFonts w:ascii="Times New Roman" w:hAnsi="Times New Roman"/>
          <w:lang w:val="fr-FR"/>
        </w:rPr>
        <w:t xml:space="preserve"> = </w:t>
      </w:r>
      <w:proofErr w:type="spellStart"/>
      <w:r w:rsidRPr="00463A58">
        <w:rPr>
          <w:rFonts w:ascii="Times New Roman" w:hAnsi="Times New Roman"/>
          <w:lang w:val="fr-FR"/>
        </w:rPr>
        <w:t>k_dam</w:t>
      </w:r>
      <w:proofErr w:type="spellEnd"/>
      <w:r w:rsidRPr="00463A58">
        <w:rPr>
          <w:rFonts w:ascii="Times New Roman" w:hAnsi="Times New Roman"/>
          <w:lang w:val="fr-FR"/>
        </w:rPr>
        <w:t xml:space="preserve"> × C − </w:t>
      </w:r>
      <w:proofErr w:type="spellStart"/>
      <w:r w:rsidRPr="00463A58">
        <w:rPr>
          <w:rFonts w:ascii="Times New Roman" w:hAnsi="Times New Roman"/>
          <w:lang w:val="fr-FR"/>
        </w:rPr>
        <w:t>k_rep</w:t>
      </w:r>
      <w:proofErr w:type="spellEnd"/>
      <w:r w:rsidRPr="00463A58">
        <w:rPr>
          <w:rFonts w:ascii="Times New Roman" w:hAnsi="Times New Roman"/>
          <w:lang w:val="fr-FR"/>
        </w:rPr>
        <w:t xml:space="preserve"> × Damage suppose une accumulation linéaire du dommage. Aux fortes concentrations, une relation non-linéaire (Emax) pourrait être plus appropriée pour éviter la surestimation de la toxicité.</w:t>
      </w:r>
    </w:p>
    <w:p w14:paraId="531F5734" w14:textId="77777777" w:rsidR="006573EB" w:rsidRPr="00463A58" w:rsidRDefault="00000000">
      <w:pPr>
        <w:spacing w:after="60"/>
        <w:ind w:left="283" w:hanging="227"/>
        <w:rPr>
          <w:lang w:val="fr-FR"/>
        </w:rPr>
      </w:pPr>
      <w:r w:rsidRPr="00463A58">
        <w:rPr>
          <w:rFonts w:ascii="Times New Roman" w:hAnsi="Times New Roman"/>
          <w:lang w:val="fr-FR"/>
        </w:rPr>
        <w:lastRenderedPageBreak/>
        <w:t>• Variabilité inter-individuelle NHP : le nombre d'animaux par groupe (n=2) est limité pour caractériser la variabilité inter-individuelle. L'approche actuelle (ajustement individuel) contourne ce problème mais ne permet pas d'estimation formelle des effets aléatoires.</w:t>
      </w:r>
    </w:p>
    <w:p w14:paraId="746138FC" w14:textId="77777777" w:rsidR="006573EB" w:rsidRPr="00463A58" w:rsidRDefault="00000000">
      <w:pPr>
        <w:spacing w:after="60"/>
        <w:ind w:left="283" w:hanging="227"/>
        <w:rPr>
          <w:lang w:val="fr-FR"/>
        </w:rPr>
      </w:pPr>
      <w:r w:rsidRPr="00463A58">
        <w:rPr>
          <w:rFonts w:ascii="Times New Roman" w:hAnsi="Times New Roman"/>
          <w:lang w:val="fr-FR"/>
        </w:rPr>
        <w:t xml:space="preserve">• Transposition PD inter-espèces : la conservation des paramètres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entre NHP et humain est supposée par analogie avec le T-</w:t>
      </w:r>
      <w:proofErr w:type="spellStart"/>
      <w:r w:rsidRPr="00463A58">
        <w:rPr>
          <w:rFonts w:ascii="Times New Roman" w:hAnsi="Times New Roman"/>
          <w:lang w:val="fr-FR"/>
        </w:rPr>
        <w:t>DXd</w:t>
      </w:r>
      <w:proofErr w:type="spellEnd"/>
      <w:r w:rsidRPr="00463A58">
        <w:rPr>
          <w:rFonts w:ascii="Times New Roman" w:hAnsi="Times New Roman"/>
          <w:lang w:val="fr-FR"/>
        </w:rPr>
        <w:t xml:space="preserve"> mais n'est pas démontrée expérimentalement. Des données de CFU sur cellules humaines permettraient de valider ou corriger cette hypothèse.</w:t>
      </w:r>
    </w:p>
    <w:p w14:paraId="50D4063E" w14:textId="77777777" w:rsidR="006573EB" w:rsidRPr="00463A58" w:rsidRDefault="00000000">
      <w:pPr>
        <w:spacing w:after="60"/>
        <w:ind w:left="283" w:hanging="227"/>
        <w:rPr>
          <w:lang w:val="fr-FR"/>
        </w:rPr>
      </w:pPr>
      <w:r w:rsidRPr="00463A58">
        <w:rPr>
          <w:rFonts w:ascii="Times New Roman" w:hAnsi="Times New Roman"/>
          <w:lang w:val="fr-FR"/>
        </w:rPr>
        <w:t>• Absence de données d'efficacité : le modèle actuel est centré sur la prédiction de la toxicité hématologique. L'intégration d'un modèle d'efficacité tumorale permettrait une analyse bénéfice-risque complète.</w:t>
      </w:r>
    </w:p>
    <w:p w14:paraId="71006B89" w14:textId="77777777" w:rsidR="006573EB" w:rsidRPr="00463A58" w:rsidRDefault="00000000">
      <w:pPr>
        <w:spacing w:before="240" w:after="80"/>
        <w:rPr>
          <w:lang w:val="fr-FR"/>
        </w:rPr>
      </w:pPr>
      <w:r w:rsidRPr="00463A58">
        <w:rPr>
          <w:rFonts w:ascii="Times New Roman" w:hAnsi="Times New Roman"/>
          <w:b/>
          <w:color w:val="34495E"/>
          <w:sz w:val="28"/>
          <w:lang w:val="fr-FR"/>
        </w:rPr>
        <w:t>4.4 Perspectives méthodologiques</w:t>
      </w:r>
    </w:p>
    <w:p w14:paraId="382A6001" w14:textId="77777777" w:rsidR="006573EB" w:rsidRPr="00463A58" w:rsidRDefault="00000000">
      <w:pPr>
        <w:spacing w:after="120"/>
        <w:ind w:firstLine="567"/>
        <w:jc w:val="both"/>
        <w:rPr>
          <w:lang w:val="fr-FR"/>
        </w:rPr>
      </w:pPr>
      <w:r w:rsidRPr="00463A58">
        <w:rPr>
          <w:rFonts w:ascii="Times New Roman" w:hAnsi="Times New Roman"/>
          <w:sz w:val="24"/>
          <w:lang w:val="fr-FR"/>
        </w:rPr>
        <w:t>Plusieurs extensions méthodologiques sont envisageables pour renforcer la robustesse et la portée du pipeline :</w:t>
      </w:r>
    </w:p>
    <w:p w14:paraId="4CB1DC4E" w14:textId="77777777" w:rsidR="006573EB" w:rsidRPr="00463A58" w:rsidRDefault="00000000">
      <w:pPr>
        <w:spacing w:after="60"/>
        <w:ind w:left="283" w:hanging="227"/>
        <w:rPr>
          <w:lang w:val="fr-FR"/>
        </w:rPr>
      </w:pPr>
      <w:r w:rsidRPr="00463A58">
        <w:rPr>
          <w:rFonts w:ascii="Times New Roman" w:hAnsi="Times New Roman"/>
          <w:lang w:val="fr-FR"/>
        </w:rPr>
        <w:t>• Estimation par effets mixtes non-linéaires (NLME) via nlmixr2 : permettrait une estimation simultanée de la variabilité inter-individuelle (effets aléatoires) et des paramètres typiques de population (effets fixes), en exploitant l'ensemble des données NHP de façon cohérente</w:t>
      </w:r>
    </w:p>
    <w:p w14:paraId="5E5D8349" w14:textId="77777777" w:rsidR="006573EB" w:rsidRPr="00463A58" w:rsidRDefault="00000000">
      <w:pPr>
        <w:spacing w:after="60"/>
        <w:ind w:left="283" w:hanging="227"/>
        <w:rPr>
          <w:lang w:val="fr-FR"/>
        </w:rPr>
      </w:pPr>
      <w:r w:rsidRPr="00463A58">
        <w:rPr>
          <w:rFonts w:ascii="Times New Roman" w:hAnsi="Times New Roman"/>
          <w:lang w:val="fr-FR"/>
        </w:rPr>
        <w:t xml:space="preserve">• Intégration des données IC50 CFU : la mesure de l'IC50 sur colonies hématopoïétiques (CFU-GM, BFU-E) in vitro permettrait d'ancrer </w:t>
      </w:r>
      <w:proofErr w:type="spellStart"/>
      <w:r w:rsidRPr="00463A58">
        <w:rPr>
          <w:rFonts w:ascii="Times New Roman" w:hAnsi="Times New Roman"/>
          <w:lang w:val="fr-FR"/>
        </w:rPr>
        <w:t>mécanistiquement</w:t>
      </w:r>
      <w:proofErr w:type="spellEnd"/>
      <w:r w:rsidRPr="00463A58">
        <w:rPr>
          <w:rFonts w:ascii="Times New Roman" w:hAnsi="Times New Roman"/>
          <w:lang w:val="fr-FR"/>
        </w:rPr>
        <w:t xml:space="preserve"> le paramètre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dans une donnée expérimentale directe, réduisant le nombre de paramètres à calibrer sur données in vivo</w:t>
      </w:r>
    </w:p>
    <w:p w14:paraId="44827763" w14:textId="77777777" w:rsidR="006573EB" w:rsidRPr="00463A58" w:rsidRDefault="00000000">
      <w:pPr>
        <w:spacing w:after="60"/>
        <w:ind w:left="283" w:hanging="227"/>
        <w:rPr>
          <w:lang w:val="fr-FR"/>
        </w:rPr>
      </w:pPr>
      <w:r w:rsidRPr="00463A58">
        <w:rPr>
          <w:rFonts w:ascii="Times New Roman" w:hAnsi="Times New Roman"/>
          <w:lang w:val="fr-FR"/>
        </w:rPr>
        <w:t>• Approche bayésienne : l'incorporation d'a priori informatives (issues des données rat et T-</w:t>
      </w:r>
      <w:proofErr w:type="spellStart"/>
      <w:r w:rsidRPr="00463A58">
        <w:rPr>
          <w:rFonts w:ascii="Times New Roman" w:hAnsi="Times New Roman"/>
          <w:lang w:val="fr-FR"/>
        </w:rPr>
        <w:t>DXd</w:t>
      </w:r>
      <w:proofErr w:type="spellEnd"/>
      <w:r w:rsidRPr="00463A58">
        <w:rPr>
          <w:rFonts w:ascii="Times New Roman" w:hAnsi="Times New Roman"/>
          <w:lang w:val="fr-FR"/>
        </w:rPr>
        <w:t>) dans l'estimation NHP permettrait de régulariser l'inférence malgré le faible nombre d'animaux</w:t>
      </w:r>
    </w:p>
    <w:p w14:paraId="5C2AF212" w14:textId="77777777" w:rsidR="006573EB" w:rsidRPr="00463A58" w:rsidRDefault="00000000">
      <w:pPr>
        <w:spacing w:after="60"/>
        <w:ind w:left="283" w:hanging="227"/>
        <w:rPr>
          <w:lang w:val="fr-FR"/>
        </w:rPr>
      </w:pPr>
      <w:r w:rsidRPr="00463A58">
        <w:rPr>
          <w:rFonts w:ascii="Times New Roman" w:hAnsi="Times New Roman"/>
          <w:lang w:val="fr-FR"/>
        </w:rPr>
        <w:t xml:space="preserve">• Extension </w:t>
      </w:r>
      <w:proofErr w:type="spellStart"/>
      <w:r w:rsidRPr="00463A58">
        <w:rPr>
          <w:rFonts w:ascii="Times New Roman" w:hAnsi="Times New Roman"/>
          <w:lang w:val="fr-FR"/>
        </w:rPr>
        <w:t>multi-doses</w:t>
      </w:r>
      <w:proofErr w:type="spellEnd"/>
      <w:r w:rsidRPr="00463A58">
        <w:rPr>
          <w:rFonts w:ascii="Times New Roman" w:hAnsi="Times New Roman"/>
          <w:lang w:val="fr-FR"/>
        </w:rPr>
        <w:t xml:space="preserve"> et régimes répétés : le modèle actuel peut être directement appliqué à des schémas Q2W ou Q4W pour explorer la fenêtre posologique optimale du composé interne</w:t>
      </w:r>
    </w:p>
    <w:p w14:paraId="769585F6" w14:textId="77777777" w:rsidR="006573EB" w:rsidRPr="00463A58" w:rsidRDefault="00000000">
      <w:pPr>
        <w:spacing w:before="240" w:after="80"/>
        <w:rPr>
          <w:lang w:val="fr-FR"/>
        </w:rPr>
      </w:pPr>
      <w:r w:rsidRPr="00463A58">
        <w:rPr>
          <w:rFonts w:ascii="Times New Roman" w:hAnsi="Times New Roman"/>
          <w:b/>
          <w:color w:val="34495E"/>
          <w:sz w:val="28"/>
          <w:lang w:val="fr-FR"/>
        </w:rPr>
        <w:t>4.5 Impact opérationnel et aide à la décision</w:t>
      </w:r>
    </w:p>
    <w:p w14:paraId="61411E02" w14:textId="77777777" w:rsidR="006573EB" w:rsidRPr="00463A58" w:rsidRDefault="00000000">
      <w:pPr>
        <w:spacing w:after="120"/>
        <w:ind w:firstLine="567"/>
        <w:jc w:val="both"/>
        <w:rPr>
          <w:lang w:val="fr-FR"/>
        </w:rPr>
      </w:pPr>
      <w:r w:rsidRPr="00463A58">
        <w:rPr>
          <w:rFonts w:ascii="Times New Roman" w:hAnsi="Times New Roman"/>
          <w:sz w:val="24"/>
          <w:lang w:val="fr-FR"/>
        </w:rPr>
        <w:t>Au-delà de sa valeur scientifique, ce pipeline présente un intérêt opérationnel concret pour le développement du médicament :</w:t>
      </w:r>
    </w:p>
    <w:p w14:paraId="1A292572" w14:textId="77777777" w:rsidR="006573EB" w:rsidRPr="00463A58" w:rsidRDefault="00000000">
      <w:pPr>
        <w:spacing w:after="60"/>
        <w:ind w:left="283" w:hanging="227"/>
        <w:rPr>
          <w:lang w:val="fr-FR"/>
        </w:rPr>
      </w:pPr>
      <w:r w:rsidRPr="00463A58">
        <w:rPr>
          <w:rFonts w:ascii="Times New Roman" w:hAnsi="Times New Roman"/>
          <w:lang w:val="fr-FR"/>
        </w:rPr>
        <w:t>• Support au choix de la dose de départ en FIH (First-in-Human) : simulation de la distribution de grades attendus à différentes doses humaines, permettant de sélectionner une dose initiale associée à un risque de G3-4 inférieur à un seuil préétabli (ex. &lt; 10%)</w:t>
      </w:r>
    </w:p>
    <w:p w14:paraId="378E3D6A" w14:textId="77777777" w:rsidR="006573EB" w:rsidRPr="00463A58" w:rsidRDefault="00000000">
      <w:pPr>
        <w:spacing w:after="60"/>
        <w:ind w:left="283" w:hanging="227"/>
        <w:rPr>
          <w:lang w:val="fr-FR"/>
        </w:rPr>
      </w:pPr>
      <w:r w:rsidRPr="00463A58">
        <w:rPr>
          <w:rFonts w:ascii="Times New Roman" w:hAnsi="Times New Roman"/>
          <w:lang w:val="fr-FR"/>
        </w:rPr>
        <w:t xml:space="preserve">• Optimisation du monitoring clinique : prédiction du </w:t>
      </w:r>
      <w:proofErr w:type="gramStart"/>
      <w:r w:rsidRPr="00463A58">
        <w:rPr>
          <w:rFonts w:ascii="Times New Roman" w:hAnsi="Times New Roman"/>
          <w:lang w:val="fr-FR"/>
        </w:rPr>
        <w:t>timing</w:t>
      </w:r>
      <w:proofErr w:type="gramEnd"/>
      <w:r w:rsidRPr="00463A58">
        <w:rPr>
          <w:rFonts w:ascii="Times New Roman" w:hAnsi="Times New Roman"/>
          <w:lang w:val="fr-FR"/>
        </w:rPr>
        <w:t xml:space="preserve"> du nadir pour guider la fréquence des hémogrammes de surveillance</w:t>
      </w:r>
    </w:p>
    <w:p w14:paraId="66D6CB6B" w14:textId="77777777" w:rsidR="006573EB" w:rsidRPr="00463A58" w:rsidRDefault="00000000">
      <w:pPr>
        <w:spacing w:after="60"/>
        <w:ind w:left="283" w:hanging="227"/>
        <w:rPr>
          <w:lang w:val="fr-FR"/>
        </w:rPr>
      </w:pPr>
      <w:r w:rsidRPr="00463A58">
        <w:rPr>
          <w:rFonts w:ascii="Times New Roman" w:hAnsi="Times New Roman"/>
          <w:lang w:val="fr-FR"/>
        </w:rPr>
        <w:t>• Communication réglementaire : les modèles M&amp;S sont valorisés par FDA et EMA comme éléments du dossier de démarrage des essais cliniques (IND/CTA), en particulier pour les composés à index thérapeutique étroit</w:t>
      </w:r>
    </w:p>
    <w:p w14:paraId="5946C5C0" w14:textId="77777777" w:rsidR="006573EB" w:rsidRPr="00463A58" w:rsidRDefault="00000000">
      <w:pPr>
        <w:rPr>
          <w:lang w:val="fr-FR"/>
        </w:rPr>
      </w:pPr>
      <w:r w:rsidRPr="00463A58">
        <w:rPr>
          <w:lang w:val="fr-FR"/>
        </w:rPr>
        <w:br w:type="page"/>
      </w:r>
    </w:p>
    <w:p w14:paraId="0B1D3696"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V. Conclusion</w:t>
      </w:r>
    </w:p>
    <w:p w14:paraId="7AC3D82E" w14:textId="7AC83C7F" w:rsidR="006573EB" w:rsidRPr="00463A58" w:rsidRDefault="00000000">
      <w:pPr>
        <w:spacing w:after="120"/>
        <w:ind w:firstLine="567"/>
        <w:jc w:val="both"/>
        <w:rPr>
          <w:lang w:val="fr-FR"/>
        </w:rPr>
      </w:pPr>
      <w:r w:rsidRPr="00463A58">
        <w:rPr>
          <w:rFonts w:ascii="Times New Roman" w:hAnsi="Times New Roman"/>
          <w:sz w:val="24"/>
          <w:lang w:val="fr-FR"/>
        </w:rPr>
        <w:t xml:space="preserve">Ce stage </w:t>
      </w:r>
      <w:r w:rsidR="002D0DFB">
        <w:rPr>
          <w:rFonts w:ascii="Times New Roman" w:hAnsi="Times New Roman"/>
          <w:sz w:val="24"/>
          <w:lang w:val="fr-FR"/>
        </w:rPr>
        <w:t>m’</w:t>
      </w:r>
      <w:r w:rsidRPr="00463A58">
        <w:rPr>
          <w:rFonts w:ascii="Times New Roman" w:hAnsi="Times New Roman"/>
          <w:sz w:val="24"/>
          <w:lang w:val="fr-FR"/>
        </w:rPr>
        <w:t>a permis de développer un pipeline computationnel complet et reproductible de prédiction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induite par les anticorps-drogue conjugués, de l'animal au patient.</w:t>
      </w:r>
    </w:p>
    <w:p w14:paraId="464945AF"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En partant de la reproduction fidèle du modèle semi-mécaniste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sur données de rat, le pipeline a été progressivement étendu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(validation clinique en population, N=300, concordance avec FDA DESTINY-Breast01), puis à un composé en développement interne sur données NHP précliniques (8 primates, 4 niveaux de dose). Chaque étape a apporté des éléments de validation croisée et de robustesse méthodologique.</w:t>
      </w:r>
    </w:p>
    <w:p w14:paraId="040336D9" w14:textId="77777777" w:rsidR="006573EB" w:rsidRPr="00463A58" w:rsidRDefault="00000000">
      <w:pPr>
        <w:spacing w:after="120"/>
        <w:ind w:firstLine="567"/>
        <w:jc w:val="both"/>
        <w:rPr>
          <w:lang w:val="fr-FR"/>
        </w:rPr>
      </w:pPr>
      <w:r w:rsidRPr="00463A58">
        <w:rPr>
          <w:rFonts w:ascii="Times New Roman" w:hAnsi="Times New Roman"/>
          <w:sz w:val="24"/>
          <w:lang w:val="fr-FR"/>
        </w:rPr>
        <w:t>Les résultats démontrent la généricité et la puissance prédictive du cadre semi-mécaniste pour des molécules de classe ADC, avec une capacité à capturer le décalage cinétique PK/PD caractéristique de ce mécanisme d'action, la dose-dépendance de la toxicité et la hiérarchie temporelle des différentes lignées hématopoïétiques.</w:t>
      </w:r>
    </w:p>
    <w:p w14:paraId="02EE2735" w14:textId="77777777" w:rsidR="006573EB" w:rsidRPr="00463A58" w:rsidRDefault="00000000">
      <w:pPr>
        <w:spacing w:after="120"/>
        <w:ind w:firstLine="567"/>
        <w:jc w:val="both"/>
        <w:rPr>
          <w:lang w:val="fr-FR"/>
        </w:rPr>
      </w:pPr>
      <w:r w:rsidRPr="00463A58">
        <w:rPr>
          <w:rFonts w:ascii="Times New Roman" w:hAnsi="Times New Roman"/>
          <w:sz w:val="24"/>
          <w:lang w:val="fr-FR"/>
        </w:rPr>
        <w:t>Les perspectives d'extension vers une estimation NLME formelle (nlmixr2), l'intégration de données IC50 CFU et la validation prospective sur le premier essai clinique du composé interne constituent des suites naturelles et valorisantes à ce travail.</w:t>
      </w:r>
    </w:p>
    <w:p w14:paraId="0562D38E" w14:textId="77777777" w:rsidR="006573EB" w:rsidRPr="00463A58" w:rsidRDefault="00000000">
      <w:pPr>
        <w:rPr>
          <w:lang w:val="fr-FR"/>
        </w:rPr>
      </w:pPr>
      <w:r w:rsidRPr="00463A58">
        <w:rPr>
          <w:lang w:val="fr-FR"/>
        </w:rPr>
        <w:br w:type="page"/>
      </w:r>
    </w:p>
    <w:p w14:paraId="3B5AA403"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Bibliographie</w:t>
      </w:r>
    </w:p>
    <w:p w14:paraId="1F52E51E" w14:textId="77777777" w:rsidR="006573EB" w:rsidRDefault="00000000">
      <w:pPr>
        <w:spacing w:before="40" w:after="80"/>
        <w:ind w:left="454" w:hanging="454"/>
      </w:pPr>
      <w:r w:rsidRPr="00463A58">
        <w:rPr>
          <w:rFonts w:ascii="Times New Roman" w:hAnsi="Times New Roman"/>
          <w:b/>
          <w:sz w:val="20"/>
          <w:lang w:val="fr-FR"/>
        </w:rPr>
        <w:t xml:space="preserve">1. </w:t>
      </w:r>
      <w:proofErr w:type="spellStart"/>
      <w:r w:rsidRPr="00463A58">
        <w:rPr>
          <w:rFonts w:ascii="Times New Roman" w:hAnsi="Times New Roman"/>
          <w:sz w:val="20"/>
          <w:lang w:val="fr-FR"/>
        </w:rPr>
        <w:t>Fornari</w:t>
      </w:r>
      <w:proofErr w:type="spellEnd"/>
      <w:r w:rsidRPr="00463A58">
        <w:rPr>
          <w:rFonts w:ascii="Times New Roman" w:hAnsi="Times New Roman"/>
          <w:sz w:val="20"/>
          <w:lang w:val="fr-FR"/>
        </w:rPr>
        <w:t xml:space="preserve"> C, et al. </w:t>
      </w:r>
      <w:r>
        <w:rPr>
          <w:rFonts w:ascii="Times New Roman" w:hAnsi="Times New Roman"/>
          <w:sz w:val="20"/>
        </w:rPr>
        <w:t>(2019). Quantifying Drug-Induced Bone Marrow Toxicity Using a Semi-Mechanistic Pharmacokinetic-Pharmacodynamic Model. CPT Pharmacometrics Syst Pharmacol, 8(4):232–242.</w:t>
      </w:r>
    </w:p>
    <w:p w14:paraId="4A2C78E1" w14:textId="77777777" w:rsidR="006573EB" w:rsidRDefault="00000000">
      <w:pPr>
        <w:spacing w:before="40" w:after="80"/>
        <w:ind w:left="454" w:hanging="454"/>
      </w:pPr>
      <w:r>
        <w:rPr>
          <w:rFonts w:ascii="Times New Roman" w:hAnsi="Times New Roman"/>
          <w:b/>
          <w:sz w:val="20"/>
        </w:rPr>
        <w:t xml:space="preserve">2. </w:t>
      </w:r>
      <w:r>
        <w:rPr>
          <w:rFonts w:ascii="Times New Roman" w:hAnsi="Times New Roman"/>
          <w:sz w:val="20"/>
        </w:rPr>
        <w:t>Friberg LE, Henningsson A, Maas H, Nguyen L, Karlsson MO. (2002). Model of chemotherapy-induced myelosuppression with parameter consistency across drugs. J Clin Oncol, 20(24):4713–4721.</w:t>
      </w:r>
    </w:p>
    <w:p w14:paraId="2726266F" w14:textId="77777777" w:rsidR="006573EB" w:rsidRDefault="00000000">
      <w:pPr>
        <w:spacing w:before="40" w:after="80"/>
        <w:ind w:left="454" w:hanging="454"/>
      </w:pPr>
      <w:r>
        <w:rPr>
          <w:rFonts w:ascii="Times New Roman" w:hAnsi="Times New Roman"/>
          <w:b/>
          <w:sz w:val="20"/>
        </w:rPr>
        <w:t xml:space="preserve">3. </w:t>
      </w:r>
      <w:r>
        <w:rPr>
          <w:rFonts w:ascii="Times New Roman" w:hAnsi="Times New Roman"/>
          <w:sz w:val="20"/>
        </w:rPr>
        <w:t>Ogitani Y, et al. (2016). DS-8201a, A Novel HER2-Targeting ADC with a Novel DNA Topoisomerase I Inhibitor, Demonstrates a Promising Antitumor Efficacy with Differentiation from T-DM1. Clin Cancer Res, 22(20):5097–5108.</w:t>
      </w:r>
    </w:p>
    <w:p w14:paraId="7D9D29DE" w14:textId="77777777" w:rsidR="006573EB" w:rsidRDefault="00000000">
      <w:pPr>
        <w:spacing w:before="40" w:after="80"/>
        <w:ind w:left="454" w:hanging="454"/>
      </w:pPr>
      <w:r>
        <w:rPr>
          <w:rFonts w:ascii="Times New Roman" w:hAnsi="Times New Roman"/>
          <w:b/>
          <w:sz w:val="20"/>
        </w:rPr>
        <w:t xml:space="preserve">4. </w:t>
      </w:r>
      <w:r>
        <w:rPr>
          <w:rFonts w:ascii="Times New Roman" w:hAnsi="Times New Roman"/>
          <w:sz w:val="20"/>
        </w:rPr>
        <w:t>Modi S, et al. (2020). Trastuzumab Deruxtecan in Previously Treated HER2-Positive Breast Cancer. N Engl J Med, 382(7):610–621. [DESTINY-Breast01]</w:t>
      </w:r>
    </w:p>
    <w:p w14:paraId="115C16AC" w14:textId="77777777" w:rsidR="006573EB" w:rsidRDefault="00000000">
      <w:pPr>
        <w:spacing w:before="40" w:after="80"/>
        <w:ind w:left="454" w:hanging="454"/>
      </w:pPr>
      <w:r>
        <w:rPr>
          <w:rFonts w:ascii="Times New Roman" w:hAnsi="Times New Roman"/>
          <w:b/>
          <w:sz w:val="20"/>
        </w:rPr>
        <w:t xml:space="preserve">5. </w:t>
      </w:r>
      <w:r>
        <w:rPr>
          <w:rFonts w:ascii="Times New Roman" w:hAnsi="Times New Roman"/>
          <w:sz w:val="20"/>
        </w:rPr>
        <w:t>FDA Center for Drug Evaluation and Research. (2019). BLA 761139 — Trastuzumab deruxtecan. Clinical Pharmacology Review and Integrated Summary. FDA.gov.</w:t>
      </w:r>
    </w:p>
    <w:p w14:paraId="14DE830D" w14:textId="77777777" w:rsidR="006573EB" w:rsidRDefault="00000000">
      <w:pPr>
        <w:spacing w:before="40" w:after="80"/>
        <w:ind w:left="454" w:hanging="454"/>
      </w:pPr>
      <w:r>
        <w:rPr>
          <w:rFonts w:ascii="Times New Roman" w:hAnsi="Times New Roman"/>
          <w:b/>
          <w:sz w:val="20"/>
        </w:rPr>
        <w:t xml:space="preserve">6. </w:t>
      </w:r>
      <w:r>
        <w:rPr>
          <w:rFonts w:ascii="Times New Roman" w:hAnsi="Times New Roman"/>
          <w:sz w:val="20"/>
        </w:rPr>
        <w:t>National Cancer Institute. (2017). Common Terminology Criteria for Adverse Events (CTCAE) Version 5.0. U.S. Department of Health and Human Services.</w:t>
      </w:r>
    </w:p>
    <w:p w14:paraId="375656E6" w14:textId="77777777" w:rsidR="006573EB" w:rsidRDefault="00000000">
      <w:pPr>
        <w:spacing w:before="40" w:after="80"/>
        <w:ind w:left="454" w:hanging="454"/>
      </w:pPr>
      <w:r>
        <w:rPr>
          <w:rFonts w:ascii="Times New Roman" w:hAnsi="Times New Roman"/>
          <w:b/>
          <w:sz w:val="20"/>
        </w:rPr>
        <w:t xml:space="preserve">7. </w:t>
      </w:r>
      <w:r>
        <w:rPr>
          <w:rFonts w:ascii="Times New Roman" w:hAnsi="Times New Roman"/>
          <w:sz w:val="20"/>
        </w:rPr>
        <w:t>Wang W, et al. (2014). Antibody-Drug Conjugate Pharmacokinetics and Pharmacodynamics: Case Studies. Pharm Res, 31(12):3276–3292.</w:t>
      </w:r>
    </w:p>
    <w:p w14:paraId="065092D8" w14:textId="77777777" w:rsidR="006573EB" w:rsidRDefault="00000000">
      <w:pPr>
        <w:spacing w:before="40" w:after="80"/>
        <w:ind w:left="454" w:hanging="454"/>
      </w:pPr>
      <w:r>
        <w:rPr>
          <w:rFonts w:ascii="Times New Roman" w:hAnsi="Times New Roman"/>
          <w:b/>
          <w:sz w:val="20"/>
        </w:rPr>
        <w:t xml:space="preserve">8. </w:t>
      </w:r>
      <w:r>
        <w:rPr>
          <w:rFonts w:ascii="Times New Roman" w:hAnsi="Times New Roman"/>
          <w:sz w:val="20"/>
        </w:rPr>
        <w:t>Wang J, Peng G. (2022). rxode2: Fast Numerical ODE System Solver for R. R package version 2.0.x. CRAN.</w:t>
      </w:r>
    </w:p>
    <w:p w14:paraId="5C1E216A" w14:textId="77777777" w:rsidR="006573EB" w:rsidRDefault="00000000">
      <w:pPr>
        <w:spacing w:before="40" w:after="80"/>
        <w:ind w:left="454" w:hanging="454"/>
      </w:pPr>
      <w:r>
        <w:rPr>
          <w:rFonts w:ascii="Times New Roman" w:hAnsi="Times New Roman"/>
          <w:b/>
          <w:sz w:val="20"/>
        </w:rPr>
        <w:t xml:space="preserve">9. </w:t>
      </w:r>
      <w:r>
        <w:rPr>
          <w:rFonts w:ascii="Times New Roman" w:hAnsi="Times New Roman"/>
          <w:sz w:val="20"/>
        </w:rPr>
        <w:t>Krzyzanski W, et al. (2006). Basic pharmacodynamic models for agents that alter the lifespan distribution of natural cells. J Pharmacokinet Pharmacodyn, 33(5):523–554.</w:t>
      </w:r>
    </w:p>
    <w:p w14:paraId="0AF4BB26" w14:textId="77777777" w:rsidR="006573EB" w:rsidRDefault="00000000">
      <w:pPr>
        <w:spacing w:before="40" w:after="80"/>
        <w:ind w:left="454" w:hanging="454"/>
      </w:pPr>
      <w:r>
        <w:rPr>
          <w:rFonts w:ascii="Times New Roman" w:hAnsi="Times New Roman"/>
          <w:b/>
          <w:sz w:val="20"/>
        </w:rPr>
        <w:t xml:space="preserve">10. </w:t>
      </w:r>
      <w:r>
        <w:rPr>
          <w:rFonts w:ascii="Times New Roman" w:hAnsi="Times New Roman"/>
          <w:sz w:val="20"/>
        </w:rPr>
        <w:t>Gibiansky L, Gibiansky E. (2014). Target-Mediated Drug Disposition Model for Drugs That Bind to More Than One Target. J Pharmacokinet Pharmacodyn, 41(4):285–303.</w:t>
      </w:r>
    </w:p>
    <w:p w14:paraId="69BC59E6" w14:textId="77777777" w:rsidR="006573EB" w:rsidRDefault="00000000">
      <w:pPr>
        <w:spacing w:before="40" w:after="80"/>
        <w:ind w:left="454" w:hanging="454"/>
      </w:pPr>
      <w:r>
        <w:rPr>
          <w:rFonts w:ascii="Times New Roman" w:hAnsi="Times New Roman"/>
          <w:b/>
          <w:sz w:val="20"/>
        </w:rPr>
        <w:t xml:space="preserve">11. </w:t>
      </w:r>
      <w:r>
        <w:rPr>
          <w:rFonts w:ascii="Times New Roman" w:hAnsi="Times New Roman"/>
          <w:sz w:val="20"/>
        </w:rPr>
        <w:t>Duffull SB, Rustem A, Beal SL. (1997). Interpreting the results of nonlinear mixed-effects models: An assessment of pharmacokinetic/pharmacodynamic models. Int J Pharm, 159(1):9–24.</w:t>
      </w:r>
    </w:p>
    <w:p w14:paraId="79D1B620" w14:textId="77777777" w:rsidR="006573EB" w:rsidRPr="00463A58" w:rsidRDefault="00000000">
      <w:pPr>
        <w:spacing w:before="40" w:after="80"/>
        <w:ind w:left="454" w:hanging="454"/>
        <w:rPr>
          <w:lang w:val="fr-FR"/>
        </w:rPr>
      </w:pPr>
      <w:r>
        <w:rPr>
          <w:rFonts w:ascii="Times New Roman" w:hAnsi="Times New Roman"/>
          <w:b/>
          <w:sz w:val="20"/>
        </w:rPr>
        <w:t xml:space="preserve">12. </w:t>
      </w:r>
      <w:r>
        <w:rPr>
          <w:rFonts w:ascii="Times New Roman" w:hAnsi="Times New Roman"/>
          <w:sz w:val="20"/>
        </w:rPr>
        <w:t xml:space="preserve">European Medicines Agency (EMA). (2007). Guideline on the Role of Pharmacokinetics in the Development of Medicinal Products in the Paediatric Population. </w:t>
      </w:r>
      <w:r w:rsidRPr="00463A58">
        <w:rPr>
          <w:rFonts w:ascii="Times New Roman" w:hAnsi="Times New Roman"/>
          <w:sz w:val="20"/>
          <w:lang w:val="fr-FR"/>
        </w:rPr>
        <w:t>EMA/CHMP/EWP/147013/2004.</w:t>
      </w:r>
    </w:p>
    <w:p w14:paraId="7D44E734" w14:textId="77777777" w:rsidR="006573EB" w:rsidRPr="00463A58" w:rsidRDefault="00000000">
      <w:pPr>
        <w:rPr>
          <w:lang w:val="fr-FR"/>
        </w:rPr>
      </w:pPr>
      <w:r w:rsidRPr="00463A58">
        <w:rPr>
          <w:lang w:val="fr-FR"/>
        </w:rPr>
        <w:br w:type="page"/>
      </w:r>
    </w:p>
    <w:p w14:paraId="5766A036"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Annexes</w:t>
      </w:r>
    </w:p>
    <w:p w14:paraId="171D2E3B" w14:textId="77777777" w:rsidR="006573EB" w:rsidRPr="00463A58" w:rsidRDefault="00000000">
      <w:pPr>
        <w:spacing w:before="240" w:after="80"/>
        <w:rPr>
          <w:lang w:val="fr-FR"/>
        </w:rPr>
      </w:pPr>
      <w:r w:rsidRPr="00463A58">
        <w:rPr>
          <w:rFonts w:ascii="Times New Roman" w:hAnsi="Times New Roman"/>
          <w:b/>
          <w:color w:val="34495E"/>
          <w:sz w:val="28"/>
          <w:lang w:val="fr-FR"/>
        </w:rPr>
        <w:t>Annexe A1 — Système d'équations ODE complet</w:t>
      </w:r>
    </w:p>
    <w:p w14:paraId="55835583" w14:textId="77777777" w:rsidR="006573EB" w:rsidRPr="00463A58" w:rsidRDefault="00000000">
      <w:pPr>
        <w:spacing w:after="120"/>
        <w:ind w:firstLine="567"/>
        <w:jc w:val="both"/>
        <w:rPr>
          <w:lang w:val="fr-FR"/>
        </w:rPr>
      </w:pPr>
      <w:r w:rsidRPr="00463A58">
        <w:rPr>
          <w:rFonts w:ascii="Times New Roman" w:hAnsi="Times New Roman"/>
          <w:sz w:val="24"/>
          <w:lang w:val="fr-FR"/>
        </w:rPr>
        <w:t>Compartiment de dommage :</w:t>
      </w:r>
    </w:p>
    <w:p w14:paraId="2A7478C1" w14:textId="77777777" w:rsidR="006573EB" w:rsidRDefault="00000000">
      <w:pPr>
        <w:spacing w:before="120" w:after="120"/>
        <w:jc w:val="center"/>
      </w:pPr>
      <w:proofErr w:type="spellStart"/>
      <w:r>
        <w:rPr>
          <w:rFonts w:ascii="Courier New" w:hAnsi="Courier New"/>
          <w:i/>
          <w:color w:val="3C3C78"/>
        </w:rPr>
        <w:t>dDamage</w:t>
      </w:r>
      <w:proofErr w:type="spellEnd"/>
      <w:r>
        <w:rPr>
          <w:rFonts w:ascii="Courier New" w:hAnsi="Courier New"/>
          <w:i/>
          <w:color w:val="3C3C78"/>
        </w:rPr>
        <w:t xml:space="preserve">/dt = </w:t>
      </w:r>
      <w:proofErr w:type="spellStart"/>
      <w:r>
        <w:rPr>
          <w:rFonts w:ascii="Courier New" w:hAnsi="Courier New"/>
          <w:i/>
          <w:color w:val="3C3C78"/>
        </w:rPr>
        <w:t>k_dam</w:t>
      </w:r>
      <w:proofErr w:type="spellEnd"/>
      <w:r>
        <w:rPr>
          <w:rFonts w:ascii="Courier New" w:hAnsi="Courier New"/>
          <w:i/>
          <w:color w:val="3C3C78"/>
        </w:rPr>
        <w:t xml:space="preserve"> × C_drug(µM) − k_rep × Damage</w:t>
      </w:r>
    </w:p>
    <w:p w14:paraId="514948BF" w14:textId="77777777" w:rsidR="006573EB" w:rsidRDefault="00000000">
      <w:pPr>
        <w:spacing w:after="120"/>
        <w:ind w:firstLine="567"/>
        <w:jc w:val="both"/>
      </w:pPr>
      <w:r>
        <w:rPr>
          <w:rFonts w:ascii="Times New Roman" w:hAnsi="Times New Roman"/>
          <w:sz w:val="24"/>
        </w:rPr>
        <w:t>Progéniteurs :</w:t>
      </w:r>
    </w:p>
    <w:p w14:paraId="0378AFEA" w14:textId="77777777" w:rsidR="006573EB" w:rsidRDefault="00000000">
      <w:pPr>
        <w:spacing w:before="120" w:after="120"/>
        <w:jc w:val="center"/>
      </w:pPr>
      <w:r>
        <w:rPr>
          <w:rFonts w:ascii="Courier New" w:hAnsi="Courier New"/>
          <w:i/>
          <w:color w:val="3C3C78"/>
        </w:rPr>
        <w:t>dMPP/dt  = k_prol_MPP × (B_MPP/MPP)^γ × (1 − S_MPP × Damage) × MPP − k_tr_MPP × MPP</w:t>
      </w:r>
    </w:p>
    <w:p w14:paraId="48016665" w14:textId="77777777" w:rsidR="006573EB" w:rsidRDefault="00000000">
      <w:pPr>
        <w:spacing w:before="120" w:after="120"/>
        <w:jc w:val="center"/>
      </w:pPr>
      <w:r>
        <w:rPr>
          <w:rFonts w:ascii="Courier New" w:hAnsi="Courier New"/>
          <w:i/>
          <w:color w:val="3C3C78"/>
        </w:rPr>
        <w:t>dCMP/dt  = k_tr_MPP × MPP × 0.6 − k_tr_CMP × CMP</w:t>
      </w:r>
    </w:p>
    <w:p w14:paraId="78C207FB" w14:textId="77777777" w:rsidR="006573EB" w:rsidRDefault="00000000">
      <w:pPr>
        <w:spacing w:before="120" w:after="120"/>
        <w:jc w:val="center"/>
      </w:pPr>
      <w:r>
        <w:rPr>
          <w:rFonts w:ascii="Courier New" w:hAnsi="Courier New"/>
          <w:i/>
          <w:color w:val="3C3C78"/>
        </w:rPr>
        <w:t>dMEP/dt  = k_tr_MPP × MPP × 0.4 − k_tr_MEP × MEP</w:t>
      </w:r>
    </w:p>
    <w:p w14:paraId="46B9197A" w14:textId="77777777" w:rsidR="006573EB" w:rsidRDefault="00000000">
      <w:pPr>
        <w:spacing w:after="120"/>
        <w:ind w:firstLine="567"/>
        <w:jc w:val="both"/>
      </w:pPr>
      <w:r>
        <w:rPr>
          <w:rFonts w:ascii="Times New Roman" w:hAnsi="Times New Roman"/>
          <w:sz w:val="24"/>
        </w:rPr>
        <w:t>Lignée myéloïde :</w:t>
      </w:r>
    </w:p>
    <w:p w14:paraId="4613295F" w14:textId="77777777" w:rsidR="006573EB" w:rsidRDefault="00000000">
      <w:pPr>
        <w:spacing w:before="120" w:after="120"/>
        <w:jc w:val="center"/>
      </w:pPr>
      <w:r>
        <w:rPr>
          <w:rFonts w:ascii="Courier New" w:hAnsi="Courier New"/>
          <w:i/>
          <w:color w:val="3C3C78"/>
        </w:rPr>
        <w:t>dNeut/dt = k_tr_CMP × (1 − S_CMP × Damage) × CMP − k_e_Neut × Neut</w:t>
      </w:r>
    </w:p>
    <w:p w14:paraId="6827095C" w14:textId="77777777" w:rsidR="006573EB" w:rsidRDefault="00000000">
      <w:pPr>
        <w:spacing w:before="120" w:after="120"/>
        <w:jc w:val="center"/>
      </w:pPr>
      <w:r>
        <w:rPr>
          <w:rFonts w:ascii="Courier New" w:hAnsi="Courier New"/>
          <w:i/>
          <w:color w:val="3C3C78"/>
        </w:rPr>
        <w:t>dMono/dt = k_tr_CMP × (1 − S_CMP × Damage) × CMP × r_Mono − k_e_Mono × Mono</w:t>
      </w:r>
    </w:p>
    <w:p w14:paraId="3C9F052F" w14:textId="77777777" w:rsidR="006573EB" w:rsidRDefault="00000000">
      <w:pPr>
        <w:spacing w:after="120"/>
        <w:ind w:firstLine="567"/>
        <w:jc w:val="both"/>
      </w:pPr>
      <w:r>
        <w:rPr>
          <w:rFonts w:ascii="Times New Roman" w:hAnsi="Times New Roman"/>
          <w:sz w:val="24"/>
        </w:rPr>
        <w:t>Lignée érythroïde :</w:t>
      </w:r>
    </w:p>
    <w:p w14:paraId="3B96B218" w14:textId="77777777" w:rsidR="006573EB" w:rsidRDefault="00000000">
      <w:pPr>
        <w:spacing w:before="120" w:after="120"/>
        <w:jc w:val="center"/>
      </w:pPr>
      <w:r>
        <w:rPr>
          <w:rFonts w:ascii="Courier New" w:hAnsi="Courier New"/>
          <w:i/>
          <w:color w:val="3C3C78"/>
        </w:rPr>
        <w:t>dRet/dt  = k_tr_MEP × (1 − S_MEP × Damage) × MEP × r_Ret − k_tr_Ret × Ret</w:t>
      </w:r>
    </w:p>
    <w:p w14:paraId="1F3B0A47" w14:textId="77777777" w:rsidR="006573EB" w:rsidRDefault="00000000">
      <w:pPr>
        <w:spacing w:before="120" w:after="120"/>
        <w:jc w:val="center"/>
      </w:pPr>
      <w:r>
        <w:rPr>
          <w:rFonts w:ascii="Courier New" w:hAnsi="Courier New"/>
          <w:i/>
          <w:color w:val="3C3C78"/>
        </w:rPr>
        <w:t>dRBC/dt  = k_tr_Ret × Ret − k_e_RBC × RBC</w:t>
      </w:r>
    </w:p>
    <w:p w14:paraId="37060B2D" w14:textId="77777777" w:rsidR="006573EB" w:rsidRDefault="00000000">
      <w:pPr>
        <w:spacing w:after="120"/>
        <w:ind w:firstLine="567"/>
        <w:jc w:val="both"/>
      </w:pPr>
      <w:r>
        <w:rPr>
          <w:rFonts w:ascii="Times New Roman" w:hAnsi="Times New Roman"/>
          <w:sz w:val="24"/>
        </w:rPr>
        <w:t>Lignée plaquettaire :</w:t>
      </w:r>
    </w:p>
    <w:p w14:paraId="7DE79ED3" w14:textId="77777777" w:rsidR="006573EB" w:rsidRDefault="00000000">
      <w:pPr>
        <w:spacing w:before="120" w:after="120"/>
        <w:jc w:val="center"/>
      </w:pPr>
      <w:r>
        <w:rPr>
          <w:rFonts w:ascii="Courier New" w:hAnsi="Courier New"/>
          <w:i/>
          <w:color w:val="3C3C78"/>
        </w:rPr>
        <w:t>dPlt/dt  = k_tr_MEP × (1 − S_MEP × Damage) × MEP × r_Plt − k_e_Plt × Plt</w:t>
      </w:r>
    </w:p>
    <w:p w14:paraId="39C510E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Tous les paramètres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k_tr</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k_e</w:t>
      </w:r>
      <w:proofErr w:type="spellEnd"/>
      <w:r w:rsidRPr="00463A58">
        <w:rPr>
          <w:rFonts w:ascii="Times New Roman" w:hAnsi="Times New Roman"/>
          <w:sz w:val="24"/>
          <w:lang w:val="fr-FR"/>
        </w:rPr>
        <w:t xml:space="preserve"> sont dérivés des valeurs biologiques à l'état d'équilibre par espèce (équations S4,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S_MPP, S_CMP, S_MEP sont les paramètres de sensibilité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calibrés.</w:t>
      </w:r>
    </w:p>
    <w:p w14:paraId="5826E268" w14:textId="77777777" w:rsidR="006573EB" w:rsidRPr="00463A58" w:rsidRDefault="00000000">
      <w:pPr>
        <w:spacing w:before="240" w:after="80"/>
        <w:rPr>
          <w:lang w:val="fr-FR"/>
        </w:rPr>
      </w:pPr>
      <w:r w:rsidRPr="00463A58">
        <w:rPr>
          <w:rFonts w:ascii="Times New Roman" w:hAnsi="Times New Roman"/>
          <w:b/>
          <w:color w:val="34495E"/>
          <w:sz w:val="28"/>
          <w:lang w:val="fr-FR"/>
        </w:rPr>
        <w:t>Annexe A2 — Paramètres biologiques par espèce</w:t>
      </w:r>
    </w:p>
    <w:tbl>
      <w:tblPr>
        <w:tblStyle w:val="Grilledutableau"/>
        <w:tblW w:w="0" w:type="auto"/>
        <w:tblLook w:val="04A0" w:firstRow="1" w:lastRow="0" w:firstColumn="1" w:lastColumn="0" w:noHBand="0" w:noVBand="1"/>
      </w:tblPr>
      <w:tblGrid>
        <w:gridCol w:w="2551"/>
        <w:gridCol w:w="1417"/>
        <w:gridCol w:w="1984"/>
        <w:gridCol w:w="1417"/>
        <w:gridCol w:w="1134"/>
      </w:tblGrid>
      <w:tr w:rsidR="006573EB" w14:paraId="18F4E925" w14:textId="77777777">
        <w:tc>
          <w:tcPr>
            <w:tcW w:w="2551" w:type="dxa"/>
            <w:shd w:val="clear" w:color="auto" w:fill="2C3E50"/>
          </w:tcPr>
          <w:p w14:paraId="66C8A438" w14:textId="77777777" w:rsidR="006573EB" w:rsidRDefault="00000000">
            <w:pPr>
              <w:jc w:val="center"/>
            </w:pPr>
            <w:proofErr w:type="spellStart"/>
            <w:r>
              <w:rPr>
                <w:rFonts w:ascii="Times New Roman" w:hAnsi="Times New Roman"/>
                <w:b/>
                <w:color w:val="FFFFFF"/>
                <w:sz w:val="20"/>
              </w:rPr>
              <w:t>Paramètre</w:t>
            </w:r>
            <w:proofErr w:type="spellEnd"/>
          </w:p>
        </w:tc>
        <w:tc>
          <w:tcPr>
            <w:tcW w:w="1417" w:type="dxa"/>
            <w:shd w:val="clear" w:color="auto" w:fill="2C3E50"/>
          </w:tcPr>
          <w:p w14:paraId="3A50DC86" w14:textId="77777777" w:rsidR="006573EB" w:rsidRDefault="00000000">
            <w:pPr>
              <w:jc w:val="center"/>
            </w:pPr>
            <w:r>
              <w:rPr>
                <w:rFonts w:ascii="Times New Roman" w:hAnsi="Times New Roman"/>
                <w:b/>
                <w:color w:val="FFFFFF"/>
                <w:sz w:val="20"/>
              </w:rPr>
              <w:t>Rat</w:t>
            </w:r>
          </w:p>
        </w:tc>
        <w:tc>
          <w:tcPr>
            <w:tcW w:w="1984" w:type="dxa"/>
            <w:shd w:val="clear" w:color="auto" w:fill="2C3E50"/>
          </w:tcPr>
          <w:p w14:paraId="4B28D4E6" w14:textId="77777777" w:rsidR="006573EB" w:rsidRDefault="00000000">
            <w:pPr>
              <w:jc w:val="center"/>
            </w:pPr>
            <w:r>
              <w:rPr>
                <w:rFonts w:ascii="Times New Roman" w:hAnsi="Times New Roman"/>
                <w:b/>
                <w:color w:val="FFFFFF"/>
                <w:sz w:val="20"/>
              </w:rPr>
              <w:t>NHP (singe cynomolgus)</w:t>
            </w:r>
          </w:p>
        </w:tc>
        <w:tc>
          <w:tcPr>
            <w:tcW w:w="1417" w:type="dxa"/>
            <w:shd w:val="clear" w:color="auto" w:fill="2C3E50"/>
          </w:tcPr>
          <w:p w14:paraId="787C5BAF" w14:textId="77777777" w:rsidR="006573EB" w:rsidRDefault="00000000">
            <w:pPr>
              <w:jc w:val="center"/>
            </w:pPr>
            <w:r>
              <w:rPr>
                <w:rFonts w:ascii="Times New Roman" w:hAnsi="Times New Roman"/>
                <w:b/>
                <w:color w:val="FFFFFF"/>
                <w:sz w:val="20"/>
              </w:rPr>
              <w:t>Humain</w:t>
            </w:r>
          </w:p>
        </w:tc>
        <w:tc>
          <w:tcPr>
            <w:tcW w:w="1134" w:type="dxa"/>
            <w:shd w:val="clear" w:color="auto" w:fill="2C3E50"/>
          </w:tcPr>
          <w:p w14:paraId="55D64A80" w14:textId="77777777" w:rsidR="006573EB" w:rsidRDefault="00000000">
            <w:pPr>
              <w:jc w:val="center"/>
            </w:pPr>
            <w:r>
              <w:rPr>
                <w:rFonts w:ascii="Times New Roman" w:hAnsi="Times New Roman"/>
                <w:b/>
                <w:color w:val="FFFFFF"/>
                <w:sz w:val="20"/>
              </w:rPr>
              <w:t>Unité</w:t>
            </w:r>
          </w:p>
        </w:tc>
      </w:tr>
      <w:tr w:rsidR="006573EB" w14:paraId="7C0B9844" w14:textId="77777777">
        <w:tc>
          <w:tcPr>
            <w:tcW w:w="2551" w:type="dxa"/>
            <w:shd w:val="clear" w:color="auto" w:fill="F2F2F2"/>
          </w:tcPr>
          <w:p w14:paraId="06A0DF5A" w14:textId="77777777" w:rsidR="006573EB" w:rsidRDefault="00000000">
            <w:pPr>
              <w:jc w:val="center"/>
            </w:pPr>
            <w:r>
              <w:rPr>
                <w:rFonts w:ascii="Times New Roman" w:hAnsi="Times New Roman"/>
                <w:sz w:val="20"/>
              </w:rPr>
              <w:t>Neut baseline</w:t>
            </w:r>
          </w:p>
        </w:tc>
        <w:tc>
          <w:tcPr>
            <w:tcW w:w="1417" w:type="dxa"/>
            <w:shd w:val="clear" w:color="auto" w:fill="F2F2F2"/>
          </w:tcPr>
          <w:p w14:paraId="64A527EE" w14:textId="77777777" w:rsidR="006573EB" w:rsidRDefault="00000000">
            <w:pPr>
              <w:jc w:val="center"/>
            </w:pPr>
            <w:r>
              <w:rPr>
                <w:rFonts w:ascii="Times New Roman" w:hAnsi="Times New Roman"/>
                <w:sz w:val="20"/>
              </w:rPr>
              <w:t>2,35</w:t>
            </w:r>
          </w:p>
        </w:tc>
        <w:tc>
          <w:tcPr>
            <w:tcW w:w="1984" w:type="dxa"/>
            <w:shd w:val="clear" w:color="auto" w:fill="F2F2F2"/>
          </w:tcPr>
          <w:p w14:paraId="2EF9C40E" w14:textId="77777777" w:rsidR="006573EB" w:rsidRDefault="00000000">
            <w:pPr>
              <w:jc w:val="center"/>
            </w:pPr>
            <w:r>
              <w:rPr>
                <w:rFonts w:ascii="Times New Roman" w:hAnsi="Times New Roman"/>
                <w:sz w:val="20"/>
              </w:rPr>
              <w:t>3,5–5,5</w:t>
            </w:r>
          </w:p>
        </w:tc>
        <w:tc>
          <w:tcPr>
            <w:tcW w:w="1417" w:type="dxa"/>
            <w:shd w:val="clear" w:color="auto" w:fill="F2F2F2"/>
          </w:tcPr>
          <w:p w14:paraId="3EE32AD2" w14:textId="77777777" w:rsidR="006573EB" w:rsidRDefault="00000000">
            <w:pPr>
              <w:jc w:val="center"/>
            </w:pPr>
            <w:r>
              <w:rPr>
                <w:rFonts w:ascii="Times New Roman" w:hAnsi="Times New Roman"/>
                <w:sz w:val="20"/>
              </w:rPr>
              <w:t>4,5</w:t>
            </w:r>
          </w:p>
        </w:tc>
        <w:tc>
          <w:tcPr>
            <w:tcW w:w="1134" w:type="dxa"/>
            <w:shd w:val="clear" w:color="auto" w:fill="F2F2F2"/>
          </w:tcPr>
          <w:p w14:paraId="2BEE9D0C" w14:textId="77777777" w:rsidR="006573EB" w:rsidRDefault="00000000">
            <w:pPr>
              <w:jc w:val="center"/>
            </w:pPr>
            <w:r>
              <w:rPr>
                <w:rFonts w:ascii="Times New Roman" w:hAnsi="Times New Roman"/>
                <w:sz w:val="20"/>
              </w:rPr>
              <w:t>×10⁹/L</w:t>
            </w:r>
          </w:p>
        </w:tc>
      </w:tr>
      <w:tr w:rsidR="006573EB" w14:paraId="5201E4F6" w14:textId="77777777">
        <w:tc>
          <w:tcPr>
            <w:tcW w:w="2551" w:type="dxa"/>
            <w:shd w:val="clear" w:color="auto" w:fill="FFFFFF"/>
          </w:tcPr>
          <w:p w14:paraId="63DD70C5" w14:textId="77777777" w:rsidR="006573EB" w:rsidRDefault="00000000">
            <w:pPr>
              <w:jc w:val="center"/>
            </w:pPr>
            <w:r>
              <w:rPr>
                <w:rFonts w:ascii="Times New Roman" w:hAnsi="Times New Roman"/>
                <w:sz w:val="20"/>
              </w:rPr>
              <w:t>Ret baseline</w:t>
            </w:r>
          </w:p>
        </w:tc>
        <w:tc>
          <w:tcPr>
            <w:tcW w:w="1417" w:type="dxa"/>
            <w:shd w:val="clear" w:color="auto" w:fill="FFFFFF"/>
          </w:tcPr>
          <w:p w14:paraId="413C3060" w14:textId="77777777" w:rsidR="006573EB" w:rsidRDefault="00000000">
            <w:pPr>
              <w:jc w:val="center"/>
            </w:pPr>
            <w:r>
              <w:rPr>
                <w:rFonts w:ascii="Times New Roman" w:hAnsi="Times New Roman"/>
                <w:sz w:val="20"/>
              </w:rPr>
              <w:t>0,28</w:t>
            </w:r>
          </w:p>
        </w:tc>
        <w:tc>
          <w:tcPr>
            <w:tcW w:w="1984" w:type="dxa"/>
            <w:shd w:val="clear" w:color="auto" w:fill="FFFFFF"/>
          </w:tcPr>
          <w:p w14:paraId="3D18A18D" w14:textId="77777777" w:rsidR="006573EB" w:rsidRDefault="00000000">
            <w:pPr>
              <w:jc w:val="center"/>
            </w:pPr>
            <w:r>
              <w:rPr>
                <w:rFonts w:ascii="Times New Roman" w:hAnsi="Times New Roman"/>
                <w:sz w:val="20"/>
              </w:rPr>
              <w:t>0,05–0,12</w:t>
            </w:r>
          </w:p>
        </w:tc>
        <w:tc>
          <w:tcPr>
            <w:tcW w:w="1417" w:type="dxa"/>
            <w:shd w:val="clear" w:color="auto" w:fill="FFFFFF"/>
          </w:tcPr>
          <w:p w14:paraId="74FA6D6B" w14:textId="77777777" w:rsidR="006573EB" w:rsidRDefault="00000000">
            <w:pPr>
              <w:jc w:val="center"/>
            </w:pPr>
            <w:r>
              <w:rPr>
                <w:rFonts w:ascii="Times New Roman" w:hAnsi="Times New Roman"/>
                <w:sz w:val="20"/>
              </w:rPr>
              <w:t>0,08</w:t>
            </w:r>
          </w:p>
        </w:tc>
        <w:tc>
          <w:tcPr>
            <w:tcW w:w="1134" w:type="dxa"/>
            <w:shd w:val="clear" w:color="auto" w:fill="FFFFFF"/>
          </w:tcPr>
          <w:p w14:paraId="4644A1D9" w14:textId="77777777" w:rsidR="006573EB" w:rsidRDefault="00000000">
            <w:pPr>
              <w:jc w:val="center"/>
            </w:pPr>
            <w:r>
              <w:rPr>
                <w:rFonts w:ascii="Times New Roman" w:hAnsi="Times New Roman"/>
                <w:sz w:val="20"/>
              </w:rPr>
              <w:t>×10¹²/L</w:t>
            </w:r>
          </w:p>
        </w:tc>
      </w:tr>
      <w:tr w:rsidR="006573EB" w14:paraId="7EE64F57" w14:textId="77777777">
        <w:tc>
          <w:tcPr>
            <w:tcW w:w="2551" w:type="dxa"/>
            <w:shd w:val="clear" w:color="auto" w:fill="F2F2F2"/>
          </w:tcPr>
          <w:p w14:paraId="2DB9971F" w14:textId="77777777" w:rsidR="006573EB" w:rsidRDefault="00000000">
            <w:pPr>
              <w:jc w:val="center"/>
            </w:pPr>
            <w:r>
              <w:rPr>
                <w:rFonts w:ascii="Times New Roman" w:hAnsi="Times New Roman"/>
                <w:sz w:val="20"/>
              </w:rPr>
              <w:t>RBC baseline</w:t>
            </w:r>
          </w:p>
        </w:tc>
        <w:tc>
          <w:tcPr>
            <w:tcW w:w="1417" w:type="dxa"/>
            <w:shd w:val="clear" w:color="auto" w:fill="F2F2F2"/>
          </w:tcPr>
          <w:p w14:paraId="43E74D5D" w14:textId="77777777" w:rsidR="006573EB" w:rsidRDefault="00000000">
            <w:pPr>
              <w:jc w:val="center"/>
            </w:pPr>
            <w:r>
              <w:rPr>
                <w:rFonts w:ascii="Times New Roman" w:hAnsi="Times New Roman"/>
                <w:sz w:val="20"/>
              </w:rPr>
              <w:t>7,8</w:t>
            </w:r>
          </w:p>
        </w:tc>
        <w:tc>
          <w:tcPr>
            <w:tcW w:w="1984" w:type="dxa"/>
            <w:shd w:val="clear" w:color="auto" w:fill="F2F2F2"/>
          </w:tcPr>
          <w:p w14:paraId="1B8FBF1B" w14:textId="77777777" w:rsidR="006573EB" w:rsidRDefault="00000000">
            <w:pPr>
              <w:jc w:val="center"/>
            </w:pPr>
            <w:r>
              <w:rPr>
                <w:rFonts w:ascii="Times New Roman" w:hAnsi="Times New Roman"/>
                <w:sz w:val="20"/>
              </w:rPr>
              <w:t>4,5–6,0</w:t>
            </w:r>
          </w:p>
        </w:tc>
        <w:tc>
          <w:tcPr>
            <w:tcW w:w="1417" w:type="dxa"/>
            <w:shd w:val="clear" w:color="auto" w:fill="F2F2F2"/>
          </w:tcPr>
          <w:p w14:paraId="74A32BDF" w14:textId="77777777" w:rsidR="006573EB" w:rsidRDefault="00000000">
            <w:pPr>
              <w:jc w:val="center"/>
            </w:pPr>
            <w:r>
              <w:rPr>
                <w:rFonts w:ascii="Times New Roman" w:hAnsi="Times New Roman"/>
                <w:sz w:val="20"/>
              </w:rPr>
              <w:t>5,0</w:t>
            </w:r>
          </w:p>
        </w:tc>
        <w:tc>
          <w:tcPr>
            <w:tcW w:w="1134" w:type="dxa"/>
            <w:shd w:val="clear" w:color="auto" w:fill="F2F2F2"/>
          </w:tcPr>
          <w:p w14:paraId="32D70BA4" w14:textId="77777777" w:rsidR="006573EB" w:rsidRDefault="00000000">
            <w:pPr>
              <w:jc w:val="center"/>
            </w:pPr>
            <w:r>
              <w:rPr>
                <w:rFonts w:ascii="Times New Roman" w:hAnsi="Times New Roman"/>
                <w:sz w:val="20"/>
              </w:rPr>
              <w:t>×10¹²/L</w:t>
            </w:r>
          </w:p>
        </w:tc>
      </w:tr>
      <w:tr w:rsidR="006573EB" w14:paraId="3E5CD549" w14:textId="77777777">
        <w:tc>
          <w:tcPr>
            <w:tcW w:w="2551" w:type="dxa"/>
            <w:shd w:val="clear" w:color="auto" w:fill="FFFFFF"/>
          </w:tcPr>
          <w:p w14:paraId="647EC8B8" w14:textId="77777777" w:rsidR="006573EB" w:rsidRDefault="00000000">
            <w:pPr>
              <w:jc w:val="center"/>
            </w:pPr>
            <w:r>
              <w:rPr>
                <w:rFonts w:ascii="Times New Roman" w:hAnsi="Times New Roman"/>
                <w:sz w:val="20"/>
              </w:rPr>
              <w:t>Plt baseline</w:t>
            </w:r>
          </w:p>
        </w:tc>
        <w:tc>
          <w:tcPr>
            <w:tcW w:w="1417" w:type="dxa"/>
            <w:shd w:val="clear" w:color="auto" w:fill="FFFFFF"/>
          </w:tcPr>
          <w:p w14:paraId="6EE72E75" w14:textId="77777777" w:rsidR="006573EB" w:rsidRDefault="00000000">
            <w:pPr>
              <w:jc w:val="center"/>
            </w:pPr>
            <w:r>
              <w:rPr>
                <w:rFonts w:ascii="Times New Roman" w:hAnsi="Times New Roman"/>
                <w:sz w:val="20"/>
              </w:rPr>
              <w:t>900</w:t>
            </w:r>
          </w:p>
        </w:tc>
        <w:tc>
          <w:tcPr>
            <w:tcW w:w="1984" w:type="dxa"/>
            <w:shd w:val="clear" w:color="auto" w:fill="FFFFFF"/>
          </w:tcPr>
          <w:p w14:paraId="35EE22C2" w14:textId="77777777" w:rsidR="006573EB" w:rsidRDefault="00000000">
            <w:pPr>
              <w:jc w:val="center"/>
            </w:pPr>
            <w:r>
              <w:rPr>
                <w:rFonts w:ascii="Times New Roman" w:hAnsi="Times New Roman"/>
                <w:sz w:val="20"/>
              </w:rPr>
              <w:t>200–500</w:t>
            </w:r>
          </w:p>
        </w:tc>
        <w:tc>
          <w:tcPr>
            <w:tcW w:w="1417" w:type="dxa"/>
            <w:shd w:val="clear" w:color="auto" w:fill="FFFFFF"/>
          </w:tcPr>
          <w:p w14:paraId="0BB847D1" w14:textId="77777777" w:rsidR="006573EB" w:rsidRDefault="00000000">
            <w:pPr>
              <w:jc w:val="center"/>
            </w:pPr>
            <w:r>
              <w:rPr>
                <w:rFonts w:ascii="Times New Roman" w:hAnsi="Times New Roman"/>
                <w:sz w:val="20"/>
              </w:rPr>
              <w:t>250</w:t>
            </w:r>
          </w:p>
        </w:tc>
        <w:tc>
          <w:tcPr>
            <w:tcW w:w="1134" w:type="dxa"/>
            <w:shd w:val="clear" w:color="auto" w:fill="FFFFFF"/>
          </w:tcPr>
          <w:p w14:paraId="37A7E083" w14:textId="77777777" w:rsidR="006573EB" w:rsidRDefault="00000000">
            <w:pPr>
              <w:jc w:val="center"/>
            </w:pPr>
            <w:r>
              <w:rPr>
                <w:rFonts w:ascii="Times New Roman" w:hAnsi="Times New Roman"/>
                <w:sz w:val="20"/>
              </w:rPr>
              <w:t>×10⁹/L</w:t>
            </w:r>
          </w:p>
        </w:tc>
      </w:tr>
      <w:tr w:rsidR="006573EB" w14:paraId="70AE4952" w14:textId="77777777">
        <w:tc>
          <w:tcPr>
            <w:tcW w:w="2551" w:type="dxa"/>
            <w:shd w:val="clear" w:color="auto" w:fill="F2F2F2"/>
          </w:tcPr>
          <w:p w14:paraId="0A6F273E" w14:textId="77777777" w:rsidR="006573EB" w:rsidRDefault="00000000">
            <w:pPr>
              <w:jc w:val="center"/>
            </w:pPr>
            <w:r>
              <w:rPr>
                <w:rFonts w:ascii="Times New Roman" w:hAnsi="Times New Roman"/>
                <w:sz w:val="20"/>
              </w:rPr>
              <w:t>t½ Neut</w:t>
            </w:r>
          </w:p>
        </w:tc>
        <w:tc>
          <w:tcPr>
            <w:tcW w:w="1417" w:type="dxa"/>
            <w:shd w:val="clear" w:color="auto" w:fill="F2F2F2"/>
          </w:tcPr>
          <w:p w14:paraId="65412134" w14:textId="77777777" w:rsidR="006573EB" w:rsidRDefault="00000000">
            <w:pPr>
              <w:jc w:val="center"/>
            </w:pPr>
            <w:r>
              <w:rPr>
                <w:rFonts w:ascii="Times New Roman" w:hAnsi="Times New Roman"/>
                <w:sz w:val="20"/>
              </w:rPr>
              <w:t>6,9</w:t>
            </w:r>
          </w:p>
        </w:tc>
        <w:tc>
          <w:tcPr>
            <w:tcW w:w="1984" w:type="dxa"/>
            <w:shd w:val="clear" w:color="auto" w:fill="F2F2F2"/>
          </w:tcPr>
          <w:p w14:paraId="0EA3C420" w14:textId="77777777" w:rsidR="006573EB" w:rsidRDefault="00000000">
            <w:pPr>
              <w:jc w:val="center"/>
            </w:pPr>
            <w:r>
              <w:rPr>
                <w:rFonts w:ascii="Times New Roman" w:hAnsi="Times New Roman"/>
                <w:sz w:val="20"/>
              </w:rPr>
              <w:t>7,0</w:t>
            </w:r>
          </w:p>
        </w:tc>
        <w:tc>
          <w:tcPr>
            <w:tcW w:w="1417" w:type="dxa"/>
            <w:shd w:val="clear" w:color="auto" w:fill="F2F2F2"/>
          </w:tcPr>
          <w:p w14:paraId="3BA7B93F" w14:textId="77777777" w:rsidR="006573EB" w:rsidRDefault="00000000">
            <w:pPr>
              <w:jc w:val="center"/>
            </w:pPr>
            <w:r>
              <w:rPr>
                <w:rFonts w:ascii="Times New Roman" w:hAnsi="Times New Roman"/>
                <w:sz w:val="20"/>
              </w:rPr>
              <w:t>7,0</w:t>
            </w:r>
          </w:p>
        </w:tc>
        <w:tc>
          <w:tcPr>
            <w:tcW w:w="1134" w:type="dxa"/>
            <w:shd w:val="clear" w:color="auto" w:fill="F2F2F2"/>
          </w:tcPr>
          <w:p w14:paraId="2C7A7384" w14:textId="77777777" w:rsidR="006573EB" w:rsidRDefault="00000000">
            <w:pPr>
              <w:jc w:val="center"/>
            </w:pPr>
            <w:r>
              <w:rPr>
                <w:rFonts w:ascii="Times New Roman" w:hAnsi="Times New Roman"/>
                <w:sz w:val="20"/>
              </w:rPr>
              <w:t>h</w:t>
            </w:r>
          </w:p>
        </w:tc>
      </w:tr>
      <w:tr w:rsidR="006573EB" w14:paraId="36ADA1F0" w14:textId="77777777">
        <w:tc>
          <w:tcPr>
            <w:tcW w:w="2551" w:type="dxa"/>
            <w:shd w:val="clear" w:color="auto" w:fill="FFFFFF"/>
          </w:tcPr>
          <w:p w14:paraId="693FBBBC" w14:textId="77777777" w:rsidR="006573EB" w:rsidRDefault="00000000">
            <w:pPr>
              <w:jc w:val="center"/>
            </w:pPr>
            <w:r>
              <w:rPr>
                <w:rFonts w:ascii="Times New Roman" w:hAnsi="Times New Roman"/>
                <w:sz w:val="20"/>
              </w:rPr>
              <w:t>t½ RBC</w:t>
            </w:r>
          </w:p>
        </w:tc>
        <w:tc>
          <w:tcPr>
            <w:tcW w:w="1417" w:type="dxa"/>
            <w:shd w:val="clear" w:color="auto" w:fill="FFFFFF"/>
          </w:tcPr>
          <w:p w14:paraId="4D11F955" w14:textId="77777777" w:rsidR="006573EB" w:rsidRDefault="00000000">
            <w:pPr>
              <w:jc w:val="center"/>
            </w:pPr>
            <w:r>
              <w:rPr>
                <w:rFonts w:ascii="Times New Roman" w:hAnsi="Times New Roman"/>
                <w:sz w:val="20"/>
              </w:rPr>
              <w:t>60</w:t>
            </w:r>
          </w:p>
        </w:tc>
        <w:tc>
          <w:tcPr>
            <w:tcW w:w="1984" w:type="dxa"/>
            <w:shd w:val="clear" w:color="auto" w:fill="FFFFFF"/>
          </w:tcPr>
          <w:p w14:paraId="45970A25" w14:textId="77777777" w:rsidR="006573EB" w:rsidRDefault="00000000">
            <w:pPr>
              <w:jc w:val="center"/>
            </w:pPr>
            <w:r>
              <w:rPr>
                <w:rFonts w:ascii="Times New Roman" w:hAnsi="Times New Roman"/>
                <w:sz w:val="20"/>
              </w:rPr>
              <w:t>85</w:t>
            </w:r>
          </w:p>
        </w:tc>
        <w:tc>
          <w:tcPr>
            <w:tcW w:w="1417" w:type="dxa"/>
            <w:shd w:val="clear" w:color="auto" w:fill="FFFFFF"/>
          </w:tcPr>
          <w:p w14:paraId="4E6D063B" w14:textId="77777777" w:rsidR="006573EB" w:rsidRDefault="00000000">
            <w:pPr>
              <w:jc w:val="center"/>
            </w:pPr>
            <w:r>
              <w:rPr>
                <w:rFonts w:ascii="Times New Roman" w:hAnsi="Times New Roman"/>
                <w:sz w:val="20"/>
              </w:rPr>
              <w:t>120</w:t>
            </w:r>
          </w:p>
        </w:tc>
        <w:tc>
          <w:tcPr>
            <w:tcW w:w="1134" w:type="dxa"/>
            <w:shd w:val="clear" w:color="auto" w:fill="FFFFFF"/>
          </w:tcPr>
          <w:p w14:paraId="4794E8A3" w14:textId="77777777" w:rsidR="006573EB" w:rsidRDefault="00000000">
            <w:pPr>
              <w:jc w:val="center"/>
            </w:pPr>
            <w:r>
              <w:rPr>
                <w:rFonts w:ascii="Times New Roman" w:hAnsi="Times New Roman"/>
                <w:sz w:val="20"/>
              </w:rPr>
              <w:t>j</w:t>
            </w:r>
          </w:p>
        </w:tc>
      </w:tr>
      <w:tr w:rsidR="006573EB" w14:paraId="29B4878A" w14:textId="77777777">
        <w:tc>
          <w:tcPr>
            <w:tcW w:w="2551" w:type="dxa"/>
            <w:shd w:val="clear" w:color="auto" w:fill="F2F2F2"/>
          </w:tcPr>
          <w:p w14:paraId="3E2A3D2B" w14:textId="77777777" w:rsidR="006573EB" w:rsidRDefault="00000000">
            <w:pPr>
              <w:jc w:val="center"/>
            </w:pPr>
            <w:r>
              <w:rPr>
                <w:rFonts w:ascii="Times New Roman" w:hAnsi="Times New Roman"/>
                <w:sz w:val="20"/>
              </w:rPr>
              <w:t>t½ Plt</w:t>
            </w:r>
          </w:p>
        </w:tc>
        <w:tc>
          <w:tcPr>
            <w:tcW w:w="1417" w:type="dxa"/>
            <w:shd w:val="clear" w:color="auto" w:fill="F2F2F2"/>
          </w:tcPr>
          <w:p w14:paraId="7579714F" w14:textId="77777777" w:rsidR="006573EB" w:rsidRDefault="00000000">
            <w:pPr>
              <w:jc w:val="center"/>
            </w:pPr>
            <w:r>
              <w:rPr>
                <w:rFonts w:ascii="Times New Roman" w:hAnsi="Times New Roman"/>
                <w:sz w:val="20"/>
              </w:rPr>
              <w:t>5</w:t>
            </w:r>
          </w:p>
        </w:tc>
        <w:tc>
          <w:tcPr>
            <w:tcW w:w="1984" w:type="dxa"/>
            <w:shd w:val="clear" w:color="auto" w:fill="F2F2F2"/>
          </w:tcPr>
          <w:p w14:paraId="4EFCE9F8" w14:textId="77777777" w:rsidR="006573EB" w:rsidRDefault="00000000">
            <w:pPr>
              <w:jc w:val="center"/>
            </w:pPr>
            <w:r>
              <w:rPr>
                <w:rFonts w:ascii="Times New Roman" w:hAnsi="Times New Roman"/>
                <w:sz w:val="20"/>
              </w:rPr>
              <w:t>9</w:t>
            </w:r>
          </w:p>
        </w:tc>
        <w:tc>
          <w:tcPr>
            <w:tcW w:w="1417" w:type="dxa"/>
            <w:shd w:val="clear" w:color="auto" w:fill="F2F2F2"/>
          </w:tcPr>
          <w:p w14:paraId="57A8BC1D" w14:textId="77777777" w:rsidR="006573EB" w:rsidRDefault="00000000">
            <w:pPr>
              <w:jc w:val="center"/>
            </w:pPr>
            <w:r>
              <w:rPr>
                <w:rFonts w:ascii="Times New Roman" w:hAnsi="Times New Roman"/>
                <w:sz w:val="20"/>
              </w:rPr>
              <w:t>10</w:t>
            </w:r>
          </w:p>
        </w:tc>
        <w:tc>
          <w:tcPr>
            <w:tcW w:w="1134" w:type="dxa"/>
            <w:shd w:val="clear" w:color="auto" w:fill="F2F2F2"/>
          </w:tcPr>
          <w:p w14:paraId="7F458963" w14:textId="77777777" w:rsidR="006573EB" w:rsidRDefault="00000000">
            <w:pPr>
              <w:jc w:val="center"/>
            </w:pPr>
            <w:r>
              <w:rPr>
                <w:rFonts w:ascii="Times New Roman" w:hAnsi="Times New Roman"/>
                <w:sz w:val="20"/>
              </w:rPr>
              <w:t>j</w:t>
            </w:r>
          </w:p>
        </w:tc>
      </w:tr>
      <w:tr w:rsidR="006573EB" w14:paraId="2F09B9E3" w14:textId="77777777">
        <w:tc>
          <w:tcPr>
            <w:tcW w:w="2551" w:type="dxa"/>
            <w:shd w:val="clear" w:color="auto" w:fill="FFFFFF"/>
          </w:tcPr>
          <w:p w14:paraId="0DC07441" w14:textId="77777777" w:rsidR="006573EB" w:rsidRDefault="00000000">
            <w:pPr>
              <w:jc w:val="center"/>
            </w:pPr>
            <w:r>
              <w:rPr>
                <w:rFonts w:ascii="Times New Roman" w:hAnsi="Times New Roman"/>
                <w:sz w:val="20"/>
              </w:rPr>
              <w:t>γ (feedback)</w:t>
            </w:r>
          </w:p>
        </w:tc>
        <w:tc>
          <w:tcPr>
            <w:tcW w:w="1417" w:type="dxa"/>
            <w:shd w:val="clear" w:color="auto" w:fill="FFFFFF"/>
          </w:tcPr>
          <w:p w14:paraId="2B38A127" w14:textId="77777777" w:rsidR="006573EB" w:rsidRDefault="00000000">
            <w:pPr>
              <w:jc w:val="center"/>
            </w:pPr>
            <w:r>
              <w:rPr>
                <w:rFonts w:ascii="Times New Roman" w:hAnsi="Times New Roman"/>
                <w:sz w:val="20"/>
              </w:rPr>
              <w:t>0,20</w:t>
            </w:r>
          </w:p>
        </w:tc>
        <w:tc>
          <w:tcPr>
            <w:tcW w:w="1984" w:type="dxa"/>
            <w:shd w:val="clear" w:color="auto" w:fill="FFFFFF"/>
          </w:tcPr>
          <w:p w14:paraId="368B3035" w14:textId="77777777" w:rsidR="006573EB" w:rsidRDefault="00000000">
            <w:pPr>
              <w:jc w:val="center"/>
            </w:pPr>
            <w:r>
              <w:rPr>
                <w:rFonts w:ascii="Times New Roman" w:hAnsi="Times New Roman"/>
                <w:sz w:val="20"/>
              </w:rPr>
              <w:t>0,20</w:t>
            </w:r>
          </w:p>
        </w:tc>
        <w:tc>
          <w:tcPr>
            <w:tcW w:w="1417" w:type="dxa"/>
            <w:shd w:val="clear" w:color="auto" w:fill="FFFFFF"/>
          </w:tcPr>
          <w:p w14:paraId="14C52F55" w14:textId="77777777" w:rsidR="006573EB" w:rsidRDefault="00000000">
            <w:pPr>
              <w:jc w:val="center"/>
            </w:pPr>
            <w:r>
              <w:rPr>
                <w:rFonts w:ascii="Times New Roman" w:hAnsi="Times New Roman"/>
                <w:sz w:val="20"/>
              </w:rPr>
              <w:t>0,20</w:t>
            </w:r>
          </w:p>
        </w:tc>
        <w:tc>
          <w:tcPr>
            <w:tcW w:w="1134" w:type="dxa"/>
            <w:shd w:val="clear" w:color="auto" w:fill="FFFFFF"/>
          </w:tcPr>
          <w:p w14:paraId="6BB58DB1" w14:textId="77777777" w:rsidR="006573EB" w:rsidRDefault="00000000">
            <w:pPr>
              <w:jc w:val="center"/>
            </w:pPr>
            <w:r>
              <w:rPr>
                <w:rFonts w:ascii="Times New Roman" w:hAnsi="Times New Roman"/>
                <w:sz w:val="20"/>
              </w:rPr>
              <w:t>—</w:t>
            </w:r>
          </w:p>
        </w:tc>
      </w:tr>
    </w:tbl>
    <w:p w14:paraId="232CF33D" w14:textId="77777777" w:rsidR="006573EB" w:rsidRPr="00463A58" w:rsidRDefault="00000000">
      <w:pPr>
        <w:spacing w:before="240" w:after="80"/>
        <w:rPr>
          <w:lang w:val="fr-FR"/>
        </w:rPr>
      </w:pPr>
      <w:r w:rsidRPr="00463A58">
        <w:rPr>
          <w:rFonts w:ascii="Times New Roman" w:hAnsi="Times New Roman"/>
          <w:b/>
          <w:color w:val="34495E"/>
          <w:sz w:val="28"/>
          <w:lang w:val="fr-FR"/>
        </w:rPr>
        <w:t>Annexe A3 — Seuils CTCAE v5 utilisés dans le modèle</w:t>
      </w:r>
    </w:p>
    <w:tbl>
      <w:tblPr>
        <w:tblStyle w:val="Grilledutableau"/>
        <w:tblW w:w="0" w:type="auto"/>
        <w:tblLook w:val="04A0" w:firstRow="1" w:lastRow="0" w:firstColumn="1" w:lastColumn="0" w:noHBand="0" w:noVBand="1"/>
      </w:tblPr>
      <w:tblGrid>
        <w:gridCol w:w="1923"/>
        <w:gridCol w:w="1589"/>
        <w:gridCol w:w="794"/>
        <w:gridCol w:w="992"/>
        <w:gridCol w:w="992"/>
        <w:gridCol w:w="996"/>
        <w:gridCol w:w="782"/>
        <w:gridCol w:w="1270"/>
      </w:tblGrid>
      <w:tr w:rsidR="006573EB" w14:paraId="57F73649" w14:textId="77777777">
        <w:tc>
          <w:tcPr>
            <w:tcW w:w="1984" w:type="dxa"/>
            <w:shd w:val="clear" w:color="auto" w:fill="2C3E50"/>
          </w:tcPr>
          <w:p w14:paraId="0E7C205D" w14:textId="77777777" w:rsidR="006573EB" w:rsidRDefault="00000000">
            <w:pPr>
              <w:jc w:val="center"/>
            </w:pPr>
            <w:proofErr w:type="spellStart"/>
            <w:r>
              <w:rPr>
                <w:rFonts w:ascii="Times New Roman" w:hAnsi="Times New Roman"/>
                <w:b/>
                <w:color w:val="FFFFFF"/>
                <w:sz w:val="20"/>
              </w:rPr>
              <w:lastRenderedPageBreak/>
              <w:t>Toxicité</w:t>
            </w:r>
            <w:proofErr w:type="spellEnd"/>
          </w:p>
        </w:tc>
        <w:tc>
          <w:tcPr>
            <w:tcW w:w="1701" w:type="dxa"/>
            <w:shd w:val="clear" w:color="auto" w:fill="2C3E50"/>
          </w:tcPr>
          <w:p w14:paraId="4AF241E9" w14:textId="77777777" w:rsidR="006573EB" w:rsidRDefault="00000000">
            <w:pPr>
              <w:jc w:val="center"/>
            </w:pPr>
            <w:r>
              <w:rPr>
                <w:rFonts w:ascii="Times New Roman" w:hAnsi="Times New Roman"/>
                <w:b/>
                <w:color w:val="FFFFFF"/>
                <w:sz w:val="20"/>
              </w:rPr>
              <w:t>Cellule sentinelle</w:t>
            </w:r>
          </w:p>
        </w:tc>
        <w:tc>
          <w:tcPr>
            <w:tcW w:w="850" w:type="dxa"/>
            <w:shd w:val="clear" w:color="auto" w:fill="2C3E50"/>
          </w:tcPr>
          <w:p w14:paraId="4AD77557" w14:textId="77777777" w:rsidR="006573EB" w:rsidRDefault="00000000">
            <w:pPr>
              <w:jc w:val="center"/>
            </w:pPr>
            <w:r>
              <w:rPr>
                <w:rFonts w:ascii="Times New Roman" w:hAnsi="Times New Roman"/>
                <w:b/>
                <w:color w:val="FFFFFF"/>
                <w:sz w:val="20"/>
              </w:rPr>
              <w:t>G0</w:t>
            </w:r>
          </w:p>
        </w:tc>
        <w:tc>
          <w:tcPr>
            <w:tcW w:w="1134" w:type="dxa"/>
            <w:shd w:val="clear" w:color="auto" w:fill="2C3E50"/>
          </w:tcPr>
          <w:p w14:paraId="46BD6173" w14:textId="77777777" w:rsidR="006573EB" w:rsidRDefault="00000000">
            <w:pPr>
              <w:jc w:val="center"/>
            </w:pPr>
            <w:r>
              <w:rPr>
                <w:rFonts w:ascii="Times New Roman" w:hAnsi="Times New Roman"/>
                <w:b/>
                <w:color w:val="FFFFFF"/>
                <w:sz w:val="20"/>
              </w:rPr>
              <w:t>G1</w:t>
            </w:r>
          </w:p>
        </w:tc>
        <w:tc>
          <w:tcPr>
            <w:tcW w:w="1134" w:type="dxa"/>
            <w:shd w:val="clear" w:color="auto" w:fill="2C3E50"/>
          </w:tcPr>
          <w:p w14:paraId="6A504042" w14:textId="77777777" w:rsidR="006573EB" w:rsidRDefault="00000000">
            <w:pPr>
              <w:jc w:val="center"/>
            </w:pPr>
            <w:r>
              <w:rPr>
                <w:rFonts w:ascii="Times New Roman" w:hAnsi="Times New Roman"/>
                <w:b/>
                <w:color w:val="FFFFFF"/>
                <w:sz w:val="20"/>
              </w:rPr>
              <w:t>G2</w:t>
            </w:r>
          </w:p>
        </w:tc>
        <w:tc>
          <w:tcPr>
            <w:tcW w:w="1134" w:type="dxa"/>
            <w:shd w:val="clear" w:color="auto" w:fill="2C3E50"/>
          </w:tcPr>
          <w:p w14:paraId="23BE08C2" w14:textId="77777777" w:rsidR="006573EB" w:rsidRDefault="00000000">
            <w:pPr>
              <w:jc w:val="center"/>
            </w:pPr>
            <w:r>
              <w:rPr>
                <w:rFonts w:ascii="Times New Roman" w:hAnsi="Times New Roman"/>
                <w:b/>
                <w:color w:val="FFFFFF"/>
                <w:sz w:val="20"/>
              </w:rPr>
              <w:t>G3</w:t>
            </w:r>
          </w:p>
        </w:tc>
        <w:tc>
          <w:tcPr>
            <w:tcW w:w="850" w:type="dxa"/>
            <w:shd w:val="clear" w:color="auto" w:fill="2C3E50"/>
          </w:tcPr>
          <w:p w14:paraId="4C62B9B7" w14:textId="77777777" w:rsidR="006573EB" w:rsidRDefault="00000000">
            <w:pPr>
              <w:jc w:val="center"/>
            </w:pPr>
            <w:r>
              <w:rPr>
                <w:rFonts w:ascii="Times New Roman" w:hAnsi="Times New Roman"/>
                <w:b/>
                <w:color w:val="FFFFFF"/>
                <w:sz w:val="20"/>
              </w:rPr>
              <w:t>G4</w:t>
            </w:r>
          </w:p>
        </w:tc>
        <w:tc>
          <w:tcPr>
            <w:tcW w:w="1417" w:type="dxa"/>
            <w:shd w:val="clear" w:color="auto" w:fill="2C3E50"/>
          </w:tcPr>
          <w:p w14:paraId="027B8703" w14:textId="77777777" w:rsidR="006573EB" w:rsidRDefault="00000000">
            <w:pPr>
              <w:jc w:val="center"/>
            </w:pPr>
            <w:r>
              <w:rPr>
                <w:rFonts w:ascii="Times New Roman" w:hAnsi="Times New Roman"/>
                <w:b/>
                <w:color w:val="FFFFFF"/>
                <w:sz w:val="20"/>
              </w:rPr>
              <w:t>Unité</w:t>
            </w:r>
          </w:p>
        </w:tc>
      </w:tr>
      <w:tr w:rsidR="006573EB" w14:paraId="551E51D2" w14:textId="77777777">
        <w:tc>
          <w:tcPr>
            <w:tcW w:w="1984" w:type="dxa"/>
            <w:shd w:val="clear" w:color="auto" w:fill="F2F2F2"/>
          </w:tcPr>
          <w:p w14:paraId="41EA7134" w14:textId="77777777" w:rsidR="006573EB" w:rsidRDefault="00000000">
            <w:pPr>
              <w:jc w:val="center"/>
            </w:pPr>
            <w:r>
              <w:rPr>
                <w:rFonts w:ascii="Times New Roman" w:hAnsi="Times New Roman"/>
                <w:sz w:val="20"/>
              </w:rPr>
              <w:t>Neutropénie</w:t>
            </w:r>
          </w:p>
        </w:tc>
        <w:tc>
          <w:tcPr>
            <w:tcW w:w="1701" w:type="dxa"/>
            <w:shd w:val="clear" w:color="auto" w:fill="F2F2F2"/>
          </w:tcPr>
          <w:p w14:paraId="5A05AAD6" w14:textId="77777777" w:rsidR="006573EB" w:rsidRDefault="00000000">
            <w:pPr>
              <w:jc w:val="center"/>
            </w:pPr>
            <w:r>
              <w:rPr>
                <w:rFonts w:ascii="Times New Roman" w:hAnsi="Times New Roman"/>
                <w:sz w:val="20"/>
              </w:rPr>
              <w:t>Neutrophiles</w:t>
            </w:r>
          </w:p>
        </w:tc>
        <w:tc>
          <w:tcPr>
            <w:tcW w:w="850" w:type="dxa"/>
            <w:shd w:val="clear" w:color="auto" w:fill="F2F2F2"/>
          </w:tcPr>
          <w:p w14:paraId="2677B081" w14:textId="77777777" w:rsidR="006573EB" w:rsidRDefault="00000000">
            <w:pPr>
              <w:jc w:val="center"/>
            </w:pPr>
            <w:r>
              <w:rPr>
                <w:rFonts w:ascii="Times New Roman" w:hAnsi="Times New Roman"/>
                <w:sz w:val="20"/>
              </w:rPr>
              <w:t>≥2,0</w:t>
            </w:r>
          </w:p>
        </w:tc>
        <w:tc>
          <w:tcPr>
            <w:tcW w:w="1134" w:type="dxa"/>
            <w:shd w:val="clear" w:color="auto" w:fill="F2F2F2"/>
          </w:tcPr>
          <w:p w14:paraId="58BB19C1" w14:textId="77777777" w:rsidR="006573EB" w:rsidRDefault="00000000">
            <w:pPr>
              <w:jc w:val="center"/>
            </w:pPr>
            <w:r>
              <w:rPr>
                <w:rFonts w:ascii="Times New Roman" w:hAnsi="Times New Roman"/>
                <w:sz w:val="20"/>
              </w:rPr>
              <w:t>1,5–2,0</w:t>
            </w:r>
          </w:p>
        </w:tc>
        <w:tc>
          <w:tcPr>
            <w:tcW w:w="1134" w:type="dxa"/>
            <w:shd w:val="clear" w:color="auto" w:fill="F2F2F2"/>
          </w:tcPr>
          <w:p w14:paraId="1CD7F99A" w14:textId="77777777" w:rsidR="006573EB" w:rsidRDefault="00000000">
            <w:pPr>
              <w:jc w:val="center"/>
            </w:pPr>
            <w:r>
              <w:rPr>
                <w:rFonts w:ascii="Times New Roman" w:hAnsi="Times New Roman"/>
                <w:sz w:val="20"/>
              </w:rPr>
              <w:t>1,0–1,5</w:t>
            </w:r>
          </w:p>
        </w:tc>
        <w:tc>
          <w:tcPr>
            <w:tcW w:w="1134" w:type="dxa"/>
            <w:shd w:val="clear" w:color="auto" w:fill="F2F2F2"/>
          </w:tcPr>
          <w:p w14:paraId="248F3F6C" w14:textId="77777777" w:rsidR="006573EB" w:rsidRDefault="00000000">
            <w:pPr>
              <w:jc w:val="center"/>
            </w:pPr>
            <w:r>
              <w:rPr>
                <w:rFonts w:ascii="Times New Roman" w:hAnsi="Times New Roman"/>
                <w:sz w:val="20"/>
              </w:rPr>
              <w:t>0,5–1,0</w:t>
            </w:r>
          </w:p>
        </w:tc>
        <w:tc>
          <w:tcPr>
            <w:tcW w:w="850" w:type="dxa"/>
            <w:shd w:val="clear" w:color="auto" w:fill="F2F2F2"/>
          </w:tcPr>
          <w:p w14:paraId="2680C7BC" w14:textId="77777777" w:rsidR="006573EB" w:rsidRDefault="00000000">
            <w:pPr>
              <w:jc w:val="center"/>
            </w:pPr>
            <w:r>
              <w:rPr>
                <w:rFonts w:ascii="Times New Roman" w:hAnsi="Times New Roman"/>
                <w:sz w:val="20"/>
              </w:rPr>
              <w:t>&lt;0,5</w:t>
            </w:r>
          </w:p>
        </w:tc>
        <w:tc>
          <w:tcPr>
            <w:tcW w:w="1417" w:type="dxa"/>
            <w:shd w:val="clear" w:color="auto" w:fill="F2F2F2"/>
          </w:tcPr>
          <w:p w14:paraId="357B454C" w14:textId="77777777" w:rsidR="006573EB" w:rsidRDefault="00000000">
            <w:pPr>
              <w:jc w:val="center"/>
            </w:pPr>
            <w:r>
              <w:rPr>
                <w:rFonts w:ascii="Times New Roman" w:hAnsi="Times New Roman"/>
                <w:sz w:val="20"/>
              </w:rPr>
              <w:t>×10⁹/L</w:t>
            </w:r>
          </w:p>
        </w:tc>
      </w:tr>
      <w:tr w:rsidR="006573EB" w14:paraId="5A52DC38" w14:textId="77777777">
        <w:tc>
          <w:tcPr>
            <w:tcW w:w="1984" w:type="dxa"/>
            <w:shd w:val="clear" w:color="auto" w:fill="FFFFFF"/>
          </w:tcPr>
          <w:p w14:paraId="0735BDA2" w14:textId="77777777" w:rsidR="006573EB" w:rsidRDefault="00000000">
            <w:pPr>
              <w:jc w:val="center"/>
            </w:pPr>
            <w:r>
              <w:rPr>
                <w:rFonts w:ascii="Times New Roman" w:hAnsi="Times New Roman"/>
                <w:sz w:val="20"/>
              </w:rPr>
              <w:t>Anémie</w:t>
            </w:r>
          </w:p>
        </w:tc>
        <w:tc>
          <w:tcPr>
            <w:tcW w:w="1701" w:type="dxa"/>
            <w:shd w:val="clear" w:color="auto" w:fill="FFFFFF"/>
          </w:tcPr>
          <w:p w14:paraId="33B8A93F" w14:textId="77777777" w:rsidR="006573EB" w:rsidRDefault="00000000">
            <w:pPr>
              <w:jc w:val="center"/>
            </w:pPr>
            <w:r>
              <w:rPr>
                <w:rFonts w:ascii="Times New Roman" w:hAnsi="Times New Roman"/>
                <w:sz w:val="20"/>
              </w:rPr>
              <w:t>RBC (proxy Hb)</w:t>
            </w:r>
          </w:p>
        </w:tc>
        <w:tc>
          <w:tcPr>
            <w:tcW w:w="850" w:type="dxa"/>
            <w:shd w:val="clear" w:color="auto" w:fill="FFFFFF"/>
          </w:tcPr>
          <w:p w14:paraId="4E41B4F8" w14:textId="77777777" w:rsidR="006573EB" w:rsidRDefault="00000000">
            <w:pPr>
              <w:jc w:val="center"/>
            </w:pPr>
            <w:r>
              <w:rPr>
                <w:rFonts w:ascii="Times New Roman" w:hAnsi="Times New Roman"/>
                <w:sz w:val="20"/>
              </w:rPr>
              <w:t>≥4,5</w:t>
            </w:r>
          </w:p>
        </w:tc>
        <w:tc>
          <w:tcPr>
            <w:tcW w:w="1134" w:type="dxa"/>
            <w:shd w:val="clear" w:color="auto" w:fill="FFFFFF"/>
          </w:tcPr>
          <w:p w14:paraId="49C87B30" w14:textId="77777777" w:rsidR="006573EB" w:rsidRDefault="00000000">
            <w:pPr>
              <w:jc w:val="center"/>
            </w:pPr>
            <w:r>
              <w:rPr>
                <w:rFonts w:ascii="Times New Roman" w:hAnsi="Times New Roman"/>
                <w:sz w:val="20"/>
              </w:rPr>
              <w:t>4,0–4,5</w:t>
            </w:r>
          </w:p>
        </w:tc>
        <w:tc>
          <w:tcPr>
            <w:tcW w:w="1134" w:type="dxa"/>
            <w:shd w:val="clear" w:color="auto" w:fill="FFFFFF"/>
          </w:tcPr>
          <w:p w14:paraId="2B2ACC43" w14:textId="77777777" w:rsidR="006573EB" w:rsidRDefault="00000000">
            <w:pPr>
              <w:jc w:val="center"/>
            </w:pPr>
            <w:r>
              <w:rPr>
                <w:rFonts w:ascii="Times New Roman" w:hAnsi="Times New Roman"/>
                <w:sz w:val="20"/>
              </w:rPr>
              <w:t>3,5–4,0</w:t>
            </w:r>
          </w:p>
        </w:tc>
        <w:tc>
          <w:tcPr>
            <w:tcW w:w="1134" w:type="dxa"/>
            <w:shd w:val="clear" w:color="auto" w:fill="FFFFFF"/>
          </w:tcPr>
          <w:p w14:paraId="23EAE86E" w14:textId="77777777" w:rsidR="006573EB" w:rsidRDefault="00000000">
            <w:pPr>
              <w:jc w:val="center"/>
            </w:pPr>
            <w:r>
              <w:rPr>
                <w:rFonts w:ascii="Times New Roman" w:hAnsi="Times New Roman"/>
                <w:sz w:val="20"/>
              </w:rPr>
              <w:t>&lt;3,5</w:t>
            </w:r>
          </w:p>
        </w:tc>
        <w:tc>
          <w:tcPr>
            <w:tcW w:w="850" w:type="dxa"/>
            <w:shd w:val="clear" w:color="auto" w:fill="FFFFFF"/>
          </w:tcPr>
          <w:p w14:paraId="05E37F62" w14:textId="77777777" w:rsidR="006573EB" w:rsidRDefault="00000000">
            <w:pPr>
              <w:jc w:val="center"/>
            </w:pPr>
            <w:r>
              <w:rPr>
                <w:rFonts w:ascii="Times New Roman" w:hAnsi="Times New Roman"/>
                <w:sz w:val="20"/>
              </w:rPr>
              <w:t>—</w:t>
            </w:r>
          </w:p>
        </w:tc>
        <w:tc>
          <w:tcPr>
            <w:tcW w:w="1417" w:type="dxa"/>
            <w:shd w:val="clear" w:color="auto" w:fill="FFFFFF"/>
          </w:tcPr>
          <w:p w14:paraId="039A87A8" w14:textId="77777777" w:rsidR="006573EB" w:rsidRDefault="00000000">
            <w:pPr>
              <w:jc w:val="center"/>
            </w:pPr>
            <w:r>
              <w:rPr>
                <w:rFonts w:ascii="Times New Roman" w:hAnsi="Times New Roman"/>
                <w:sz w:val="20"/>
              </w:rPr>
              <w:t>×10¹²/L</w:t>
            </w:r>
          </w:p>
        </w:tc>
      </w:tr>
      <w:tr w:rsidR="006573EB" w14:paraId="2A00698A" w14:textId="77777777">
        <w:tc>
          <w:tcPr>
            <w:tcW w:w="1984" w:type="dxa"/>
            <w:shd w:val="clear" w:color="auto" w:fill="F2F2F2"/>
          </w:tcPr>
          <w:p w14:paraId="37D74648" w14:textId="77777777" w:rsidR="006573EB" w:rsidRDefault="00000000">
            <w:pPr>
              <w:jc w:val="center"/>
            </w:pPr>
            <w:r>
              <w:rPr>
                <w:rFonts w:ascii="Times New Roman" w:hAnsi="Times New Roman"/>
                <w:sz w:val="20"/>
              </w:rPr>
              <w:t>Thrombocytopénie</w:t>
            </w:r>
          </w:p>
        </w:tc>
        <w:tc>
          <w:tcPr>
            <w:tcW w:w="1701" w:type="dxa"/>
            <w:shd w:val="clear" w:color="auto" w:fill="F2F2F2"/>
          </w:tcPr>
          <w:p w14:paraId="58B00E3F" w14:textId="77777777" w:rsidR="006573EB" w:rsidRDefault="00000000">
            <w:pPr>
              <w:jc w:val="center"/>
            </w:pPr>
            <w:r>
              <w:rPr>
                <w:rFonts w:ascii="Times New Roman" w:hAnsi="Times New Roman"/>
                <w:sz w:val="20"/>
              </w:rPr>
              <w:t>Plaquettes</w:t>
            </w:r>
          </w:p>
        </w:tc>
        <w:tc>
          <w:tcPr>
            <w:tcW w:w="850" w:type="dxa"/>
            <w:shd w:val="clear" w:color="auto" w:fill="F2F2F2"/>
          </w:tcPr>
          <w:p w14:paraId="751F7BC6" w14:textId="77777777" w:rsidR="006573EB" w:rsidRDefault="00000000">
            <w:pPr>
              <w:jc w:val="center"/>
            </w:pPr>
            <w:r>
              <w:rPr>
                <w:rFonts w:ascii="Times New Roman" w:hAnsi="Times New Roman"/>
                <w:sz w:val="20"/>
              </w:rPr>
              <w:t>≥150</w:t>
            </w:r>
          </w:p>
        </w:tc>
        <w:tc>
          <w:tcPr>
            <w:tcW w:w="1134" w:type="dxa"/>
            <w:shd w:val="clear" w:color="auto" w:fill="F2F2F2"/>
          </w:tcPr>
          <w:p w14:paraId="53DC428E" w14:textId="77777777" w:rsidR="006573EB" w:rsidRDefault="00000000">
            <w:pPr>
              <w:jc w:val="center"/>
            </w:pPr>
            <w:r>
              <w:rPr>
                <w:rFonts w:ascii="Times New Roman" w:hAnsi="Times New Roman"/>
                <w:sz w:val="20"/>
              </w:rPr>
              <w:t>75–150</w:t>
            </w:r>
          </w:p>
        </w:tc>
        <w:tc>
          <w:tcPr>
            <w:tcW w:w="1134" w:type="dxa"/>
            <w:shd w:val="clear" w:color="auto" w:fill="F2F2F2"/>
          </w:tcPr>
          <w:p w14:paraId="43F22384" w14:textId="77777777" w:rsidR="006573EB" w:rsidRDefault="00000000">
            <w:pPr>
              <w:jc w:val="center"/>
            </w:pPr>
            <w:r>
              <w:rPr>
                <w:rFonts w:ascii="Times New Roman" w:hAnsi="Times New Roman"/>
                <w:sz w:val="20"/>
              </w:rPr>
              <w:t>50–75</w:t>
            </w:r>
          </w:p>
        </w:tc>
        <w:tc>
          <w:tcPr>
            <w:tcW w:w="1134" w:type="dxa"/>
            <w:shd w:val="clear" w:color="auto" w:fill="F2F2F2"/>
          </w:tcPr>
          <w:p w14:paraId="3B49684E" w14:textId="77777777" w:rsidR="006573EB" w:rsidRDefault="00000000">
            <w:pPr>
              <w:jc w:val="center"/>
            </w:pPr>
            <w:r>
              <w:rPr>
                <w:rFonts w:ascii="Times New Roman" w:hAnsi="Times New Roman"/>
                <w:sz w:val="20"/>
              </w:rPr>
              <w:t>25–50</w:t>
            </w:r>
          </w:p>
        </w:tc>
        <w:tc>
          <w:tcPr>
            <w:tcW w:w="850" w:type="dxa"/>
            <w:shd w:val="clear" w:color="auto" w:fill="F2F2F2"/>
          </w:tcPr>
          <w:p w14:paraId="0A333AA7" w14:textId="77777777" w:rsidR="006573EB" w:rsidRDefault="00000000">
            <w:pPr>
              <w:jc w:val="center"/>
            </w:pPr>
            <w:r>
              <w:rPr>
                <w:rFonts w:ascii="Times New Roman" w:hAnsi="Times New Roman"/>
                <w:sz w:val="20"/>
              </w:rPr>
              <w:t>&lt;25</w:t>
            </w:r>
          </w:p>
        </w:tc>
        <w:tc>
          <w:tcPr>
            <w:tcW w:w="1417" w:type="dxa"/>
            <w:shd w:val="clear" w:color="auto" w:fill="F2F2F2"/>
          </w:tcPr>
          <w:p w14:paraId="6A5DC2A0" w14:textId="77777777" w:rsidR="006573EB" w:rsidRDefault="00000000">
            <w:pPr>
              <w:jc w:val="center"/>
            </w:pPr>
            <w:r>
              <w:rPr>
                <w:rFonts w:ascii="Times New Roman" w:hAnsi="Times New Roman"/>
                <w:sz w:val="20"/>
              </w:rPr>
              <w:t>×10⁹/L</w:t>
            </w:r>
          </w:p>
        </w:tc>
      </w:tr>
    </w:tbl>
    <w:p w14:paraId="6CDD9ECF" w14:textId="77777777" w:rsidR="006573EB" w:rsidRPr="00463A58" w:rsidRDefault="00000000">
      <w:pPr>
        <w:spacing w:before="240" w:after="80"/>
        <w:rPr>
          <w:lang w:val="fr-FR"/>
        </w:rPr>
      </w:pPr>
      <w:r w:rsidRPr="00463A58">
        <w:rPr>
          <w:rFonts w:ascii="Times New Roman" w:hAnsi="Times New Roman"/>
          <w:b/>
          <w:color w:val="34495E"/>
          <w:sz w:val="28"/>
          <w:lang w:val="fr-FR"/>
        </w:rPr>
        <w:t>Annexe A4 — Structure du code R (organisation des scripts)</w:t>
      </w:r>
    </w:p>
    <w:tbl>
      <w:tblPr>
        <w:tblStyle w:val="Grilledutableau"/>
        <w:tblW w:w="0" w:type="auto"/>
        <w:tblLook w:val="04A0" w:firstRow="1" w:lastRow="0" w:firstColumn="1" w:lastColumn="0" w:noHBand="0" w:noVBand="1"/>
      </w:tblPr>
      <w:tblGrid>
        <w:gridCol w:w="3007"/>
        <w:gridCol w:w="3222"/>
        <w:gridCol w:w="3109"/>
      </w:tblGrid>
      <w:tr w:rsidR="006573EB" w14:paraId="2F0E1E23" w14:textId="77777777">
        <w:tc>
          <w:tcPr>
            <w:tcW w:w="3118" w:type="dxa"/>
            <w:shd w:val="clear" w:color="auto" w:fill="2C3E50"/>
          </w:tcPr>
          <w:p w14:paraId="0D225693" w14:textId="77777777" w:rsidR="006573EB" w:rsidRDefault="00000000">
            <w:pPr>
              <w:jc w:val="center"/>
            </w:pPr>
            <w:r>
              <w:rPr>
                <w:rFonts w:ascii="Times New Roman" w:hAnsi="Times New Roman"/>
                <w:b/>
                <w:color w:val="FFFFFF"/>
                <w:sz w:val="20"/>
              </w:rPr>
              <w:t>Module (dossier)</w:t>
            </w:r>
          </w:p>
        </w:tc>
        <w:tc>
          <w:tcPr>
            <w:tcW w:w="2835" w:type="dxa"/>
            <w:shd w:val="clear" w:color="auto" w:fill="2C3E50"/>
          </w:tcPr>
          <w:p w14:paraId="7960041D" w14:textId="77777777" w:rsidR="006573EB" w:rsidRDefault="00000000">
            <w:pPr>
              <w:jc w:val="center"/>
            </w:pPr>
            <w:r>
              <w:rPr>
                <w:rFonts w:ascii="Times New Roman" w:hAnsi="Times New Roman"/>
                <w:b/>
                <w:color w:val="FFFFFF"/>
                <w:sz w:val="20"/>
              </w:rPr>
              <w:t>Script principal</w:t>
            </w:r>
          </w:p>
        </w:tc>
        <w:tc>
          <w:tcPr>
            <w:tcW w:w="3685" w:type="dxa"/>
            <w:shd w:val="clear" w:color="auto" w:fill="2C3E50"/>
          </w:tcPr>
          <w:p w14:paraId="738ACE02" w14:textId="77777777" w:rsidR="006573EB" w:rsidRDefault="00000000">
            <w:pPr>
              <w:jc w:val="center"/>
            </w:pPr>
            <w:r>
              <w:rPr>
                <w:rFonts w:ascii="Times New Roman" w:hAnsi="Times New Roman"/>
                <w:b/>
                <w:color w:val="FFFFFF"/>
                <w:sz w:val="20"/>
              </w:rPr>
              <w:t>Fonction</w:t>
            </w:r>
          </w:p>
        </w:tc>
      </w:tr>
      <w:tr w:rsidR="006573EB" w14:paraId="3AC30D97" w14:textId="77777777">
        <w:tc>
          <w:tcPr>
            <w:tcW w:w="3118" w:type="dxa"/>
            <w:shd w:val="clear" w:color="auto" w:fill="F2F2F2"/>
          </w:tcPr>
          <w:p w14:paraId="4BA6DE7C" w14:textId="77777777" w:rsidR="006573EB" w:rsidRDefault="00000000">
            <w:pPr>
              <w:jc w:val="center"/>
            </w:pPr>
            <w:r>
              <w:rPr>
                <w:rFonts w:ascii="Times New Roman" w:hAnsi="Times New Roman"/>
                <w:sz w:val="20"/>
              </w:rPr>
              <w:t>etape1_fornari_carboplatin_rat</w:t>
            </w:r>
          </w:p>
        </w:tc>
        <w:tc>
          <w:tcPr>
            <w:tcW w:w="2835" w:type="dxa"/>
            <w:shd w:val="clear" w:color="auto" w:fill="F2F2F2"/>
          </w:tcPr>
          <w:p w14:paraId="5BB2169C" w14:textId="77777777" w:rsidR="006573EB" w:rsidRDefault="00000000">
            <w:pPr>
              <w:jc w:val="center"/>
            </w:pPr>
            <w:r>
              <w:rPr>
                <w:rFonts w:ascii="Times New Roman" w:hAnsi="Times New Roman"/>
                <w:sz w:val="20"/>
              </w:rPr>
              <w:t>run_pkpd_rat.R</w:t>
            </w:r>
          </w:p>
        </w:tc>
        <w:tc>
          <w:tcPr>
            <w:tcW w:w="3685" w:type="dxa"/>
            <w:shd w:val="clear" w:color="auto" w:fill="F2F2F2"/>
          </w:tcPr>
          <w:p w14:paraId="5A1A3729" w14:textId="77777777" w:rsidR="006573EB" w:rsidRDefault="00000000">
            <w:pPr>
              <w:jc w:val="center"/>
            </w:pPr>
            <w:r>
              <w:rPr>
                <w:rFonts w:ascii="Times New Roman" w:hAnsi="Times New Roman"/>
                <w:sz w:val="20"/>
              </w:rPr>
              <w:t>Validation Fornari — rat/carboplatine</w:t>
            </w:r>
          </w:p>
        </w:tc>
      </w:tr>
      <w:tr w:rsidR="006573EB" w14:paraId="1DFBC5F8" w14:textId="77777777">
        <w:tc>
          <w:tcPr>
            <w:tcW w:w="3118" w:type="dxa"/>
            <w:shd w:val="clear" w:color="auto" w:fill="FFFFFF"/>
          </w:tcPr>
          <w:p w14:paraId="67ED30B2" w14:textId="77777777" w:rsidR="006573EB" w:rsidRDefault="00000000">
            <w:pPr>
              <w:jc w:val="center"/>
            </w:pPr>
            <w:r>
              <w:rPr>
                <w:rFonts w:ascii="Times New Roman" w:hAnsi="Times New Roman"/>
                <w:sz w:val="20"/>
              </w:rPr>
              <w:t>etape3_tdxd_rat</w:t>
            </w:r>
          </w:p>
        </w:tc>
        <w:tc>
          <w:tcPr>
            <w:tcW w:w="2835" w:type="dxa"/>
            <w:shd w:val="clear" w:color="auto" w:fill="FFFFFF"/>
          </w:tcPr>
          <w:p w14:paraId="11720A83" w14:textId="77777777" w:rsidR="006573EB" w:rsidRDefault="00000000">
            <w:pPr>
              <w:jc w:val="center"/>
            </w:pPr>
            <w:r>
              <w:rPr>
                <w:rFonts w:ascii="Times New Roman" w:hAnsi="Times New Roman"/>
                <w:sz w:val="20"/>
              </w:rPr>
              <w:t>run_pkpd_tdxd_rat.R</w:t>
            </w:r>
          </w:p>
        </w:tc>
        <w:tc>
          <w:tcPr>
            <w:tcW w:w="3685" w:type="dxa"/>
            <w:shd w:val="clear" w:color="auto" w:fill="FFFFFF"/>
          </w:tcPr>
          <w:p w14:paraId="5F0A0201" w14:textId="77777777" w:rsidR="006573EB" w:rsidRDefault="00000000">
            <w:pPr>
              <w:jc w:val="center"/>
            </w:pPr>
            <w:r>
              <w:rPr>
                <w:rFonts w:ascii="Times New Roman" w:hAnsi="Times New Roman"/>
                <w:sz w:val="20"/>
              </w:rPr>
              <w:t>Application T-DXd rat</w:t>
            </w:r>
          </w:p>
        </w:tc>
      </w:tr>
      <w:tr w:rsidR="006573EB" w14:paraId="33E65416" w14:textId="77777777">
        <w:tc>
          <w:tcPr>
            <w:tcW w:w="3118" w:type="dxa"/>
            <w:shd w:val="clear" w:color="auto" w:fill="F2F2F2"/>
          </w:tcPr>
          <w:p w14:paraId="5EE67A42" w14:textId="77777777" w:rsidR="006573EB" w:rsidRDefault="00000000">
            <w:pPr>
              <w:jc w:val="center"/>
            </w:pPr>
            <w:r>
              <w:rPr>
                <w:rFonts w:ascii="Times New Roman" w:hAnsi="Times New Roman"/>
                <w:sz w:val="20"/>
              </w:rPr>
              <w:t>etape5_tdxd_humain</w:t>
            </w:r>
          </w:p>
        </w:tc>
        <w:tc>
          <w:tcPr>
            <w:tcW w:w="2835" w:type="dxa"/>
            <w:shd w:val="clear" w:color="auto" w:fill="F2F2F2"/>
          </w:tcPr>
          <w:p w14:paraId="4AED1489" w14:textId="77777777" w:rsidR="006573EB" w:rsidRDefault="00000000">
            <w:pPr>
              <w:jc w:val="center"/>
            </w:pPr>
            <w:r>
              <w:rPr>
                <w:rFonts w:ascii="Times New Roman" w:hAnsi="Times New Roman"/>
                <w:sz w:val="20"/>
              </w:rPr>
              <w:t>run_pkpd_tdxd_human_population.R</w:t>
            </w:r>
          </w:p>
        </w:tc>
        <w:tc>
          <w:tcPr>
            <w:tcW w:w="3685" w:type="dxa"/>
            <w:shd w:val="clear" w:color="auto" w:fill="F2F2F2"/>
          </w:tcPr>
          <w:p w14:paraId="0439AE74" w14:textId="77777777" w:rsidR="006573EB" w:rsidRDefault="00000000">
            <w:pPr>
              <w:jc w:val="center"/>
            </w:pPr>
            <w:r>
              <w:rPr>
                <w:rFonts w:ascii="Times New Roman" w:hAnsi="Times New Roman"/>
                <w:sz w:val="20"/>
              </w:rPr>
              <w:t>Simulation population humaine N=300</w:t>
            </w:r>
          </w:p>
        </w:tc>
      </w:tr>
      <w:tr w:rsidR="006573EB" w:rsidRPr="00463A58" w14:paraId="2783AD63" w14:textId="77777777">
        <w:tc>
          <w:tcPr>
            <w:tcW w:w="3118" w:type="dxa"/>
            <w:shd w:val="clear" w:color="auto" w:fill="FFFFFF"/>
          </w:tcPr>
          <w:p w14:paraId="26348F75" w14:textId="77777777" w:rsidR="006573EB" w:rsidRDefault="00000000">
            <w:pPr>
              <w:jc w:val="center"/>
            </w:pPr>
            <w:r>
              <w:rPr>
                <w:rFonts w:ascii="Times New Roman" w:hAnsi="Times New Roman"/>
                <w:sz w:val="20"/>
              </w:rPr>
              <w:t>etape5_tdxd_humain</w:t>
            </w:r>
          </w:p>
        </w:tc>
        <w:tc>
          <w:tcPr>
            <w:tcW w:w="2835" w:type="dxa"/>
            <w:shd w:val="clear" w:color="auto" w:fill="FFFFFF"/>
          </w:tcPr>
          <w:p w14:paraId="49704F93" w14:textId="77777777" w:rsidR="006573EB" w:rsidRDefault="00000000">
            <w:pPr>
              <w:jc w:val="center"/>
            </w:pPr>
            <w:r>
              <w:rPr>
                <w:rFonts w:ascii="Times New Roman" w:hAnsi="Times New Roman"/>
                <w:sz w:val="20"/>
              </w:rPr>
              <w:t>plot_grades_poster.R</w:t>
            </w:r>
          </w:p>
        </w:tc>
        <w:tc>
          <w:tcPr>
            <w:tcW w:w="3685" w:type="dxa"/>
            <w:shd w:val="clear" w:color="auto" w:fill="FFFFFF"/>
          </w:tcPr>
          <w:p w14:paraId="74A98C99" w14:textId="77777777" w:rsidR="006573EB" w:rsidRPr="00463A58" w:rsidRDefault="00000000">
            <w:pPr>
              <w:jc w:val="center"/>
              <w:rPr>
                <w:lang w:val="fr-FR"/>
              </w:rPr>
            </w:pPr>
            <w:r w:rsidRPr="00463A58">
              <w:rPr>
                <w:rFonts w:ascii="Times New Roman" w:hAnsi="Times New Roman"/>
                <w:sz w:val="20"/>
                <w:lang w:val="fr-FR"/>
              </w:rPr>
              <w:t>Figure grades CTCAE vs FDA</w:t>
            </w:r>
          </w:p>
        </w:tc>
      </w:tr>
      <w:tr w:rsidR="006573EB" w14:paraId="0E9D1D6A" w14:textId="77777777">
        <w:tc>
          <w:tcPr>
            <w:tcW w:w="3118" w:type="dxa"/>
            <w:shd w:val="clear" w:color="auto" w:fill="F2F2F2"/>
          </w:tcPr>
          <w:p w14:paraId="019F86B6" w14:textId="77777777" w:rsidR="006573EB" w:rsidRDefault="00000000">
            <w:pPr>
              <w:jc w:val="center"/>
            </w:pPr>
            <w:r>
              <w:rPr>
                <w:rFonts w:ascii="Times New Roman" w:hAnsi="Times New Roman"/>
                <w:sz w:val="20"/>
              </w:rPr>
              <w:t>etape6_fgfr2</w:t>
            </w:r>
          </w:p>
        </w:tc>
        <w:tc>
          <w:tcPr>
            <w:tcW w:w="2835" w:type="dxa"/>
            <w:shd w:val="clear" w:color="auto" w:fill="F2F2F2"/>
          </w:tcPr>
          <w:p w14:paraId="5FFF9C21" w14:textId="77777777" w:rsidR="006573EB" w:rsidRDefault="00000000">
            <w:pPr>
              <w:jc w:val="center"/>
            </w:pPr>
            <w:r>
              <w:rPr>
                <w:rFonts w:ascii="Times New Roman" w:hAnsi="Times New Roman"/>
                <w:sz w:val="20"/>
              </w:rPr>
              <w:t>nca_analysis.R</w:t>
            </w:r>
          </w:p>
        </w:tc>
        <w:tc>
          <w:tcPr>
            <w:tcW w:w="3685" w:type="dxa"/>
            <w:shd w:val="clear" w:color="auto" w:fill="F2F2F2"/>
          </w:tcPr>
          <w:p w14:paraId="6C1577AD" w14:textId="77777777" w:rsidR="006573EB" w:rsidRDefault="00000000">
            <w:pPr>
              <w:jc w:val="center"/>
            </w:pPr>
            <w:r>
              <w:rPr>
                <w:rFonts w:ascii="Times New Roman" w:hAnsi="Times New Roman"/>
                <w:sz w:val="20"/>
              </w:rPr>
              <w:t>NCA + PK 2-comp + PD NHP (confidentiel)</w:t>
            </w:r>
          </w:p>
        </w:tc>
      </w:tr>
      <w:tr w:rsidR="006573EB" w14:paraId="5FF4161D" w14:textId="77777777">
        <w:tc>
          <w:tcPr>
            <w:tcW w:w="3118" w:type="dxa"/>
            <w:shd w:val="clear" w:color="auto" w:fill="FFFFFF"/>
          </w:tcPr>
          <w:p w14:paraId="3C7E1ED6" w14:textId="77777777" w:rsidR="006573EB" w:rsidRDefault="00000000">
            <w:pPr>
              <w:jc w:val="center"/>
            </w:pPr>
            <w:r>
              <w:rPr>
                <w:rFonts w:ascii="Times New Roman" w:hAnsi="Times New Roman"/>
                <w:sz w:val="20"/>
              </w:rPr>
              <w:t>etape6_fgfr2</w:t>
            </w:r>
          </w:p>
        </w:tc>
        <w:tc>
          <w:tcPr>
            <w:tcW w:w="2835" w:type="dxa"/>
            <w:shd w:val="clear" w:color="auto" w:fill="FFFFFF"/>
          </w:tcPr>
          <w:p w14:paraId="4D71BB7A" w14:textId="77777777" w:rsidR="006573EB" w:rsidRDefault="00000000">
            <w:pPr>
              <w:jc w:val="center"/>
            </w:pPr>
            <w:r>
              <w:rPr>
                <w:rFonts w:ascii="Times New Roman" w:hAnsi="Times New Roman"/>
                <w:sz w:val="20"/>
              </w:rPr>
              <w:t>plots_fgfr2_nhp.R</w:t>
            </w:r>
          </w:p>
        </w:tc>
        <w:tc>
          <w:tcPr>
            <w:tcW w:w="3685" w:type="dxa"/>
            <w:shd w:val="clear" w:color="auto" w:fill="FFFFFF"/>
          </w:tcPr>
          <w:p w14:paraId="1F3218F4" w14:textId="77777777" w:rsidR="006573EB" w:rsidRDefault="00000000">
            <w:pPr>
              <w:jc w:val="center"/>
            </w:pPr>
            <w:r>
              <w:rPr>
                <w:rFonts w:ascii="Times New Roman" w:hAnsi="Times New Roman"/>
                <w:sz w:val="20"/>
              </w:rPr>
              <w:t>Visualisation résultats NHP (confidentiel)</w:t>
            </w:r>
          </w:p>
        </w:tc>
      </w:tr>
    </w:tbl>
    <w:p w14:paraId="32014FB2" w14:textId="77777777" w:rsidR="0056792D" w:rsidRDefault="0056792D"/>
    <w:sectPr w:rsidR="0056792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07417705">
    <w:abstractNumId w:val="8"/>
  </w:num>
  <w:num w:numId="2" w16cid:durableId="698235726">
    <w:abstractNumId w:val="6"/>
  </w:num>
  <w:num w:numId="3" w16cid:durableId="1993754628">
    <w:abstractNumId w:val="5"/>
  </w:num>
  <w:num w:numId="4" w16cid:durableId="345253455">
    <w:abstractNumId w:val="4"/>
  </w:num>
  <w:num w:numId="5" w16cid:durableId="1547912979">
    <w:abstractNumId w:val="7"/>
  </w:num>
  <w:num w:numId="6" w16cid:durableId="1771075577">
    <w:abstractNumId w:val="3"/>
  </w:num>
  <w:num w:numId="7" w16cid:durableId="883520660">
    <w:abstractNumId w:val="2"/>
  </w:num>
  <w:num w:numId="8" w16cid:durableId="1982005462">
    <w:abstractNumId w:val="1"/>
  </w:num>
  <w:num w:numId="9" w16cid:durableId="79976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DFB"/>
    <w:rsid w:val="00326F90"/>
    <w:rsid w:val="00463A58"/>
    <w:rsid w:val="0056792D"/>
    <w:rsid w:val="00636771"/>
    <w:rsid w:val="006573EB"/>
    <w:rsid w:val="00795D43"/>
    <w:rsid w:val="00841F94"/>
    <w:rsid w:val="008425E2"/>
    <w:rsid w:val="00891B6A"/>
    <w:rsid w:val="00A429C3"/>
    <w:rsid w:val="00A65238"/>
    <w:rsid w:val="00A95C25"/>
    <w:rsid w:val="00AA1D8D"/>
    <w:rsid w:val="00B47730"/>
    <w:rsid w:val="00CB0664"/>
    <w:rsid w:val="00DD6779"/>
    <w:rsid w:val="00FA7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9224E"/>
  <w14:defaultImageDpi w14:val="300"/>
  <w15:docId w15:val="{D7A3711E-5227-4CAB-8B69-349DC1F4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841F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24</Pages>
  <Words>6022</Words>
  <Characters>33127</Characters>
  <Application>Microsoft Office Word</Application>
  <DocSecurity>0</DocSecurity>
  <Lines>276</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HASSANI Omar</cp:lastModifiedBy>
  <cp:revision>3</cp:revision>
  <dcterms:created xsi:type="dcterms:W3CDTF">2013-12-23T23:15:00Z</dcterms:created>
  <dcterms:modified xsi:type="dcterms:W3CDTF">2026-05-16T17:02:00Z</dcterms:modified>
  <cp:category/>
</cp:coreProperties>
</file>