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kafu-master-prompt-11"/>
    <w:p>
      <w:pPr>
        <w:pStyle w:val="Heading1"/>
      </w:pPr>
      <w:r>
        <w:t xml:space="preserve">KAFU MASTER PROMPT 11</w:t>
      </w:r>
    </w:p>
    <w:bookmarkStart w:id="21" w:name="international-partnerships"/>
    <w:p>
      <w:pPr>
        <w:pStyle w:val="Heading2"/>
      </w:pPr>
      <w:r>
        <w:t xml:space="preserve">International &amp; Partnerships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International &amp; Partnerships module</w:t>
      </w:r>
      <w:r>
        <w:t xml:space="preserve"> </w:t>
      </w:r>
      <w:r>
        <w:t xml:space="preserve">for Kaimosi Friends University (KAFU). This module must position KAFU as a globally engaged institution by showcasing international programmes, mobility pathways, partnerships, and services for international students.</w:t>
      </w:r>
    </w:p>
    <w:p>
      <w:pPr>
        <w:pStyle w:val="BodyText"/>
      </w:pPr>
      <w:r>
        <w:t xml:space="preserve">The module must function as both: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conversion layer</w:t>
      </w:r>
      <w:r>
        <w:t xml:space="preserve"> </w:t>
      </w:r>
      <w:r>
        <w:t xml:space="preserve">for international student recruitment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reputation layer</w:t>
      </w:r>
      <w:r>
        <w:t xml:space="preserve"> </w:t>
      </w:r>
      <w:r>
        <w:t xml:space="preserve">for global collaborations and institutional partnerships</w:t>
      </w:r>
    </w:p>
    <w:p>
      <w:pPr>
        <w:pStyle w:val="FirstParagraph"/>
      </w:pPr>
      <w:r>
        <w:t xml:space="preserve">It must be tightly integrated with Research (RIMS-lite), Academics, Admissions, and Staff Profiles.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Build a global engagement platform that:</w:t>
      </w:r>
    </w:p>
    <w:p>
      <w:pPr>
        <w:pStyle w:val="Compact"/>
        <w:numPr>
          <w:ilvl w:val="0"/>
          <w:numId w:val="1002"/>
        </w:numPr>
      </w:pPr>
      <w:r>
        <w:t xml:space="preserve">Attracts international students</w:t>
      </w:r>
    </w:p>
    <w:p>
      <w:pPr>
        <w:pStyle w:val="Compact"/>
        <w:numPr>
          <w:ilvl w:val="0"/>
          <w:numId w:val="1002"/>
        </w:numPr>
      </w:pPr>
      <w:r>
        <w:t xml:space="preserve">Showcases partnerships and collaborations</w:t>
      </w:r>
    </w:p>
    <w:p>
      <w:pPr>
        <w:pStyle w:val="Compact"/>
        <w:numPr>
          <w:ilvl w:val="0"/>
          <w:numId w:val="1002"/>
        </w:numPr>
      </w:pPr>
      <w:r>
        <w:t xml:space="preserve">Supports mobility programmes (exchange, joint degrees)</w:t>
      </w:r>
    </w:p>
    <w:p>
      <w:pPr>
        <w:pStyle w:val="Compact"/>
        <w:numPr>
          <w:ilvl w:val="0"/>
          <w:numId w:val="1002"/>
        </w:numPr>
      </w:pPr>
      <w:r>
        <w:t xml:space="preserve">Enhances global visibility and ranking signals</w:t>
      </w:r>
    </w:p>
    <w:p>
      <w:r>
        <w:pict>
          <v:rect style="width:0;height:1.5pt" o:hralign="center" o:hrstd="t" o:hr="t"/>
        </w:pict>
      </w:r>
    </w:p>
    <w:bookmarkEnd w:id="22"/>
    <w:bookmarkStart w:id="28" w:name="core-subsystems"/>
    <w:p>
      <w:pPr>
        <w:pStyle w:val="Heading2"/>
      </w:pPr>
      <w:r>
        <w:t xml:space="preserve">2. Core Subsystems</w:t>
      </w:r>
    </w:p>
    <w:bookmarkStart w:id="23" w:name="a.-international-students-hub"/>
    <w:p>
      <w:pPr>
        <w:pStyle w:val="Heading3"/>
      </w:pPr>
      <w:r>
        <w:t xml:space="preserve">A. International Students Hub</w:t>
      </w:r>
    </w:p>
    <w:bookmarkEnd w:id="23"/>
    <w:bookmarkStart w:id="24" w:name="b.-partnerships-collaborations-registry"/>
    <w:p>
      <w:pPr>
        <w:pStyle w:val="Heading3"/>
      </w:pPr>
      <w:r>
        <w:t xml:space="preserve">B. Partnerships &amp; Collaborations Registry</w:t>
      </w:r>
    </w:p>
    <w:bookmarkEnd w:id="24"/>
    <w:bookmarkStart w:id="25" w:name="c.-exchange-mobility-programmes"/>
    <w:p>
      <w:pPr>
        <w:pStyle w:val="Heading3"/>
      </w:pPr>
      <w:r>
        <w:t xml:space="preserve">C. Exchange &amp; Mobility Programmes</w:t>
      </w:r>
    </w:p>
    <w:bookmarkEnd w:id="25"/>
    <w:bookmarkStart w:id="26" w:name="d.-global-engagement-impact-stories"/>
    <w:p>
      <w:pPr>
        <w:pStyle w:val="Heading3"/>
      </w:pPr>
      <w:r>
        <w:t xml:space="preserve">D. Global Engagement &amp; Impact Stories</w:t>
      </w:r>
    </w:p>
    <w:bookmarkEnd w:id="26"/>
    <w:bookmarkStart w:id="27" w:name="Xc9168fb883e94a991e80c8a577a5a2c47b8110e"/>
    <w:p>
      <w:pPr>
        <w:pStyle w:val="Heading3"/>
      </w:pPr>
      <w:r>
        <w:t xml:space="preserve">E. International Admissions Support Layer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er-types"/>
    <w:p>
      <w:pPr>
        <w:pStyle w:val="Heading2"/>
      </w:pPr>
      <w:r>
        <w:t xml:space="preserve">3. User Types</w:t>
      </w:r>
    </w:p>
    <w:bookmarkStart w:id="29" w:name="external-users"/>
    <w:p>
      <w:pPr>
        <w:pStyle w:val="Heading3"/>
      </w:pPr>
      <w:r>
        <w:t xml:space="preserve">External Users</w:t>
      </w:r>
    </w:p>
    <w:p>
      <w:pPr>
        <w:pStyle w:val="Compact"/>
        <w:numPr>
          <w:ilvl w:val="0"/>
          <w:numId w:val="1003"/>
        </w:numPr>
      </w:pPr>
      <w:r>
        <w:t xml:space="preserve">International prospective students</w:t>
      </w:r>
    </w:p>
    <w:p>
      <w:pPr>
        <w:pStyle w:val="Compact"/>
        <w:numPr>
          <w:ilvl w:val="0"/>
          <w:numId w:val="1003"/>
        </w:numPr>
      </w:pPr>
      <w:r>
        <w:t xml:space="preserve">Partner universities</w:t>
      </w:r>
    </w:p>
    <w:p>
      <w:pPr>
        <w:pStyle w:val="Compact"/>
        <w:numPr>
          <w:ilvl w:val="0"/>
          <w:numId w:val="1003"/>
        </w:numPr>
      </w:pPr>
      <w:r>
        <w:t xml:space="preserve">Donors and development agencies</w:t>
      </w:r>
    </w:p>
    <w:p>
      <w:pPr>
        <w:pStyle w:val="Compact"/>
        <w:numPr>
          <w:ilvl w:val="0"/>
          <w:numId w:val="1003"/>
        </w:numPr>
      </w:pPr>
      <w:r>
        <w:t xml:space="preserve">Researchers and collaborators</w:t>
      </w:r>
    </w:p>
    <w:bookmarkEnd w:id="29"/>
    <w:bookmarkStart w:id="30" w:name="internal-users"/>
    <w:p>
      <w:pPr>
        <w:pStyle w:val="Heading3"/>
      </w:pPr>
      <w:r>
        <w:t xml:space="preserve">Internal Users</w:t>
      </w:r>
    </w:p>
    <w:p>
      <w:pPr>
        <w:pStyle w:val="Compact"/>
        <w:numPr>
          <w:ilvl w:val="0"/>
          <w:numId w:val="1004"/>
        </w:numPr>
      </w:pPr>
      <w:r>
        <w:t xml:space="preserve">International office staff</w:t>
      </w:r>
    </w:p>
    <w:p>
      <w:pPr>
        <w:pStyle w:val="Compact"/>
        <w:numPr>
          <w:ilvl w:val="0"/>
          <w:numId w:val="1004"/>
        </w:numPr>
      </w:pPr>
      <w:r>
        <w:t xml:space="preserve">Admissions office</w:t>
      </w:r>
    </w:p>
    <w:p>
      <w:pPr>
        <w:pStyle w:val="Compact"/>
        <w:numPr>
          <w:ilvl w:val="0"/>
          <w:numId w:val="1004"/>
        </w:numPr>
      </w:pPr>
      <w:r>
        <w:t xml:space="preserve">Research office</w:t>
      </w:r>
    </w:p>
    <w:p>
      <w:pPr>
        <w:pStyle w:val="Compact"/>
        <w:numPr>
          <w:ilvl w:val="0"/>
          <w:numId w:val="1004"/>
        </w:numPr>
      </w:pPr>
      <w:r>
        <w:t xml:space="preserve">Communications team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re-user-journeys"/>
    <w:p>
      <w:pPr>
        <w:pStyle w:val="Heading2"/>
      </w:pPr>
      <w:r>
        <w:t xml:space="preserve">4. Core User Journeys</w:t>
      </w:r>
    </w:p>
    <w:bookmarkStart w:id="32" w:name="international-student-journey"/>
    <w:p>
      <w:pPr>
        <w:pStyle w:val="Heading3"/>
      </w:pPr>
      <w:r>
        <w:t xml:space="preserve">International Student Journey</w:t>
      </w:r>
    </w:p>
    <w:p>
      <w:pPr>
        <w:pStyle w:val="Compact"/>
        <w:numPr>
          <w:ilvl w:val="0"/>
          <w:numId w:val="1005"/>
        </w:numPr>
      </w:pPr>
      <w:r>
        <w:t xml:space="preserve">Discover KAFU internationally</w:t>
      </w:r>
    </w:p>
    <w:p>
      <w:pPr>
        <w:pStyle w:val="Compact"/>
        <w:numPr>
          <w:ilvl w:val="0"/>
          <w:numId w:val="1005"/>
        </w:numPr>
      </w:pPr>
      <w:r>
        <w:t xml:space="preserve">Explore programmes</w:t>
      </w:r>
    </w:p>
    <w:p>
      <w:pPr>
        <w:pStyle w:val="Compact"/>
        <w:numPr>
          <w:ilvl w:val="0"/>
          <w:numId w:val="1005"/>
        </w:numPr>
      </w:pPr>
      <w:r>
        <w:t xml:space="preserve">Understand visa and entry requirements</w:t>
      </w:r>
    </w:p>
    <w:p>
      <w:pPr>
        <w:pStyle w:val="Compact"/>
        <w:numPr>
          <w:ilvl w:val="0"/>
          <w:numId w:val="1005"/>
        </w:numPr>
      </w:pPr>
      <w:r>
        <w:t xml:space="preserve">View fees and funding options</w:t>
      </w:r>
    </w:p>
    <w:p>
      <w:pPr>
        <w:pStyle w:val="Compact"/>
        <w:numPr>
          <w:ilvl w:val="0"/>
          <w:numId w:val="1005"/>
        </w:numPr>
      </w:pPr>
      <w:r>
        <w:t xml:space="preserve">Apply</w:t>
      </w:r>
    </w:p>
    <w:bookmarkEnd w:id="32"/>
    <w:bookmarkStart w:id="33" w:name="partner-journey"/>
    <w:p>
      <w:pPr>
        <w:pStyle w:val="Heading3"/>
      </w:pPr>
      <w:r>
        <w:t xml:space="preserve">Partner Journey</w:t>
      </w:r>
    </w:p>
    <w:p>
      <w:pPr>
        <w:pStyle w:val="Compact"/>
        <w:numPr>
          <w:ilvl w:val="0"/>
          <w:numId w:val="1006"/>
        </w:numPr>
      </w:pPr>
      <w:r>
        <w:t xml:space="preserve">Discover existing collaborations</w:t>
      </w:r>
    </w:p>
    <w:p>
      <w:pPr>
        <w:pStyle w:val="Compact"/>
        <w:numPr>
          <w:ilvl w:val="0"/>
          <w:numId w:val="1006"/>
        </w:numPr>
      </w:pPr>
      <w:r>
        <w:t xml:space="preserve">Explore partnership opportunities</w:t>
      </w:r>
    </w:p>
    <w:p>
      <w:pPr>
        <w:pStyle w:val="Compact"/>
        <w:numPr>
          <w:ilvl w:val="0"/>
          <w:numId w:val="1006"/>
        </w:numPr>
      </w:pPr>
      <w:r>
        <w:t xml:space="preserve">Contact relevant office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information-architecture"/>
    <w:p>
      <w:pPr>
        <w:pStyle w:val="Heading2"/>
      </w:pPr>
      <w:r>
        <w:t xml:space="preserve">5. Information Architecture</w:t>
      </w:r>
    </w:p>
    <w:bookmarkStart w:id="35" w:name="a.-international-landing-page"/>
    <w:p>
      <w:pPr>
        <w:pStyle w:val="Heading3"/>
      </w:pPr>
      <w:r>
        <w:t xml:space="preserve">A. International Landing Page</w:t>
      </w:r>
    </w:p>
    <w:p>
      <w:pPr>
        <w:pStyle w:val="Compact"/>
        <w:numPr>
          <w:ilvl w:val="0"/>
          <w:numId w:val="1007"/>
        </w:numPr>
      </w:pPr>
      <w:r>
        <w:t xml:space="preserve">Global positioning statement</w:t>
      </w:r>
    </w:p>
    <w:p>
      <w:pPr>
        <w:pStyle w:val="Compact"/>
        <w:numPr>
          <w:ilvl w:val="0"/>
          <w:numId w:val="1007"/>
        </w:numPr>
      </w:pPr>
      <w:r>
        <w:t xml:space="preserve">Key statistics (international students, partnerships)</w:t>
      </w:r>
    </w:p>
    <w:p>
      <w:pPr>
        <w:pStyle w:val="Compact"/>
        <w:numPr>
          <w:ilvl w:val="0"/>
          <w:numId w:val="1007"/>
        </w:numPr>
      </w:pPr>
      <w:r>
        <w:t xml:space="preserve">Quick links (apply, explore programmes)</w:t>
      </w:r>
    </w:p>
    <w:bookmarkEnd w:id="35"/>
    <w:bookmarkStart w:id="36" w:name="b.-study-at-kafu-international"/>
    <w:p>
      <w:pPr>
        <w:pStyle w:val="Heading3"/>
      </w:pPr>
      <w:r>
        <w:t xml:space="preserve">B. Study at KAFU (International)</w:t>
      </w:r>
    </w:p>
    <w:p>
      <w:pPr>
        <w:pStyle w:val="Compact"/>
        <w:numPr>
          <w:ilvl w:val="0"/>
          <w:numId w:val="1008"/>
        </w:numPr>
      </w:pPr>
      <w:r>
        <w:t xml:space="preserve">Why KAFU</w:t>
      </w:r>
    </w:p>
    <w:p>
      <w:pPr>
        <w:pStyle w:val="Compact"/>
        <w:numPr>
          <w:ilvl w:val="0"/>
          <w:numId w:val="1008"/>
        </w:numPr>
      </w:pPr>
      <w:r>
        <w:t xml:space="preserve">Programmes available</w:t>
      </w:r>
    </w:p>
    <w:p>
      <w:pPr>
        <w:pStyle w:val="Compact"/>
        <w:numPr>
          <w:ilvl w:val="0"/>
          <w:numId w:val="1008"/>
        </w:numPr>
      </w:pPr>
      <w:r>
        <w:t xml:space="preserve">Fees and funding</w:t>
      </w:r>
    </w:p>
    <w:p>
      <w:pPr>
        <w:pStyle w:val="Compact"/>
        <w:numPr>
          <w:ilvl w:val="0"/>
          <w:numId w:val="1008"/>
        </w:numPr>
      </w:pPr>
      <w:r>
        <w:t xml:space="preserve">Application process</w:t>
      </w:r>
    </w:p>
    <w:bookmarkEnd w:id="36"/>
    <w:bookmarkStart w:id="37" w:name="c.-visa-immigration"/>
    <w:p>
      <w:pPr>
        <w:pStyle w:val="Heading3"/>
      </w:pPr>
      <w:r>
        <w:t xml:space="preserve">C. Visa &amp; Immigration</w:t>
      </w:r>
    </w:p>
    <w:p>
      <w:pPr>
        <w:pStyle w:val="Compact"/>
        <w:numPr>
          <w:ilvl w:val="0"/>
          <w:numId w:val="1009"/>
        </w:numPr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Support services</w:t>
      </w:r>
    </w:p>
    <w:bookmarkEnd w:id="37"/>
    <w:bookmarkStart w:id="38" w:name="d.-accommodation-student-life"/>
    <w:p>
      <w:pPr>
        <w:pStyle w:val="Heading3"/>
      </w:pPr>
      <w:r>
        <w:t xml:space="preserve">D. Accommodation &amp; Student Life</w:t>
      </w:r>
    </w:p>
    <w:p>
      <w:pPr>
        <w:pStyle w:val="Compact"/>
        <w:numPr>
          <w:ilvl w:val="0"/>
          <w:numId w:val="1010"/>
        </w:numPr>
      </w:pPr>
      <w:r>
        <w:t xml:space="preserve">Housing</w:t>
      </w:r>
    </w:p>
    <w:p>
      <w:pPr>
        <w:pStyle w:val="Compact"/>
        <w:numPr>
          <w:ilvl w:val="0"/>
          <w:numId w:val="1010"/>
        </w:numPr>
      </w:pPr>
      <w:r>
        <w:t xml:space="preserve">Campus experience</w:t>
      </w:r>
    </w:p>
    <w:bookmarkEnd w:id="38"/>
    <w:bookmarkStart w:id="39" w:name="e.-partnerships-collaborations"/>
    <w:p>
      <w:pPr>
        <w:pStyle w:val="Heading3"/>
      </w:pPr>
      <w:r>
        <w:t xml:space="preserve">E. Partnerships &amp; Collaborations</w:t>
      </w:r>
    </w:p>
    <w:p>
      <w:pPr>
        <w:pStyle w:val="Compact"/>
        <w:numPr>
          <w:ilvl w:val="0"/>
          <w:numId w:val="1011"/>
        </w:numPr>
      </w:pPr>
      <w:r>
        <w:t xml:space="preserve">Partner listing</w:t>
      </w:r>
    </w:p>
    <w:p>
      <w:pPr>
        <w:pStyle w:val="Compact"/>
        <w:numPr>
          <w:ilvl w:val="0"/>
          <w:numId w:val="1011"/>
        </w:numPr>
      </w:pPr>
      <w:r>
        <w:t xml:space="preserve">Collaboration types</w:t>
      </w:r>
    </w:p>
    <w:bookmarkEnd w:id="39"/>
    <w:bookmarkStart w:id="40" w:name="f.-exchange-programmes"/>
    <w:p>
      <w:pPr>
        <w:pStyle w:val="Heading3"/>
      </w:pPr>
      <w:r>
        <w:t xml:space="preserve">F. Exchange Programmes</w:t>
      </w:r>
    </w:p>
    <w:p>
      <w:pPr>
        <w:pStyle w:val="Compact"/>
        <w:numPr>
          <w:ilvl w:val="0"/>
          <w:numId w:val="1012"/>
        </w:numPr>
      </w:pPr>
      <w:r>
        <w:t xml:space="preserve">Student exchange</w:t>
      </w:r>
    </w:p>
    <w:p>
      <w:pPr>
        <w:pStyle w:val="Compact"/>
        <w:numPr>
          <w:ilvl w:val="0"/>
          <w:numId w:val="1012"/>
        </w:numPr>
      </w:pPr>
      <w:r>
        <w:t xml:space="preserve">Staff exchange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ta-model"/>
    <w:p>
      <w:pPr>
        <w:pStyle w:val="Heading2"/>
      </w:pPr>
      <w:r>
        <w:t xml:space="preserve">6. Data Model</w:t>
      </w:r>
    </w:p>
    <w:bookmarkStart w:id="42" w:name="international-programme"/>
    <w:p>
      <w:pPr>
        <w:pStyle w:val="Heading3"/>
      </w:pPr>
      <w:r>
        <w:t xml:space="preserve">International Programme</w:t>
      </w:r>
    </w:p>
    <w:p>
      <w:pPr>
        <w:pStyle w:val="Compact"/>
        <w:numPr>
          <w:ilvl w:val="0"/>
          <w:numId w:val="1013"/>
        </w:numPr>
      </w:pPr>
      <w:r>
        <w:t xml:space="preserve">Programme link</w:t>
      </w:r>
    </w:p>
    <w:p>
      <w:pPr>
        <w:pStyle w:val="Compact"/>
        <w:numPr>
          <w:ilvl w:val="0"/>
          <w:numId w:val="1013"/>
        </w:numPr>
      </w:pPr>
      <w:r>
        <w:t xml:space="preserve">Eligibility</w:t>
      </w:r>
    </w:p>
    <w:p>
      <w:pPr>
        <w:pStyle w:val="Compact"/>
        <w:numPr>
          <w:ilvl w:val="0"/>
          <w:numId w:val="1013"/>
        </w:numPr>
      </w:pPr>
      <w:r>
        <w:t xml:space="preserve">Fees</w:t>
      </w:r>
    </w:p>
    <w:p>
      <w:pPr>
        <w:pStyle w:val="Compact"/>
        <w:numPr>
          <w:ilvl w:val="0"/>
          <w:numId w:val="1013"/>
        </w:numPr>
      </w:pPr>
      <w:r>
        <w:t xml:space="preserve">Duration</w:t>
      </w:r>
    </w:p>
    <w:bookmarkEnd w:id="42"/>
    <w:bookmarkStart w:id="43" w:name="partner-entity"/>
    <w:p>
      <w:pPr>
        <w:pStyle w:val="Heading3"/>
      </w:pPr>
      <w:r>
        <w:t xml:space="preserve">Partner Entity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Country</w:t>
      </w:r>
    </w:p>
    <w:p>
      <w:pPr>
        <w:pStyle w:val="Compact"/>
        <w:numPr>
          <w:ilvl w:val="0"/>
          <w:numId w:val="1014"/>
        </w:numPr>
      </w:pPr>
      <w:r>
        <w:t xml:space="preserve">Type</w:t>
      </w:r>
    </w:p>
    <w:p>
      <w:pPr>
        <w:pStyle w:val="Compact"/>
        <w:numPr>
          <w:ilvl w:val="0"/>
          <w:numId w:val="1014"/>
        </w:numPr>
      </w:pPr>
      <w:r>
        <w:t xml:space="preserve">Active status</w:t>
      </w:r>
    </w:p>
    <w:bookmarkEnd w:id="43"/>
    <w:bookmarkStart w:id="44" w:name="mobility-programme"/>
    <w:p>
      <w:pPr>
        <w:pStyle w:val="Heading3"/>
      </w:pPr>
      <w:r>
        <w:t xml:space="preserve">Mobility Programme</w:t>
      </w:r>
    </w:p>
    <w:p>
      <w:pPr>
        <w:pStyle w:val="Compact"/>
        <w:numPr>
          <w:ilvl w:val="0"/>
          <w:numId w:val="1015"/>
        </w:numPr>
      </w:pPr>
      <w:r>
        <w:t xml:space="preserve">Type (exchange/joint)</w:t>
      </w:r>
    </w:p>
    <w:p>
      <w:pPr>
        <w:pStyle w:val="Compact"/>
        <w:numPr>
          <w:ilvl w:val="0"/>
          <w:numId w:val="1015"/>
        </w:numPr>
      </w:pPr>
      <w:r>
        <w:t xml:space="preserve">Partner</w:t>
      </w:r>
    </w:p>
    <w:p>
      <w:pPr>
        <w:pStyle w:val="Compact"/>
        <w:numPr>
          <w:ilvl w:val="0"/>
          <w:numId w:val="1015"/>
        </w:numPr>
      </w:pPr>
      <w:r>
        <w:t xml:space="preserve">Duration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rontend-requirements"/>
    <w:p>
      <w:pPr>
        <w:pStyle w:val="Heading2"/>
      </w:pPr>
      <w:r>
        <w:t xml:space="preserve">7. Frontend Requirements</w:t>
      </w:r>
    </w:p>
    <w:p>
      <w:pPr>
        <w:pStyle w:val="Compact"/>
        <w:numPr>
          <w:ilvl w:val="0"/>
          <w:numId w:val="1016"/>
        </w:numPr>
      </w:pPr>
      <w:r>
        <w:t xml:space="preserve">Premium global look and feel</w:t>
      </w:r>
    </w:p>
    <w:p>
      <w:pPr>
        <w:pStyle w:val="Compact"/>
        <w:numPr>
          <w:ilvl w:val="0"/>
          <w:numId w:val="1016"/>
        </w:numPr>
      </w:pPr>
      <w:r>
        <w:t xml:space="preserve">Country-aware messaging (optional future)</w:t>
      </w:r>
    </w:p>
    <w:p>
      <w:pPr>
        <w:pStyle w:val="Compact"/>
        <w:numPr>
          <w:ilvl w:val="0"/>
          <w:numId w:val="1016"/>
        </w:numPr>
      </w:pPr>
      <w:r>
        <w:t xml:space="preserve">Mobile optimized</w:t>
      </w:r>
    </w:p>
    <w:p>
      <w:pPr>
        <w:pStyle w:val="Compact"/>
        <w:numPr>
          <w:ilvl w:val="0"/>
          <w:numId w:val="1016"/>
        </w:numPr>
      </w:pPr>
      <w:r>
        <w:t xml:space="preserve">Strong CTAs (Apply, Contact)</w:t>
      </w:r>
    </w:p>
    <w:p>
      <w:r>
        <w:pict>
          <v:rect style="width:0;height:1.5pt" o:hralign="center" o:hrstd="t" o:hr="t"/>
        </w:pict>
      </w:r>
    </w:p>
    <w:bookmarkEnd w:id="46"/>
    <w:bookmarkStart w:id="47" w:name="backend-cms-requirements"/>
    <w:p>
      <w:pPr>
        <w:pStyle w:val="Heading2"/>
      </w:pPr>
      <w:r>
        <w:t xml:space="preserve">8. Backend / CMS Requirements</w:t>
      </w:r>
    </w:p>
    <w:p>
      <w:pPr>
        <w:pStyle w:val="Compact"/>
        <w:numPr>
          <w:ilvl w:val="0"/>
          <w:numId w:val="1017"/>
        </w:numPr>
      </w:pPr>
      <w:r>
        <w:t xml:space="preserve">Manage partners</w:t>
      </w:r>
    </w:p>
    <w:p>
      <w:pPr>
        <w:pStyle w:val="Compact"/>
        <w:numPr>
          <w:ilvl w:val="0"/>
          <w:numId w:val="1017"/>
        </w:numPr>
      </w:pPr>
      <w:r>
        <w:t xml:space="preserve">Manage international content</w:t>
      </w:r>
    </w:p>
    <w:p>
      <w:pPr>
        <w:pStyle w:val="Compact"/>
        <w:numPr>
          <w:ilvl w:val="0"/>
          <w:numId w:val="1017"/>
        </w:numPr>
      </w:pPr>
      <w:r>
        <w:t xml:space="preserve">Link programmes</w:t>
      </w:r>
    </w:p>
    <w:p>
      <w:r>
        <w:pict>
          <v:rect style="width:0;height:1.5pt" o:hralign="center" o:hrstd="t" o:hr="t"/>
        </w:pict>
      </w:r>
    </w:p>
    <w:bookmarkEnd w:id="47"/>
    <w:bookmarkStart w:id="48" w:name="integrations"/>
    <w:p>
      <w:pPr>
        <w:pStyle w:val="Heading2"/>
      </w:pPr>
      <w:r>
        <w:t xml:space="preserve">9. Integrations</w:t>
      </w:r>
    </w:p>
    <w:p>
      <w:pPr>
        <w:pStyle w:val="Compact"/>
        <w:numPr>
          <w:ilvl w:val="0"/>
          <w:numId w:val="1018"/>
        </w:numPr>
      </w:pPr>
      <w:r>
        <w:t xml:space="preserve">Admissions</w:t>
      </w:r>
    </w:p>
    <w:p>
      <w:pPr>
        <w:pStyle w:val="Compact"/>
        <w:numPr>
          <w:ilvl w:val="0"/>
          <w:numId w:val="1018"/>
        </w:numPr>
      </w:pPr>
      <w:r>
        <w:t xml:space="preserve">Programme Catalogue</w:t>
      </w:r>
    </w:p>
    <w:p>
      <w:pPr>
        <w:pStyle w:val="Compact"/>
        <w:numPr>
          <w:ilvl w:val="0"/>
          <w:numId w:val="1018"/>
        </w:numPr>
      </w:pPr>
      <w:r>
        <w:t xml:space="preserve">Research module</w:t>
      </w:r>
    </w:p>
    <w:p>
      <w:r>
        <w:pict>
          <v:rect style="width:0;height:1.5pt" o:hralign="center" o:hrstd="t" o:hr="t"/>
        </w:pict>
      </w:r>
    </w:p>
    <w:bookmarkEnd w:id="48"/>
    <w:bookmarkStart w:id="49" w:name="seo-global-reach"/>
    <w:p>
      <w:pPr>
        <w:pStyle w:val="Heading2"/>
      </w:pPr>
      <w:r>
        <w:t xml:space="preserve">10. SEO &amp; Global Reach</w:t>
      </w:r>
    </w:p>
    <w:p>
      <w:pPr>
        <w:pStyle w:val="Compact"/>
        <w:numPr>
          <w:ilvl w:val="0"/>
          <w:numId w:val="1019"/>
        </w:numPr>
      </w:pPr>
      <w:r>
        <w:t xml:space="preserve">International SEO targeting</w:t>
      </w:r>
    </w:p>
    <w:p>
      <w:pPr>
        <w:pStyle w:val="Compact"/>
        <w:numPr>
          <w:ilvl w:val="0"/>
          <w:numId w:val="1019"/>
        </w:numPr>
      </w:pPr>
      <w:r>
        <w:t xml:space="preserve">Structured metadata</w:t>
      </w:r>
    </w:p>
    <w:p>
      <w:r>
        <w:pict>
          <v:rect style="width:0;height:1.5pt" o:hralign="center" o:hrstd="t" o:hr="t"/>
        </w:pict>
      </w:r>
    </w:p>
    <w:bookmarkEnd w:id="49"/>
    <w:bookmarkStart w:id="50" w:name="acceptance-criteria"/>
    <w:p>
      <w:pPr>
        <w:pStyle w:val="Heading2"/>
      </w:pPr>
      <w:r>
        <w:t xml:space="preserve">11. Acceptance Criteria</w:t>
      </w:r>
    </w:p>
    <w:p>
      <w:pPr>
        <w:pStyle w:val="Compact"/>
        <w:numPr>
          <w:ilvl w:val="0"/>
          <w:numId w:val="1020"/>
        </w:numPr>
      </w:pPr>
      <w:r>
        <w:t xml:space="preserve">International students can navigate clearly</w:t>
      </w:r>
    </w:p>
    <w:p>
      <w:pPr>
        <w:pStyle w:val="Compact"/>
        <w:numPr>
          <w:ilvl w:val="0"/>
          <w:numId w:val="1020"/>
        </w:numPr>
      </w:pPr>
      <w:r>
        <w:t xml:space="preserve">Partnerships visible and structured</w:t>
      </w:r>
    </w:p>
    <w:p>
      <w:pPr>
        <w:pStyle w:val="Compact"/>
        <w:numPr>
          <w:ilvl w:val="0"/>
          <w:numId w:val="1020"/>
        </w:numPr>
      </w:pPr>
      <w:r>
        <w:t xml:space="preserve">Application flow supported</w:t>
      </w:r>
    </w:p>
    <w:p>
      <w:r>
        <w:pict>
          <v:rect style="width:0;height:1.5pt" o:hralign="center" o:hrstd="t" o:hr="t"/>
        </w:pict>
      </w:r>
    </w:p>
    <w:bookmarkEnd w:id="50"/>
    <w:bookmarkStart w:id="51" w:name="future-expansion"/>
    <w:p>
      <w:pPr>
        <w:pStyle w:val="Heading2"/>
      </w:pPr>
      <w:r>
        <w:t xml:space="preserve">12. Future Expansion</w:t>
      </w:r>
    </w:p>
    <w:p>
      <w:pPr>
        <w:pStyle w:val="Compact"/>
        <w:numPr>
          <w:ilvl w:val="0"/>
          <w:numId w:val="1021"/>
        </w:numPr>
      </w:pPr>
      <w:r>
        <w:t xml:space="preserve">Multi-language support</w:t>
      </w:r>
    </w:p>
    <w:p>
      <w:pPr>
        <w:pStyle w:val="Compact"/>
        <w:numPr>
          <w:ilvl w:val="0"/>
          <w:numId w:val="1021"/>
        </w:numPr>
      </w:pPr>
      <w:r>
        <w:t xml:space="preserve">Country-specific pages</w:t>
      </w:r>
    </w:p>
    <w:p>
      <w:r>
        <w:pict>
          <v:rect style="width:0;height:1.5pt" o:hralign="center" o:hrstd="t" o:hr="t"/>
        </w:pict>
      </w:r>
    </w:p>
    <w:bookmarkEnd w:id="51"/>
    <w:bookmarkStart w:id="52" w:name="dependencies"/>
    <w:p>
      <w:pPr>
        <w:pStyle w:val="Heading2"/>
      </w:pPr>
      <w:r>
        <w:t xml:space="preserve">13. Dependencies</w:t>
      </w:r>
    </w:p>
    <w:p>
      <w:pPr>
        <w:pStyle w:val="Compact"/>
        <w:numPr>
          <w:ilvl w:val="0"/>
          <w:numId w:val="1022"/>
        </w:numPr>
      </w:pPr>
      <w:r>
        <w:t xml:space="preserve">CMS Engine</w:t>
      </w:r>
    </w:p>
    <w:p>
      <w:pPr>
        <w:pStyle w:val="Compact"/>
        <w:numPr>
          <w:ilvl w:val="0"/>
          <w:numId w:val="1022"/>
        </w:numPr>
      </w:pPr>
      <w:r>
        <w:t xml:space="preserve">Admissions</w:t>
      </w:r>
    </w:p>
    <w:p>
      <w:pPr>
        <w:pStyle w:val="Compact"/>
        <w:numPr>
          <w:ilvl w:val="0"/>
          <w:numId w:val="1022"/>
        </w:numPr>
      </w:pPr>
      <w:r>
        <w:t xml:space="preserve">Programme Catalogue</w:t>
      </w:r>
    </w:p>
    <w:p>
      <w:r>
        <w:pict>
          <v:rect style="width:0;height:1.5pt" o:hralign="center" o:hrstd="t" o:hr="t"/>
        </w:pict>
      </w:r>
    </w:p>
    <w:bookmarkEnd w:id="52"/>
    <w:bookmarkStart w:id="53" w:name="outputs"/>
    <w:p>
      <w:pPr>
        <w:pStyle w:val="Heading2"/>
      </w:pPr>
      <w:r>
        <w:t xml:space="preserve">14. Outputs</w:t>
      </w:r>
    </w:p>
    <w:p>
      <w:pPr>
        <w:pStyle w:val="Compact"/>
        <w:numPr>
          <w:ilvl w:val="0"/>
          <w:numId w:val="1023"/>
        </w:numPr>
      </w:pPr>
      <w:r>
        <w:t xml:space="preserve">UI wireframes</w:t>
      </w:r>
    </w:p>
    <w:p>
      <w:pPr>
        <w:pStyle w:val="Compact"/>
        <w:numPr>
          <w:ilvl w:val="0"/>
          <w:numId w:val="1023"/>
        </w:numPr>
      </w:pPr>
      <w:r>
        <w:t xml:space="preserve">Data schema</w:t>
      </w:r>
    </w:p>
    <w:p>
      <w:pPr>
        <w:pStyle w:val="Compact"/>
        <w:numPr>
          <w:ilvl w:val="0"/>
          <w:numId w:val="1023"/>
        </w:numPr>
      </w:pPr>
      <w:r>
        <w:t xml:space="preserve">Developer prompt</w:t>
      </w:r>
    </w:p>
    <w:p>
      <w:pPr>
        <w:pStyle w:val="FirstParagraph"/>
      </w:pPr>
      <w:r>
        <w:t xml:space="preserve">This module must position KAFU as an internationally competitive university.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2026-04-10T07:08:40Z</dcterms:created>
  <dcterms:modified xsi:type="dcterms:W3CDTF">2026-04-10T07:08:40Z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