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kafu-master-prompt-03"/>
    <w:p>
      <w:pPr>
        <w:pStyle w:val="Heading1"/>
      </w:pPr>
      <w:r>
        <w:t xml:space="preserve">KAFU MASTER PROMPT 03</w:t>
      </w:r>
    </w:p>
    <w:bookmarkStart w:id="21" w:name="admissions"/>
    <w:p>
      <w:pPr>
        <w:pStyle w:val="Heading2"/>
      </w:pPr>
      <w:r>
        <w:t xml:space="preserve">Admissions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 comprehensive Admissions module for Kaimosi Friends University (KAFU) that maximizes student conversion, provides structured access to all admission-related information, and integrates seamlessly with the Homepage and Programme Catalogue.</w:t>
      </w:r>
    </w:p>
    <w:p>
      <w:pPr>
        <w:pStyle w:val="BodyText"/>
      </w:pPr>
      <w:r>
        <w:t xml:space="preserve">This module must be built as a high-conversion funnel, not just an information section.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Create an admissions system that:</w:t>
      </w:r>
      <w:r>
        <w:t xml:space="preserve"> </w:t>
      </w:r>
      <w:r>
        <w:t xml:space="preserve">- Converts prospective students into applicants</w:t>
      </w:r>
      <w:r>
        <w:t xml:space="preserve"> </w:t>
      </w:r>
      <w:r>
        <w:t xml:space="preserve">- Provides clear, structured admission pathways</w:t>
      </w:r>
      <w:r>
        <w:t xml:space="preserve"> </w:t>
      </w:r>
      <w:r>
        <w:t xml:space="preserve">- Reduces dependency on manual inquiries</w:t>
      </w:r>
      <w:r>
        <w:t xml:space="preserve"> </w:t>
      </w:r>
      <w:r>
        <w:t xml:space="preserve">- Supports both KUCCPS and self-sponsored pathways</w:t>
      </w:r>
    </w:p>
    <w:p>
      <w:r>
        <w:pict>
          <v:rect style="width:0;height:1.5pt" o:hralign="center" o:hrstd="t" o:hr="t"/>
        </w:pict>
      </w:r>
    </w:p>
    <w:bookmarkEnd w:id="22"/>
    <w:bookmarkStart w:id="23" w:name="user-types"/>
    <w:p>
      <w:pPr>
        <w:pStyle w:val="Heading2"/>
      </w:pPr>
      <w:r>
        <w:t xml:space="preserve">2. User Types</w:t>
      </w:r>
    </w:p>
    <w:p>
      <w:pPr>
        <w:pStyle w:val="Compact"/>
        <w:numPr>
          <w:ilvl w:val="0"/>
          <w:numId w:val="1001"/>
        </w:numPr>
      </w:pPr>
      <w:r>
        <w:t xml:space="preserve">Prospective undergraduate students</w:t>
      </w:r>
    </w:p>
    <w:p>
      <w:pPr>
        <w:pStyle w:val="Compact"/>
        <w:numPr>
          <w:ilvl w:val="0"/>
          <w:numId w:val="1001"/>
        </w:numPr>
      </w:pPr>
      <w:r>
        <w:t xml:space="preserve">Prospective postgraduate students</w:t>
      </w:r>
    </w:p>
    <w:p>
      <w:pPr>
        <w:pStyle w:val="Compact"/>
        <w:numPr>
          <w:ilvl w:val="0"/>
          <w:numId w:val="1001"/>
        </w:numPr>
      </w:pPr>
      <w:r>
        <w:t xml:space="preserve">International students</w:t>
      </w:r>
    </w:p>
    <w:p>
      <w:pPr>
        <w:pStyle w:val="Compact"/>
        <w:numPr>
          <w:ilvl w:val="0"/>
          <w:numId w:val="1001"/>
        </w:numPr>
      </w:pPr>
      <w:r>
        <w:t xml:space="preserve">Self-sponsored students</w:t>
      </w:r>
    </w:p>
    <w:p>
      <w:pPr>
        <w:pStyle w:val="Compact"/>
        <w:numPr>
          <w:ilvl w:val="0"/>
          <w:numId w:val="1001"/>
        </w:numPr>
      </w:pPr>
      <w:r>
        <w:t xml:space="preserve">Parents / guardians</w:t>
      </w:r>
    </w:p>
    <w:p>
      <w:r>
        <w:pict>
          <v:rect style="width:0;height:1.5pt" o:hralign="center" o:hrstd="t" o:hr="t"/>
        </w:pict>
      </w:r>
    </w:p>
    <w:bookmarkEnd w:id="23"/>
    <w:bookmarkStart w:id="24" w:name="core-user-journeys"/>
    <w:p>
      <w:pPr>
        <w:pStyle w:val="Heading2"/>
      </w:pPr>
      <w:r>
        <w:t xml:space="preserve">3. Core User Journeys</w:t>
      </w:r>
    </w:p>
    <w:p>
      <w:pPr>
        <w:pStyle w:val="Compact"/>
        <w:numPr>
          <w:ilvl w:val="0"/>
          <w:numId w:val="1002"/>
        </w:numPr>
      </w:pPr>
      <w:r>
        <w:t xml:space="preserve">Land on Admissions → Select pathway → View requirements → Apply</w:t>
      </w:r>
    </w:p>
    <w:p>
      <w:pPr>
        <w:pStyle w:val="Compact"/>
        <w:numPr>
          <w:ilvl w:val="0"/>
          <w:numId w:val="1002"/>
        </w:numPr>
      </w:pPr>
      <w:r>
        <w:t xml:space="preserve">Search programme → Check eligibility → Apply</w:t>
      </w:r>
    </w:p>
    <w:p>
      <w:pPr>
        <w:pStyle w:val="Compact"/>
        <w:numPr>
          <w:ilvl w:val="0"/>
          <w:numId w:val="1002"/>
        </w:numPr>
      </w:pPr>
      <w:r>
        <w:t xml:space="preserve">Download fee structures / brochures</w:t>
      </w:r>
    </w:p>
    <w:p>
      <w:pPr>
        <w:pStyle w:val="Compact"/>
        <w:numPr>
          <w:ilvl w:val="0"/>
          <w:numId w:val="1002"/>
        </w:numPr>
      </w:pPr>
      <w:r>
        <w:t xml:space="preserve">Understand application process (step-by-step)</w:t>
      </w:r>
    </w:p>
    <w:p>
      <w:pPr>
        <w:pStyle w:val="Compact"/>
        <w:numPr>
          <w:ilvl w:val="0"/>
          <w:numId w:val="1002"/>
        </w:numPr>
      </w:pPr>
      <w:r>
        <w:t xml:space="preserve">Contact admissions office</w:t>
      </w:r>
    </w:p>
    <w:p>
      <w:r>
        <w:pict>
          <v:rect style="width:0;height:1.5pt" o:hralign="center" o:hrstd="t" o:hr="t"/>
        </w:pict>
      </w:r>
    </w:p>
    <w:bookmarkEnd w:id="24"/>
    <w:bookmarkStart w:id="27" w:name="information-architecture"/>
    <w:p>
      <w:pPr>
        <w:pStyle w:val="Heading2"/>
      </w:pPr>
      <w:r>
        <w:t xml:space="preserve">4. Information Architecture</w:t>
      </w:r>
    </w:p>
    <w:bookmarkStart w:id="25" w:name="main-admissions-landing-page"/>
    <w:p>
      <w:pPr>
        <w:pStyle w:val="Heading3"/>
      </w:pPr>
      <w:r>
        <w:t xml:space="preserve">Main Admissions Landing Page</w:t>
      </w:r>
    </w:p>
    <w:p>
      <w:pPr>
        <w:pStyle w:val="Compact"/>
        <w:numPr>
          <w:ilvl w:val="0"/>
          <w:numId w:val="1003"/>
        </w:numPr>
      </w:pPr>
      <w:r>
        <w:t xml:space="preserve">Overview</w:t>
      </w:r>
    </w:p>
    <w:p>
      <w:pPr>
        <w:pStyle w:val="Compact"/>
        <w:numPr>
          <w:ilvl w:val="0"/>
          <w:numId w:val="1003"/>
        </w:numPr>
      </w:pPr>
      <w:r>
        <w:t xml:space="preserve">Admission pathways (cards)</w:t>
      </w:r>
    </w:p>
    <w:p>
      <w:pPr>
        <w:pStyle w:val="Compact"/>
        <w:numPr>
          <w:ilvl w:val="0"/>
          <w:numId w:val="1003"/>
        </w:numPr>
      </w:pPr>
      <w:r>
        <w:t xml:space="preserve">Key deadlines</w:t>
      </w:r>
    </w:p>
    <w:p>
      <w:pPr>
        <w:pStyle w:val="Compact"/>
        <w:numPr>
          <w:ilvl w:val="0"/>
          <w:numId w:val="1003"/>
        </w:numPr>
      </w:pPr>
      <w:r>
        <w:t xml:space="preserve">Quick links</w:t>
      </w:r>
    </w:p>
    <w:bookmarkEnd w:id="25"/>
    <w:bookmarkStart w:id="26" w:name="subsections"/>
    <w:p>
      <w:pPr>
        <w:pStyle w:val="Heading3"/>
      </w:pPr>
      <w:r>
        <w:t xml:space="preserve">Subsections</w:t>
      </w:r>
    </w:p>
    <w:p>
      <w:pPr>
        <w:pStyle w:val="Compact"/>
        <w:numPr>
          <w:ilvl w:val="0"/>
          <w:numId w:val="1004"/>
        </w:numPr>
      </w:pPr>
      <w:r>
        <w:t xml:space="preserve">Undergraduate Admissions</w:t>
      </w:r>
    </w:p>
    <w:p>
      <w:pPr>
        <w:pStyle w:val="Compact"/>
        <w:numPr>
          <w:ilvl w:val="0"/>
          <w:numId w:val="1005"/>
        </w:numPr>
      </w:pPr>
      <w:r>
        <w:t xml:space="preserve">Requirements</w:t>
      </w:r>
    </w:p>
    <w:p>
      <w:pPr>
        <w:pStyle w:val="Compact"/>
        <w:numPr>
          <w:ilvl w:val="0"/>
          <w:numId w:val="1005"/>
        </w:numPr>
      </w:pPr>
      <w:r>
        <w:t xml:space="preserve">KUCCPS guidance</w:t>
      </w:r>
    </w:p>
    <w:p>
      <w:pPr>
        <w:pStyle w:val="Compact"/>
        <w:numPr>
          <w:ilvl w:val="0"/>
          <w:numId w:val="1005"/>
        </w:numPr>
      </w:pPr>
      <w:r>
        <w:t xml:space="preserve">Application steps</w:t>
      </w:r>
    </w:p>
    <w:p>
      <w:pPr>
        <w:pStyle w:val="Compact"/>
        <w:numPr>
          <w:ilvl w:val="0"/>
          <w:numId w:val="1006"/>
        </w:numPr>
      </w:pPr>
      <w:r>
        <w:t xml:space="preserve">Postgraduate Admissions</w:t>
      </w:r>
    </w:p>
    <w:p>
      <w:pPr>
        <w:pStyle w:val="Compact"/>
        <w:numPr>
          <w:ilvl w:val="0"/>
          <w:numId w:val="1007"/>
        </w:numPr>
      </w:pPr>
      <w:r>
        <w:t xml:space="preserve">Requirements</w:t>
      </w:r>
    </w:p>
    <w:p>
      <w:pPr>
        <w:pStyle w:val="Compact"/>
        <w:numPr>
          <w:ilvl w:val="0"/>
          <w:numId w:val="1007"/>
        </w:numPr>
      </w:pPr>
      <w:r>
        <w:t xml:space="preserve">Programme links</w:t>
      </w:r>
    </w:p>
    <w:p>
      <w:pPr>
        <w:pStyle w:val="Compact"/>
        <w:numPr>
          <w:ilvl w:val="0"/>
          <w:numId w:val="1007"/>
        </w:numPr>
      </w:pPr>
      <w:r>
        <w:t xml:space="preserve">Application process</w:t>
      </w:r>
    </w:p>
    <w:p>
      <w:pPr>
        <w:pStyle w:val="Compact"/>
        <w:numPr>
          <w:ilvl w:val="0"/>
          <w:numId w:val="1008"/>
        </w:numPr>
      </w:pPr>
      <w:r>
        <w:t xml:space="preserve">International Students</w:t>
      </w:r>
    </w:p>
    <w:p>
      <w:pPr>
        <w:pStyle w:val="Compact"/>
        <w:numPr>
          <w:ilvl w:val="0"/>
          <w:numId w:val="1009"/>
        </w:numPr>
      </w:pPr>
      <w:r>
        <w:t xml:space="preserve">Requirements</w:t>
      </w:r>
    </w:p>
    <w:p>
      <w:pPr>
        <w:pStyle w:val="Compact"/>
        <w:numPr>
          <w:ilvl w:val="0"/>
          <w:numId w:val="1009"/>
        </w:numPr>
      </w:pPr>
      <w:r>
        <w:t xml:space="preserve">Visa/process guidance</w:t>
      </w:r>
    </w:p>
    <w:p>
      <w:pPr>
        <w:pStyle w:val="Compact"/>
        <w:numPr>
          <w:ilvl w:val="0"/>
          <w:numId w:val="1010"/>
        </w:numPr>
      </w:pPr>
      <w:r>
        <w:t xml:space="preserve">Self-Sponsored Programmes</w:t>
      </w:r>
    </w:p>
    <w:p>
      <w:pPr>
        <w:pStyle w:val="Compact"/>
        <w:numPr>
          <w:ilvl w:val="0"/>
          <w:numId w:val="1011"/>
        </w:numPr>
      </w:pPr>
      <w:r>
        <w:t xml:space="preserve">Application process</w:t>
      </w:r>
    </w:p>
    <w:p>
      <w:pPr>
        <w:pStyle w:val="Compact"/>
        <w:numPr>
          <w:ilvl w:val="0"/>
          <w:numId w:val="1011"/>
        </w:numPr>
      </w:pPr>
      <w:r>
        <w:t xml:space="preserve">Fees</w:t>
      </w:r>
    </w:p>
    <w:p>
      <w:pPr>
        <w:pStyle w:val="Compact"/>
        <w:numPr>
          <w:ilvl w:val="0"/>
          <w:numId w:val="1012"/>
        </w:numPr>
      </w:pPr>
      <w:r>
        <w:t xml:space="preserve">How to Apply (Unified Guide)</w:t>
      </w:r>
    </w:p>
    <w:p>
      <w:pPr>
        <w:pStyle w:val="Compact"/>
        <w:numPr>
          <w:ilvl w:val="0"/>
          <w:numId w:val="1013"/>
        </w:numPr>
      </w:pPr>
      <w:r>
        <w:t xml:space="preserve">Step-by-step process</w:t>
      </w:r>
    </w:p>
    <w:p>
      <w:pPr>
        <w:pStyle w:val="Compact"/>
        <w:numPr>
          <w:ilvl w:val="0"/>
          <w:numId w:val="1013"/>
        </w:numPr>
      </w:pPr>
      <w:r>
        <w:t xml:space="preserve">Required documents</w:t>
      </w:r>
    </w:p>
    <w:p>
      <w:pPr>
        <w:pStyle w:val="Compact"/>
        <w:numPr>
          <w:ilvl w:val="0"/>
          <w:numId w:val="1014"/>
        </w:numPr>
      </w:pPr>
      <w:r>
        <w:t xml:space="preserve">Fees &amp; Financial Information</w:t>
      </w:r>
    </w:p>
    <w:p>
      <w:pPr>
        <w:pStyle w:val="Compact"/>
        <w:numPr>
          <w:ilvl w:val="0"/>
          <w:numId w:val="1015"/>
        </w:numPr>
      </w:pPr>
      <w:r>
        <w:t xml:space="preserve">Fee structures (downloadable)</w:t>
      </w:r>
    </w:p>
    <w:p>
      <w:pPr>
        <w:pStyle w:val="Compact"/>
        <w:numPr>
          <w:ilvl w:val="0"/>
          <w:numId w:val="1015"/>
        </w:numPr>
      </w:pPr>
      <w:r>
        <w:t xml:space="preserve">Payment methods</w:t>
      </w:r>
    </w:p>
    <w:p>
      <w:pPr>
        <w:pStyle w:val="Compact"/>
        <w:numPr>
          <w:ilvl w:val="0"/>
          <w:numId w:val="1016"/>
        </w:numPr>
      </w:pPr>
      <w:r>
        <w:t xml:space="preserve">Downloads</w:t>
      </w:r>
    </w:p>
    <w:p>
      <w:pPr>
        <w:pStyle w:val="Compact"/>
        <w:numPr>
          <w:ilvl w:val="0"/>
          <w:numId w:val="1017"/>
        </w:numPr>
      </w:pPr>
      <w:r>
        <w:t xml:space="preserve">Application forms</w:t>
      </w:r>
    </w:p>
    <w:p>
      <w:pPr>
        <w:pStyle w:val="Compact"/>
        <w:numPr>
          <w:ilvl w:val="0"/>
          <w:numId w:val="1017"/>
        </w:numPr>
      </w:pPr>
      <w:r>
        <w:t xml:space="preserve">Joining instructions</w:t>
      </w:r>
    </w:p>
    <w:p>
      <w:pPr>
        <w:pStyle w:val="Compact"/>
        <w:numPr>
          <w:ilvl w:val="0"/>
          <w:numId w:val="1017"/>
        </w:numPr>
      </w:pPr>
      <w:r>
        <w:t xml:space="preserve">Brochures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a-model-content-fields"/>
    <w:p>
      <w:pPr>
        <w:pStyle w:val="Heading2"/>
      </w:pPr>
      <w:r>
        <w:t xml:space="preserve">5. Data Model / Content Fields</w:t>
      </w:r>
    </w:p>
    <w:bookmarkStart w:id="28" w:name="admission-pathway"/>
    <w:p>
      <w:pPr>
        <w:pStyle w:val="Heading3"/>
      </w:pPr>
      <w:r>
        <w:t xml:space="preserve">Admission Pathway</w:t>
      </w:r>
    </w:p>
    <w:p>
      <w:pPr>
        <w:pStyle w:val="Compact"/>
        <w:numPr>
          <w:ilvl w:val="0"/>
          <w:numId w:val="1018"/>
        </w:numPr>
      </w:pPr>
      <w:r>
        <w:t xml:space="preserve">Title</w:t>
      </w:r>
    </w:p>
    <w:p>
      <w:pPr>
        <w:pStyle w:val="Compact"/>
        <w:numPr>
          <w:ilvl w:val="0"/>
          <w:numId w:val="1018"/>
        </w:numPr>
      </w:pPr>
      <w:r>
        <w:t xml:space="preserve">Description</w:t>
      </w:r>
    </w:p>
    <w:p>
      <w:pPr>
        <w:pStyle w:val="Compact"/>
        <w:numPr>
          <w:ilvl w:val="0"/>
          <w:numId w:val="1018"/>
        </w:numPr>
      </w:pPr>
      <w:r>
        <w:t xml:space="preserve">Requirements</w:t>
      </w:r>
    </w:p>
    <w:p>
      <w:pPr>
        <w:pStyle w:val="Compact"/>
        <w:numPr>
          <w:ilvl w:val="0"/>
          <w:numId w:val="1018"/>
        </w:numPr>
      </w:pPr>
      <w:r>
        <w:t xml:space="preserve">Steps</w:t>
      </w:r>
    </w:p>
    <w:p>
      <w:pPr>
        <w:pStyle w:val="Compact"/>
        <w:numPr>
          <w:ilvl w:val="0"/>
          <w:numId w:val="1018"/>
        </w:numPr>
      </w:pPr>
      <w:r>
        <w:t xml:space="preserve">CTA link</w:t>
      </w:r>
    </w:p>
    <w:bookmarkEnd w:id="28"/>
    <w:bookmarkStart w:id="29" w:name="documents"/>
    <w:p>
      <w:pPr>
        <w:pStyle w:val="Heading3"/>
      </w:pPr>
      <w:r>
        <w:t xml:space="preserve">Documents</w:t>
      </w:r>
    </w:p>
    <w:p>
      <w:pPr>
        <w:pStyle w:val="Compact"/>
        <w:numPr>
          <w:ilvl w:val="0"/>
          <w:numId w:val="1019"/>
        </w:numPr>
      </w:pPr>
      <w:r>
        <w:t xml:space="preserve">Title</w:t>
      </w:r>
    </w:p>
    <w:p>
      <w:pPr>
        <w:pStyle w:val="Compact"/>
        <w:numPr>
          <w:ilvl w:val="0"/>
          <w:numId w:val="1019"/>
        </w:numPr>
      </w:pPr>
      <w:r>
        <w:t xml:space="preserve">Category</w:t>
      </w:r>
    </w:p>
    <w:p>
      <w:pPr>
        <w:pStyle w:val="Compact"/>
        <w:numPr>
          <w:ilvl w:val="0"/>
          <w:numId w:val="1019"/>
        </w:numPr>
      </w:pPr>
      <w:r>
        <w:t xml:space="preserve">File</w:t>
      </w:r>
    </w:p>
    <w:p>
      <w:pPr>
        <w:pStyle w:val="Compact"/>
        <w:numPr>
          <w:ilvl w:val="0"/>
          <w:numId w:val="1019"/>
        </w:numPr>
      </w:pPr>
      <w:r>
        <w:t xml:space="preserve">Version</w:t>
      </w:r>
    </w:p>
    <w:p>
      <w:pPr>
        <w:pStyle w:val="Compact"/>
        <w:numPr>
          <w:ilvl w:val="0"/>
          <w:numId w:val="1019"/>
        </w:numPr>
      </w:pPr>
      <w:r>
        <w:t xml:space="preserve">Upload date</w:t>
      </w:r>
    </w:p>
    <w:bookmarkEnd w:id="29"/>
    <w:bookmarkStart w:id="30" w:name="deadlines"/>
    <w:p>
      <w:pPr>
        <w:pStyle w:val="Heading3"/>
      </w:pPr>
      <w:r>
        <w:t xml:space="preserve">Deadlines</w:t>
      </w:r>
    </w:p>
    <w:p>
      <w:pPr>
        <w:pStyle w:val="Compact"/>
        <w:numPr>
          <w:ilvl w:val="0"/>
          <w:numId w:val="1020"/>
        </w:numPr>
      </w:pPr>
      <w:r>
        <w:t xml:space="preserve">Event name</w:t>
      </w:r>
    </w:p>
    <w:p>
      <w:pPr>
        <w:pStyle w:val="Compact"/>
        <w:numPr>
          <w:ilvl w:val="0"/>
          <w:numId w:val="1020"/>
        </w:numPr>
      </w:pPr>
      <w:r>
        <w:t xml:space="preserve">Date</w:t>
      </w:r>
    </w:p>
    <w:p>
      <w:pPr>
        <w:pStyle w:val="Compact"/>
        <w:numPr>
          <w:ilvl w:val="0"/>
          <w:numId w:val="1020"/>
        </w:numPr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rontend-ui-requirements"/>
    <w:p>
      <w:pPr>
        <w:pStyle w:val="Heading2"/>
      </w:pPr>
      <w:r>
        <w:t xml:space="preserve">6. Frontend UI Requirements</w:t>
      </w:r>
    </w:p>
    <w:p>
      <w:pPr>
        <w:pStyle w:val="Compact"/>
        <w:numPr>
          <w:ilvl w:val="0"/>
          <w:numId w:val="1021"/>
        </w:numPr>
      </w:pPr>
      <w:r>
        <w:t xml:space="preserve">Clear pathway cards</w:t>
      </w:r>
    </w:p>
    <w:p>
      <w:pPr>
        <w:pStyle w:val="Compact"/>
        <w:numPr>
          <w:ilvl w:val="0"/>
          <w:numId w:val="1021"/>
        </w:numPr>
      </w:pPr>
      <w:r>
        <w:t xml:space="preserve">Step-by-step visual guides</w:t>
      </w:r>
    </w:p>
    <w:p>
      <w:pPr>
        <w:pStyle w:val="Compact"/>
        <w:numPr>
          <w:ilvl w:val="0"/>
          <w:numId w:val="1021"/>
        </w:numPr>
      </w:pPr>
      <w:r>
        <w:t xml:space="preserve">Download center (structured)</w:t>
      </w:r>
    </w:p>
    <w:p>
      <w:pPr>
        <w:pStyle w:val="Compact"/>
        <w:numPr>
          <w:ilvl w:val="0"/>
          <w:numId w:val="1021"/>
        </w:numPr>
      </w:pPr>
      <w:r>
        <w:t xml:space="preserve">Sticky Apply CTA</w:t>
      </w:r>
    </w:p>
    <w:p>
      <w:pPr>
        <w:pStyle w:val="Compact"/>
        <w:numPr>
          <w:ilvl w:val="0"/>
          <w:numId w:val="1021"/>
        </w:numPr>
      </w:pPr>
      <w:r>
        <w:t xml:space="preserve">Mobile-first layout</w:t>
      </w:r>
    </w:p>
    <w:p>
      <w:r>
        <w:pict>
          <v:rect style="width:0;height:1.5pt" o:hralign="center" o:hrstd="t" o:hr="t"/>
        </w:pict>
      </w:r>
    </w:p>
    <w:bookmarkEnd w:id="32"/>
    <w:bookmarkStart w:id="33" w:name="backend-cms-requirements"/>
    <w:p>
      <w:pPr>
        <w:pStyle w:val="Heading2"/>
      </w:pPr>
      <w:r>
        <w:t xml:space="preserve">7. Backend / CMS Requirements</w:t>
      </w:r>
    </w:p>
    <w:p>
      <w:pPr>
        <w:pStyle w:val="Compact"/>
        <w:numPr>
          <w:ilvl w:val="0"/>
          <w:numId w:val="1022"/>
        </w:numPr>
      </w:pPr>
      <w:r>
        <w:t xml:space="preserve">Admin can:</w:t>
      </w:r>
    </w:p>
    <w:p>
      <w:pPr>
        <w:pStyle w:val="Compact"/>
        <w:numPr>
          <w:ilvl w:val="1"/>
          <w:numId w:val="1023"/>
        </w:numPr>
      </w:pPr>
      <w:r>
        <w:t xml:space="preserve">Update requirements</w:t>
      </w:r>
    </w:p>
    <w:p>
      <w:pPr>
        <w:pStyle w:val="Compact"/>
        <w:numPr>
          <w:ilvl w:val="1"/>
          <w:numId w:val="1023"/>
        </w:numPr>
      </w:pPr>
      <w:r>
        <w:t xml:space="preserve">Upload documents</w:t>
      </w:r>
    </w:p>
    <w:p>
      <w:pPr>
        <w:pStyle w:val="Compact"/>
        <w:numPr>
          <w:ilvl w:val="1"/>
          <w:numId w:val="1023"/>
        </w:numPr>
      </w:pPr>
      <w:r>
        <w:t xml:space="preserve">Set deadlines</w:t>
      </w:r>
    </w:p>
    <w:p>
      <w:pPr>
        <w:pStyle w:val="Compact"/>
        <w:numPr>
          <w:ilvl w:val="1"/>
          <w:numId w:val="1023"/>
        </w:numPr>
      </w:pPr>
      <w:r>
        <w:t xml:space="preserve">Edit pathways</w:t>
      </w:r>
    </w:p>
    <w:p>
      <w:r>
        <w:pict>
          <v:rect style="width:0;height:1.5pt" o:hralign="center" o:hrstd="t" o:hr="t"/>
        </w:pict>
      </w:r>
    </w:p>
    <w:bookmarkEnd w:id="33"/>
    <w:bookmarkStart w:id="34" w:name="roles-permissions"/>
    <w:p>
      <w:pPr>
        <w:pStyle w:val="Heading2"/>
      </w:pPr>
      <w:r>
        <w:t xml:space="preserve">8. Roles &amp; Permissions</w:t>
      </w:r>
    </w:p>
    <w:p>
      <w:pPr>
        <w:pStyle w:val="Compact"/>
        <w:numPr>
          <w:ilvl w:val="0"/>
          <w:numId w:val="1024"/>
        </w:numPr>
      </w:pPr>
      <w:r>
        <w:t xml:space="preserve">Admissions Admin: full control</w:t>
      </w:r>
    </w:p>
    <w:p>
      <w:pPr>
        <w:pStyle w:val="Compact"/>
        <w:numPr>
          <w:ilvl w:val="0"/>
          <w:numId w:val="1024"/>
        </w:numPr>
      </w:pPr>
      <w:r>
        <w:t xml:space="preserve">Comms Admin: content updates</w:t>
      </w:r>
    </w:p>
    <w:p>
      <w:pPr>
        <w:pStyle w:val="Compact"/>
        <w:numPr>
          <w:ilvl w:val="0"/>
          <w:numId w:val="1024"/>
        </w:numPr>
      </w:pPr>
      <w:r>
        <w:t xml:space="preserve">ICT Admin: system control</w:t>
      </w:r>
    </w:p>
    <w:p>
      <w:r>
        <w:pict>
          <v:rect style="width:0;height:1.5pt" o:hralign="center" o:hrstd="t" o:hr="t"/>
        </w:pict>
      </w:r>
    </w:p>
    <w:bookmarkEnd w:id="34"/>
    <w:bookmarkStart w:id="35" w:name="integrations"/>
    <w:p>
      <w:pPr>
        <w:pStyle w:val="Heading2"/>
      </w:pPr>
      <w:r>
        <w:t xml:space="preserve">9. Integrations</w:t>
      </w:r>
    </w:p>
    <w:p>
      <w:pPr>
        <w:pStyle w:val="Compact"/>
        <w:numPr>
          <w:ilvl w:val="0"/>
          <w:numId w:val="1025"/>
        </w:numPr>
      </w:pPr>
      <w:r>
        <w:t xml:space="preserve">Programme Catalogue</w:t>
      </w:r>
    </w:p>
    <w:p>
      <w:pPr>
        <w:pStyle w:val="Compact"/>
        <w:numPr>
          <w:ilvl w:val="0"/>
          <w:numId w:val="1025"/>
        </w:numPr>
      </w:pPr>
      <w:r>
        <w:t xml:space="preserve">External application systems</w:t>
      </w:r>
    </w:p>
    <w:p>
      <w:pPr>
        <w:pStyle w:val="Compact"/>
        <w:numPr>
          <w:ilvl w:val="0"/>
          <w:numId w:val="1025"/>
        </w:numPr>
      </w:pPr>
      <w:r>
        <w:t xml:space="preserve">Payment gateways (future)</w:t>
      </w:r>
    </w:p>
    <w:p>
      <w:r>
        <w:pict>
          <v:rect style="width:0;height:1.5pt" o:hralign="center" o:hrstd="t" o:hr="t"/>
        </w:pict>
      </w:r>
    </w:p>
    <w:bookmarkEnd w:id="35"/>
    <w:bookmarkStart w:id="36" w:name="seo-accessibility-compliance"/>
    <w:p>
      <w:pPr>
        <w:pStyle w:val="Heading2"/>
      </w:pPr>
      <w:r>
        <w:t xml:space="preserve">10. SEO / Accessibility / Compliance</w:t>
      </w:r>
    </w:p>
    <w:p>
      <w:pPr>
        <w:pStyle w:val="Compact"/>
        <w:numPr>
          <w:ilvl w:val="0"/>
          <w:numId w:val="1026"/>
        </w:numPr>
      </w:pPr>
      <w:r>
        <w:t xml:space="preserve">Structured content</w:t>
      </w:r>
    </w:p>
    <w:p>
      <w:pPr>
        <w:pStyle w:val="Compact"/>
        <w:numPr>
          <w:ilvl w:val="0"/>
          <w:numId w:val="1026"/>
        </w:numPr>
      </w:pPr>
      <w:r>
        <w:t xml:space="preserve">Accessible downloads</w:t>
      </w:r>
    </w:p>
    <w:p>
      <w:pPr>
        <w:pStyle w:val="Compact"/>
        <w:numPr>
          <w:ilvl w:val="0"/>
          <w:numId w:val="1026"/>
        </w:numPr>
      </w:pPr>
      <w:r>
        <w:t xml:space="preserve">Optimized headings</w:t>
      </w:r>
    </w:p>
    <w:p>
      <w:r>
        <w:pict>
          <v:rect style="width:0;height:1.5pt" o:hralign="center" o:hrstd="t" o:hr="t"/>
        </w:pict>
      </w:r>
    </w:p>
    <w:bookmarkEnd w:id="36"/>
    <w:bookmarkStart w:id="37" w:name="acceptance-criteria"/>
    <w:p>
      <w:pPr>
        <w:pStyle w:val="Heading2"/>
      </w:pPr>
      <w:r>
        <w:t xml:space="preserve">11. Acceptance Criteria</w:t>
      </w:r>
    </w:p>
    <w:p>
      <w:pPr>
        <w:pStyle w:val="Compact"/>
        <w:numPr>
          <w:ilvl w:val="0"/>
          <w:numId w:val="1027"/>
        </w:numPr>
      </w:pPr>
      <w:r>
        <w:t xml:space="preserve">Users can complete application journey without confusion</w:t>
      </w:r>
    </w:p>
    <w:p>
      <w:pPr>
        <w:pStyle w:val="Compact"/>
        <w:numPr>
          <w:ilvl w:val="0"/>
          <w:numId w:val="1027"/>
        </w:numPr>
      </w:pPr>
      <w:r>
        <w:t xml:space="preserve">All documents downloadable</w:t>
      </w:r>
    </w:p>
    <w:p>
      <w:pPr>
        <w:pStyle w:val="Compact"/>
        <w:numPr>
          <w:ilvl w:val="0"/>
          <w:numId w:val="1027"/>
        </w:numPr>
      </w:pPr>
      <w:r>
        <w:t xml:space="preserve">CTA visible on all pages</w:t>
      </w:r>
    </w:p>
    <w:p>
      <w:r>
        <w:pict>
          <v:rect style="width:0;height:1.5pt" o:hralign="center" o:hrstd="t" o:hr="t"/>
        </w:pict>
      </w:r>
    </w:p>
    <w:bookmarkEnd w:id="37"/>
    <w:bookmarkStart w:id="38" w:name="future-erp-alignment"/>
    <w:p>
      <w:pPr>
        <w:pStyle w:val="Heading2"/>
      </w:pPr>
      <w:r>
        <w:t xml:space="preserve">12. Future ERP Alignment</w:t>
      </w:r>
    </w:p>
    <w:p>
      <w:pPr>
        <w:pStyle w:val="Compact"/>
        <w:numPr>
          <w:ilvl w:val="0"/>
          <w:numId w:val="1028"/>
        </w:numPr>
      </w:pPr>
      <w:r>
        <w:t xml:space="preserve">Integrates with student information systems</w:t>
      </w:r>
    </w:p>
    <w:p>
      <w:pPr>
        <w:pStyle w:val="Compact"/>
        <w:numPr>
          <w:ilvl w:val="0"/>
          <w:numId w:val="1028"/>
        </w:numPr>
      </w:pPr>
      <w:r>
        <w:t xml:space="preserve">Supports online application workflows</w:t>
      </w:r>
    </w:p>
    <w:p>
      <w:r>
        <w:pict>
          <v:rect style="width:0;height:1.5pt" o:hralign="center" o:hrstd="t" o:hr="t"/>
        </w:pict>
      </w:r>
    </w:p>
    <w:bookmarkEnd w:id="38"/>
    <w:bookmarkStart w:id="39" w:name="dependencies"/>
    <w:p>
      <w:pPr>
        <w:pStyle w:val="Heading2"/>
      </w:pPr>
      <w:r>
        <w:t xml:space="preserve">13. Dependencies</w:t>
      </w:r>
    </w:p>
    <w:p>
      <w:pPr>
        <w:pStyle w:val="Compact"/>
        <w:numPr>
          <w:ilvl w:val="0"/>
          <w:numId w:val="1029"/>
        </w:numPr>
      </w:pPr>
      <w:r>
        <w:t xml:space="preserve">Homepage</w:t>
      </w:r>
    </w:p>
    <w:p>
      <w:pPr>
        <w:pStyle w:val="Compact"/>
        <w:numPr>
          <w:ilvl w:val="0"/>
          <w:numId w:val="1029"/>
        </w:numPr>
      </w:pPr>
      <w:r>
        <w:t xml:space="preserve">Programme Catalogue</w:t>
      </w:r>
    </w:p>
    <w:p>
      <w:r>
        <w:pict>
          <v:rect style="width:0;height:1.5pt" o:hralign="center" o:hrstd="t" o:hr="t"/>
        </w:pict>
      </w:r>
    </w:p>
    <w:bookmarkEnd w:id="39"/>
    <w:bookmarkStart w:id="40" w:name="output-requirements"/>
    <w:p>
      <w:pPr>
        <w:pStyle w:val="Heading2"/>
      </w:pPr>
      <w:r>
        <w:t xml:space="preserve">14. Output Requirements</w:t>
      </w:r>
    </w:p>
    <w:p>
      <w:pPr>
        <w:pStyle w:val="FirstParagraph"/>
      </w:pPr>
      <w:r>
        <w:t xml:space="preserve">Produce:</w:t>
      </w:r>
      <w:r>
        <w:t xml:space="preserve"> </w:t>
      </w:r>
      <w:r>
        <w:t xml:space="preserve">- UI wireframes</w:t>
      </w:r>
      <w:r>
        <w:t xml:space="preserve"> </w:t>
      </w:r>
      <w:r>
        <w:t xml:space="preserve">- Content schema</w:t>
      </w:r>
      <w:r>
        <w:t xml:space="preserve"> </w:t>
      </w:r>
      <w:r>
        <w:t xml:space="preserve">- Developer prompt</w:t>
      </w:r>
    </w:p>
    <w:p>
      <w:pPr>
        <w:pStyle w:val="BodyText"/>
      </w:pPr>
      <w:r>
        <w:t xml:space="preserve">The Admissions module must function as the primary conversion engine of the website.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2026-04-03T10:50:50Z</dcterms:created>
  <dcterms:modified xsi:type="dcterms:W3CDTF">2026-04-03T10:50:50Z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