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kafu-master-prompts-18-19"/>
    <w:p>
      <w:pPr>
        <w:pStyle w:val="Heading1"/>
      </w:pPr>
      <w:r>
        <w:t xml:space="preserve">KAFU MASTER PROMPTS 18 &amp; 19</w:t>
      </w:r>
    </w:p>
    <w:bookmarkStart w:id="20" w:name="X27bdf8fba55d2fb53be53bf35c9eb87fd3b6f54"/>
    <w:p>
      <w:pPr>
        <w:pStyle w:val="Heading2"/>
      </w:pPr>
      <w:r>
        <w:t xml:space="preserve">Alumni &amp; Graduate Outcomes + Institutional Data &amp; Rankings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4" w:name="part-a-alumni-graduate-outcomes-system"/>
    <w:p>
      <w:pPr>
        <w:pStyle w:val="Heading1"/>
      </w:pPr>
      <w:r>
        <w:t xml:space="preserve">PART A: ALUMNI &amp; GRADUATE OUTCOMES SYSTEM</w:t>
      </w:r>
    </w:p>
    <w:bookmarkStart w:id="22" w:name="prompt"/>
    <w:p>
      <w:pPr>
        <w:pStyle w:val="Heading2"/>
      </w:pPr>
      <w:r>
        <w:t xml:space="preserve">Prompt</w:t>
      </w:r>
    </w:p>
    <w:p>
      <w:pPr>
        <w:pStyle w:val="FirstParagraph"/>
      </w:pPr>
      <w:r>
        <w:t xml:space="preserve">Design and implement an enterprise-grade</w:t>
      </w:r>
      <w:r>
        <w:t xml:space="preserve"> </w:t>
      </w:r>
      <w:r>
        <w:rPr>
          <w:b/>
          <w:bCs/>
        </w:rPr>
        <w:t xml:space="preserve">Alumni &amp; Graduate Outcomes System</w:t>
      </w:r>
      <w:r>
        <w:t xml:space="preserve"> </w:t>
      </w:r>
      <w:r>
        <w:t xml:space="preserve">for KAFU that captures, structures, and showcases post-graduation impact.</w:t>
      </w:r>
    </w:p>
    <w:p>
      <w:r>
        <w:pict>
          <v:rect style="width:0;height:1.5pt" o:hralign="center" o:hrstd="t" o:hr="t"/>
        </w:pict>
      </w:r>
    </w:p>
    <w:bookmarkEnd w:id="22"/>
    <w:bookmarkStart w:id="23" w:name="strategic-objective"/>
    <w:p>
      <w:pPr>
        <w:pStyle w:val="Heading2"/>
      </w:pPr>
      <w:r>
        <w:t xml:space="preserve">1. Strategic Objective</w:t>
      </w:r>
    </w:p>
    <w:p>
      <w:pPr>
        <w:pStyle w:val="Compact"/>
        <w:numPr>
          <w:ilvl w:val="0"/>
          <w:numId w:val="1001"/>
        </w:numPr>
      </w:pPr>
      <w:r>
        <w:t xml:space="preserve">Demonstrate employability and ROI of programmes</w:t>
      </w:r>
    </w:p>
    <w:p>
      <w:pPr>
        <w:pStyle w:val="Compact"/>
        <w:numPr>
          <w:ilvl w:val="0"/>
          <w:numId w:val="1001"/>
        </w:numPr>
      </w:pPr>
      <w:r>
        <w:t xml:space="preserve">Strengthen employer reputation signals</w:t>
      </w:r>
    </w:p>
    <w:p>
      <w:pPr>
        <w:pStyle w:val="Compact"/>
        <w:numPr>
          <w:ilvl w:val="0"/>
          <w:numId w:val="1001"/>
        </w:numPr>
      </w:pPr>
      <w:r>
        <w:t xml:space="preserve">Support student conversion</w:t>
      </w:r>
    </w:p>
    <w:p>
      <w:pPr>
        <w:pStyle w:val="Compact"/>
        <w:numPr>
          <w:ilvl w:val="0"/>
          <w:numId w:val="1001"/>
        </w:numPr>
      </w:pPr>
      <w:r>
        <w:t xml:space="preserve">Build long-term alumni engagement layer</w:t>
      </w:r>
    </w:p>
    <w:p>
      <w:r>
        <w:pict>
          <v:rect style="width:0;height:1.5pt" o:hralign="center" o:hrstd="t" o:hr="t"/>
        </w:pict>
      </w:r>
    </w:p>
    <w:bookmarkEnd w:id="23"/>
    <w:bookmarkStart w:id="28" w:name="core-subsystems"/>
    <w:p>
      <w:pPr>
        <w:pStyle w:val="Heading2"/>
      </w:pPr>
      <w:r>
        <w:t xml:space="preserve">2. Core Subsystems</w:t>
      </w:r>
    </w:p>
    <w:bookmarkStart w:id="24" w:name="a.-alumni-directory-public-controlled"/>
    <w:p>
      <w:pPr>
        <w:pStyle w:val="Heading3"/>
      </w:pPr>
      <w:r>
        <w:t xml:space="preserve">A. Alumni Directory (Public + Controlled)</w:t>
      </w:r>
    </w:p>
    <w:p>
      <w:pPr>
        <w:pStyle w:val="Compact"/>
        <w:numPr>
          <w:ilvl w:val="0"/>
          <w:numId w:val="1002"/>
        </w:numPr>
      </w:pPr>
      <w:r>
        <w:t xml:space="preserve">Featured alumni profiles</w:t>
      </w:r>
    </w:p>
    <w:p>
      <w:pPr>
        <w:pStyle w:val="Compact"/>
        <w:numPr>
          <w:ilvl w:val="0"/>
          <w:numId w:val="1002"/>
        </w:numPr>
      </w:pPr>
      <w:r>
        <w:t xml:space="preserve">Industry representation</w:t>
      </w:r>
    </w:p>
    <w:p>
      <w:pPr>
        <w:pStyle w:val="Compact"/>
        <w:numPr>
          <w:ilvl w:val="0"/>
          <w:numId w:val="1002"/>
        </w:numPr>
      </w:pPr>
      <w:r>
        <w:t xml:space="preserve">Geographic distribution</w:t>
      </w:r>
    </w:p>
    <w:bookmarkEnd w:id="24"/>
    <w:bookmarkStart w:id="25" w:name="b.-graduate-outcomes-engine"/>
    <w:p>
      <w:pPr>
        <w:pStyle w:val="Heading3"/>
      </w:pPr>
      <w:r>
        <w:t xml:space="preserve">B. Graduate Outcomes Engine</w:t>
      </w:r>
    </w:p>
    <w:p>
      <w:pPr>
        <w:pStyle w:val="Compact"/>
        <w:numPr>
          <w:ilvl w:val="0"/>
          <w:numId w:val="1003"/>
        </w:numPr>
      </w:pPr>
      <w:r>
        <w:t xml:space="preserve">Employment rate per programme</w:t>
      </w:r>
    </w:p>
    <w:p>
      <w:pPr>
        <w:pStyle w:val="Compact"/>
        <w:numPr>
          <w:ilvl w:val="0"/>
          <w:numId w:val="1003"/>
        </w:numPr>
      </w:pPr>
      <w:r>
        <w:t xml:space="preserve">Top employers</w:t>
      </w:r>
    </w:p>
    <w:p>
      <w:pPr>
        <w:pStyle w:val="Compact"/>
        <w:numPr>
          <w:ilvl w:val="0"/>
          <w:numId w:val="1003"/>
        </w:numPr>
      </w:pPr>
      <w:r>
        <w:t xml:space="preserve">Career pathways</w:t>
      </w:r>
    </w:p>
    <w:p>
      <w:pPr>
        <w:pStyle w:val="Compact"/>
        <w:numPr>
          <w:ilvl w:val="0"/>
          <w:numId w:val="1003"/>
        </w:numPr>
      </w:pPr>
      <w:r>
        <w:t xml:space="preserve">Salary bands (optional)</w:t>
      </w:r>
    </w:p>
    <w:bookmarkEnd w:id="25"/>
    <w:bookmarkStart w:id="26" w:name="c.-alumni-stories"/>
    <w:p>
      <w:pPr>
        <w:pStyle w:val="Heading3"/>
      </w:pPr>
      <w:r>
        <w:t xml:space="preserve">C. Alumni Stories</w:t>
      </w:r>
    </w:p>
    <w:p>
      <w:pPr>
        <w:pStyle w:val="Compact"/>
        <w:numPr>
          <w:ilvl w:val="0"/>
          <w:numId w:val="1004"/>
        </w:numPr>
      </w:pPr>
      <w:r>
        <w:t xml:space="preserve">Structured storytelling (career journey)</w:t>
      </w:r>
    </w:p>
    <w:p>
      <w:pPr>
        <w:pStyle w:val="Compact"/>
        <w:numPr>
          <w:ilvl w:val="0"/>
          <w:numId w:val="1004"/>
        </w:numPr>
      </w:pPr>
      <w:r>
        <w:t xml:space="preserve">Video and written formats</w:t>
      </w:r>
    </w:p>
    <w:bookmarkEnd w:id="26"/>
    <w:bookmarkStart w:id="27" w:name="d.-employer-linkages"/>
    <w:p>
      <w:pPr>
        <w:pStyle w:val="Heading3"/>
      </w:pPr>
      <w:r>
        <w:t xml:space="preserve">D. Employer Linkages</w:t>
      </w:r>
    </w:p>
    <w:p>
      <w:pPr>
        <w:pStyle w:val="Compact"/>
        <w:numPr>
          <w:ilvl w:val="0"/>
          <w:numId w:val="1005"/>
        </w:numPr>
      </w:pPr>
      <w:r>
        <w:t xml:space="preserve">Partner employers</w:t>
      </w:r>
    </w:p>
    <w:p>
      <w:pPr>
        <w:pStyle w:val="Compact"/>
        <w:numPr>
          <w:ilvl w:val="0"/>
          <w:numId w:val="1005"/>
        </w:numPr>
      </w:pPr>
      <w:r>
        <w:t xml:space="preserve">Internship pipelines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data-model"/>
    <w:p>
      <w:pPr>
        <w:pStyle w:val="Heading2"/>
      </w:pPr>
      <w:r>
        <w:t xml:space="preserve">3. Data Model</w:t>
      </w:r>
    </w:p>
    <w:bookmarkStart w:id="29" w:name="alumni-entity"/>
    <w:p>
      <w:pPr>
        <w:pStyle w:val="Heading3"/>
      </w:pPr>
      <w:r>
        <w:t xml:space="preserve">Alumni Entity</w:t>
      </w:r>
    </w:p>
    <w:p>
      <w:pPr>
        <w:pStyle w:val="Compact"/>
        <w:numPr>
          <w:ilvl w:val="0"/>
          <w:numId w:val="1006"/>
        </w:numPr>
      </w:pPr>
      <w:r>
        <w:t xml:space="preserve">Name</w:t>
      </w:r>
    </w:p>
    <w:p>
      <w:pPr>
        <w:pStyle w:val="Compact"/>
        <w:numPr>
          <w:ilvl w:val="0"/>
          <w:numId w:val="1006"/>
        </w:numPr>
      </w:pPr>
      <w:r>
        <w:t xml:space="preserve">Programme studied</w:t>
      </w:r>
    </w:p>
    <w:p>
      <w:pPr>
        <w:pStyle w:val="Compact"/>
        <w:numPr>
          <w:ilvl w:val="0"/>
          <w:numId w:val="1006"/>
        </w:numPr>
      </w:pPr>
      <w:r>
        <w:t xml:space="preserve">Graduation year</w:t>
      </w:r>
    </w:p>
    <w:p>
      <w:pPr>
        <w:pStyle w:val="Compact"/>
        <w:numPr>
          <w:ilvl w:val="0"/>
          <w:numId w:val="1006"/>
        </w:numPr>
      </w:pPr>
      <w:r>
        <w:t xml:space="preserve">Current role</w:t>
      </w:r>
    </w:p>
    <w:p>
      <w:pPr>
        <w:pStyle w:val="Compact"/>
        <w:numPr>
          <w:ilvl w:val="0"/>
          <w:numId w:val="1006"/>
        </w:numPr>
      </w:pPr>
      <w:r>
        <w:t xml:space="preserve">Employer</w:t>
      </w:r>
    </w:p>
    <w:p>
      <w:pPr>
        <w:pStyle w:val="Compact"/>
        <w:numPr>
          <w:ilvl w:val="0"/>
          <w:numId w:val="1006"/>
        </w:numPr>
      </w:pPr>
      <w:r>
        <w:t xml:space="preserve">Country</w:t>
      </w:r>
    </w:p>
    <w:p>
      <w:pPr>
        <w:pStyle w:val="Compact"/>
        <w:numPr>
          <w:ilvl w:val="0"/>
          <w:numId w:val="1006"/>
        </w:numPr>
      </w:pPr>
      <w:r>
        <w:t xml:space="preserve">Profile visibility</w:t>
      </w:r>
    </w:p>
    <w:bookmarkEnd w:id="29"/>
    <w:bookmarkStart w:id="30" w:name="outcomes-metrics"/>
    <w:p>
      <w:pPr>
        <w:pStyle w:val="Heading3"/>
      </w:pPr>
      <w:r>
        <w:t xml:space="preserve">Outcomes Metrics</w:t>
      </w:r>
    </w:p>
    <w:p>
      <w:pPr>
        <w:pStyle w:val="Compact"/>
        <w:numPr>
          <w:ilvl w:val="0"/>
          <w:numId w:val="1007"/>
        </w:numPr>
      </w:pPr>
      <w:r>
        <w:t xml:space="preserve">Programme</w:t>
      </w:r>
    </w:p>
    <w:p>
      <w:pPr>
        <w:pStyle w:val="Compact"/>
        <w:numPr>
          <w:ilvl w:val="0"/>
          <w:numId w:val="1007"/>
        </w:numPr>
      </w:pPr>
      <w:r>
        <w:t xml:space="preserve">Employment rate</w:t>
      </w:r>
    </w:p>
    <w:p>
      <w:pPr>
        <w:pStyle w:val="Compact"/>
        <w:numPr>
          <w:ilvl w:val="0"/>
          <w:numId w:val="1007"/>
        </w:numPr>
      </w:pPr>
      <w:r>
        <w:t xml:space="preserve">Top sectors</w:t>
      </w:r>
    </w:p>
    <w:p>
      <w:pPr>
        <w:pStyle w:val="Compact"/>
        <w:numPr>
          <w:ilvl w:val="0"/>
          <w:numId w:val="1007"/>
        </w:numPr>
      </w:pPr>
      <w:r>
        <w:t xml:space="preserve">Time to employment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integrations"/>
    <w:p>
      <w:pPr>
        <w:pStyle w:val="Heading2"/>
      </w:pPr>
      <w:r>
        <w:t xml:space="preserve">4. Integrations</w:t>
      </w:r>
    </w:p>
    <w:p>
      <w:pPr>
        <w:pStyle w:val="Compact"/>
        <w:numPr>
          <w:ilvl w:val="0"/>
          <w:numId w:val="1008"/>
        </w:numPr>
      </w:pPr>
      <w:r>
        <w:t xml:space="preserve">Programme Catalogue</w:t>
      </w:r>
    </w:p>
    <w:p>
      <w:pPr>
        <w:pStyle w:val="Compact"/>
        <w:numPr>
          <w:ilvl w:val="0"/>
          <w:numId w:val="1008"/>
        </w:numPr>
      </w:pPr>
      <w:r>
        <w:t xml:space="preserve">Admissions (conversion layer)</w:t>
      </w:r>
    </w:p>
    <w:p>
      <w:pPr>
        <w:pStyle w:val="Compact"/>
        <w:numPr>
          <w:ilvl w:val="0"/>
          <w:numId w:val="1008"/>
        </w:numPr>
      </w:pPr>
      <w:r>
        <w:t xml:space="preserve">Academic Profiles (faculty influence)</w:t>
      </w:r>
    </w:p>
    <w:p>
      <w:r>
        <w:pict>
          <v:rect style="width:0;height:1.5pt" o:hralign="center" o:hrstd="t" o:hr="t"/>
        </w:pict>
      </w:r>
    </w:p>
    <w:bookmarkEnd w:id="32"/>
    <w:bookmarkStart w:id="33" w:name="strategic-impact"/>
    <w:p>
      <w:pPr>
        <w:pStyle w:val="Heading2"/>
      </w:pPr>
      <w:r>
        <w:t xml:space="preserve">5. Strategic Impact</w:t>
      </w:r>
    </w:p>
    <w:p>
      <w:pPr>
        <w:pStyle w:val="FirstParagraph"/>
      </w:pPr>
      <w:r>
        <w:t xml:space="preserve">Transforms programmes into:</w:t>
      </w:r>
      <w:r>
        <w:t xml:space="preserve"> </w:t>
      </w:r>
      <w:r>
        <w:t xml:space="preserve">👉 Outcome-driven decisions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9" w:name="X9c855ed2826d30ea8fa09785b17d0e78031469b"/>
    <w:p>
      <w:pPr>
        <w:pStyle w:val="Heading1"/>
      </w:pPr>
      <w:r>
        <w:t xml:space="preserve">PART B: INSTITUTIONAL DATA &amp; RANKINGS MODULE</w:t>
      </w:r>
    </w:p>
    <w:bookmarkStart w:id="35" w:name="prompt-1"/>
    <w:p>
      <w:pPr>
        <w:pStyle w:val="Heading2"/>
      </w:pPr>
      <w:r>
        <w:t xml:space="preserve">Prompt</w:t>
      </w:r>
    </w:p>
    <w:p>
      <w:pPr>
        <w:pStyle w:val="FirstParagraph"/>
      </w:pPr>
      <w:r>
        <w:t xml:space="preserve">Design and implement a structured</w:t>
      </w:r>
      <w:r>
        <w:t xml:space="preserve"> </w:t>
      </w:r>
      <w:r>
        <w:rPr>
          <w:b/>
          <w:bCs/>
        </w:rPr>
        <w:t xml:space="preserve">Institutional Data &amp; Rankings module</w:t>
      </w:r>
      <w:r>
        <w:t xml:space="preserve"> </w:t>
      </w:r>
      <w:r>
        <w:t xml:space="preserve">that transparently presents KAFU’s performance, scale, and credibility.</w:t>
      </w:r>
    </w:p>
    <w:p>
      <w:r>
        <w:pict>
          <v:rect style="width:0;height:1.5pt" o:hralign="center" o:hrstd="t" o:hr="t"/>
        </w:pict>
      </w:r>
    </w:p>
    <w:bookmarkEnd w:id="35"/>
    <w:bookmarkStart w:id="36" w:name="strategic-objective-1"/>
    <w:p>
      <w:pPr>
        <w:pStyle w:val="Heading2"/>
      </w:pPr>
      <w:r>
        <w:t xml:space="preserve">1. Strategic Objective</w:t>
      </w:r>
    </w:p>
    <w:p>
      <w:pPr>
        <w:pStyle w:val="Compact"/>
        <w:numPr>
          <w:ilvl w:val="0"/>
          <w:numId w:val="1009"/>
        </w:numPr>
      </w:pPr>
      <w:r>
        <w:t xml:space="preserve">Build institutional trust</w:t>
      </w:r>
    </w:p>
    <w:p>
      <w:pPr>
        <w:pStyle w:val="Compact"/>
        <w:numPr>
          <w:ilvl w:val="0"/>
          <w:numId w:val="1009"/>
        </w:numPr>
      </w:pPr>
      <w:r>
        <w:t xml:space="preserve">Support donor and partner confidence</w:t>
      </w:r>
    </w:p>
    <w:p>
      <w:pPr>
        <w:pStyle w:val="Compact"/>
        <w:numPr>
          <w:ilvl w:val="0"/>
          <w:numId w:val="1009"/>
        </w:numPr>
      </w:pPr>
      <w:r>
        <w:t xml:space="preserve">Improve global perception</w:t>
      </w:r>
    </w:p>
    <w:p>
      <w:r>
        <w:pict>
          <v:rect style="width:0;height:1.5pt" o:hralign="center" o:hrstd="t" o:hr="t"/>
        </w:pict>
      </w:r>
    </w:p>
    <w:bookmarkEnd w:id="36"/>
    <w:bookmarkStart w:id="41" w:name="core-subsystems-1"/>
    <w:p>
      <w:pPr>
        <w:pStyle w:val="Heading2"/>
      </w:pPr>
      <w:r>
        <w:t xml:space="preserve">2. Core Subsystems</w:t>
      </w:r>
    </w:p>
    <w:bookmarkStart w:id="37" w:name="a.-kpi-dashboard-public-facing"/>
    <w:p>
      <w:pPr>
        <w:pStyle w:val="Heading3"/>
      </w:pPr>
      <w:r>
        <w:t xml:space="preserve">A. KPI Dashboard (Public-facing)</w:t>
      </w:r>
    </w:p>
    <w:p>
      <w:pPr>
        <w:pStyle w:val="Compact"/>
        <w:numPr>
          <w:ilvl w:val="0"/>
          <w:numId w:val="1010"/>
        </w:numPr>
      </w:pPr>
      <w:r>
        <w:t xml:space="preserve">Student population</w:t>
      </w:r>
    </w:p>
    <w:p>
      <w:pPr>
        <w:pStyle w:val="Compact"/>
        <w:numPr>
          <w:ilvl w:val="0"/>
          <w:numId w:val="1010"/>
        </w:numPr>
      </w:pPr>
      <w:r>
        <w:t xml:space="preserve">Staff numbers</w:t>
      </w:r>
    </w:p>
    <w:p>
      <w:pPr>
        <w:pStyle w:val="Compact"/>
        <w:numPr>
          <w:ilvl w:val="0"/>
          <w:numId w:val="1010"/>
        </w:numPr>
      </w:pPr>
      <w:r>
        <w:t xml:space="preserve">Research output</w:t>
      </w:r>
    </w:p>
    <w:p>
      <w:pPr>
        <w:pStyle w:val="Compact"/>
        <w:numPr>
          <w:ilvl w:val="0"/>
          <w:numId w:val="1010"/>
        </w:numPr>
      </w:pPr>
      <w:r>
        <w:t xml:space="preserve">Graduation rates</w:t>
      </w:r>
    </w:p>
    <w:bookmarkEnd w:id="37"/>
    <w:bookmarkStart w:id="38" w:name="b.-rankings-recognition"/>
    <w:p>
      <w:pPr>
        <w:pStyle w:val="Heading3"/>
      </w:pPr>
      <w:r>
        <w:t xml:space="preserve">B. Rankings &amp; Recognition</w:t>
      </w:r>
    </w:p>
    <w:p>
      <w:pPr>
        <w:pStyle w:val="Compact"/>
        <w:numPr>
          <w:ilvl w:val="0"/>
          <w:numId w:val="1011"/>
        </w:numPr>
      </w:pPr>
      <w:r>
        <w:t xml:space="preserve">Local rankings</w:t>
      </w:r>
    </w:p>
    <w:p>
      <w:pPr>
        <w:pStyle w:val="Compact"/>
        <w:numPr>
          <w:ilvl w:val="0"/>
          <w:numId w:val="1011"/>
        </w:numPr>
      </w:pPr>
      <w:r>
        <w:t xml:space="preserve">International rankings (if available)</w:t>
      </w:r>
    </w:p>
    <w:p>
      <w:pPr>
        <w:pStyle w:val="Compact"/>
        <w:numPr>
          <w:ilvl w:val="0"/>
          <w:numId w:val="1011"/>
        </w:numPr>
      </w:pPr>
      <w:r>
        <w:t xml:space="preserve">Accreditations</w:t>
      </w:r>
    </w:p>
    <w:bookmarkEnd w:id="38"/>
    <w:bookmarkStart w:id="39" w:name="c.-institutional-reports"/>
    <w:p>
      <w:pPr>
        <w:pStyle w:val="Heading3"/>
      </w:pPr>
      <w:r>
        <w:t xml:space="preserve">C. Institutional Reports</w:t>
      </w:r>
    </w:p>
    <w:p>
      <w:pPr>
        <w:pStyle w:val="Compact"/>
        <w:numPr>
          <w:ilvl w:val="0"/>
          <w:numId w:val="1012"/>
        </w:numPr>
      </w:pPr>
      <w:r>
        <w:t xml:space="preserve">Annual reports</w:t>
      </w:r>
    </w:p>
    <w:p>
      <w:pPr>
        <w:pStyle w:val="Compact"/>
        <w:numPr>
          <w:ilvl w:val="0"/>
          <w:numId w:val="1012"/>
        </w:numPr>
      </w:pPr>
      <w:r>
        <w:t xml:space="preserve">Strategic plans</w:t>
      </w:r>
    </w:p>
    <w:p>
      <w:pPr>
        <w:pStyle w:val="Compact"/>
        <w:numPr>
          <w:ilvl w:val="0"/>
          <w:numId w:val="1012"/>
        </w:numPr>
      </w:pPr>
      <w:r>
        <w:t xml:space="preserve">Performance summaries</w:t>
      </w:r>
    </w:p>
    <w:bookmarkEnd w:id="39"/>
    <w:bookmarkStart w:id="40" w:name="d.-data-visualization"/>
    <w:p>
      <w:pPr>
        <w:pStyle w:val="Heading3"/>
      </w:pPr>
      <w:r>
        <w:t xml:space="preserve">D. Data Visualization</w:t>
      </w:r>
    </w:p>
    <w:p>
      <w:pPr>
        <w:pStyle w:val="Compact"/>
        <w:numPr>
          <w:ilvl w:val="0"/>
          <w:numId w:val="1013"/>
        </w:numPr>
      </w:pPr>
      <w:r>
        <w:t xml:space="preserve">Charts and trends</w:t>
      </w:r>
    </w:p>
    <w:p>
      <w:pPr>
        <w:pStyle w:val="Compact"/>
        <w:numPr>
          <w:ilvl w:val="0"/>
          <w:numId w:val="1013"/>
        </w:numPr>
      </w:pPr>
      <w:r>
        <w:t xml:space="preserve">Year-over-year growth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data-model-1"/>
    <w:p>
      <w:pPr>
        <w:pStyle w:val="Heading2"/>
      </w:pPr>
      <w:r>
        <w:t xml:space="preserve">3. Data Model</w:t>
      </w:r>
    </w:p>
    <w:bookmarkStart w:id="42" w:name="kpi-entity"/>
    <w:p>
      <w:pPr>
        <w:pStyle w:val="Heading3"/>
      </w:pPr>
      <w:r>
        <w:t xml:space="preserve">KPI Entity</w:t>
      </w:r>
    </w:p>
    <w:p>
      <w:pPr>
        <w:pStyle w:val="Compact"/>
        <w:numPr>
          <w:ilvl w:val="0"/>
          <w:numId w:val="1014"/>
        </w:numPr>
      </w:pPr>
      <w:r>
        <w:t xml:space="preserve">Metric name</w:t>
      </w:r>
    </w:p>
    <w:p>
      <w:pPr>
        <w:pStyle w:val="Compact"/>
        <w:numPr>
          <w:ilvl w:val="0"/>
          <w:numId w:val="1014"/>
        </w:numPr>
      </w:pPr>
      <w:r>
        <w:t xml:space="preserve">Value</w:t>
      </w:r>
    </w:p>
    <w:p>
      <w:pPr>
        <w:pStyle w:val="Compact"/>
        <w:numPr>
          <w:ilvl w:val="0"/>
          <w:numId w:val="1014"/>
        </w:numPr>
      </w:pPr>
      <w:r>
        <w:t xml:space="preserve">Year</w:t>
      </w:r>
    </w:p>
    <w:p>
      <w:pPr>
        <w:pStyle w:val="Compact"/>
        <w:numPr>
          <w:ilvl w:val="0"/>
          <w:numId w:val="1014"/>
        </w:numPr>
      </w:pPr>
      <w:r>
        <w:t xml:space="preserve">Source</w:t>
      </w:r>
    </w:p>
    <w:bookmarkEnd w:id="42"/>
    <w:bookmarkStart w:id="43" w:name="ranking-entity"/>
    <w:p>
      <w:pPr>
        <w:pStyle w:val="Heading3"/>
      </w:pPr>
      <w:r>
        <w:t xml:space="preserve">Ranking Entity</w:t>
      </w:r>
    </w:p>
    <w:p>
      <w:pPr>
        <w:pStyle w:val="Compact"/>
        <w:numPr>
          <w:ilvl w:val="0"/>
          <w:numId w:val="1015"/>
        </w:numPr>
      </w:pPr>
      <w:r>
        <w:t xml:space="preserve">Organization</w:t>
      </w:r>
    </w:p>
    <w:p>
      <w:pPr>
        <w:pStyle w:val="Compact"/>
        <w:numPr>
          <w:ilvl w:val="0"/>
          <w:numId w:val="1015"/>
        </w:numPr>
      </w:pPr>
      <w:r>
        <w:t xml:space="preserve">Rank</w:t>
      </w:r>
    </w:p>
    <w:p>
      <w:pPr>
        <w:pStyle w:val="Compact"/>
        <w:numPr>
          <w:ilvl w:val="0"/>
          <w:numId w:val="1015"/>
        </w:numPr>
      </w:pPr>
      <w:r>
        <w:t xml:space="preserve">Year</w:t>
      </w:r>
    </w:p>
    <w:p>
      <w:pPr>
        <w:pStyle w:val="Compact"/>
        <w:numPr>
          <w:ilvl w:val="0"/>
          <w:numId w:val="1015"/>
        </w:numPr>
      </w:pPr>
      <w:r>
        <w:t xml:space="preserve">Category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ui-requirements"/>
    <w:p>
      <w:pPr>
        <w:pStyle w:val="Heading2"/>
      </w:pPr>
      <w:r>
        <w:t xml:space="preserve">4. UI Requirements</w:t>
      </w:r>
    </w:p>
    <w:p>
      <w:pPr>
        <w:pStyle w:val="Compact"/>
        <w:numPr>
          <w:ilvl w:val="0"/>
          <w:numId w:val="1016"/>
        </w:numPr>
      </w:pPr>
      <w:r>
        <w:t xml:space="preserve">Clean executive dashboards</w:t>
      </w:r>
    </w:p>
    <w:p>
      <w:pPr>
        <w:pStyle w:val="Compact"/>
        <w:numPr>
          <w:ilvl w:val="0"/>
          <w:numId w:val="1016"/>
        </w:numPr>
      </w:pPr>
      <w:r>
        <w:t xml:space="preserve">Visual charts</w:t>
      </w:r>
    </w:p>
    <w:p>
      <w:pPr>
        <w:pStyle w:val="Compact"/>
        <w:numPr>
          <w:ilvl w:val="0"/>
          <w:numId w:val="1016"/>
        </w:numPr>
      </w:pPr>
      <w:r>
        <w:t xml:space="preserve">Highlight key metrics</w:t>
      </w:r>
    </w:p>
    <w:p>
      <w:r>
        <w:pict>
          <v:rect style="width:0;height:1.5pt" o:hralign="center" o:hrstd="t" o:hr="t"/>
        </w:pict>
      </w:r>
    </w:p>
    <w:bookmarkEnd w:id="45"/>
    <w:bookmarkStart w:id="46" w:name="integrations-1"/>
    <w:p>
      <w:pPr>
        <w:pStyle w:val="Heading2"/>
      </w:pPr>
      <w:r>
        <w:t xml:space="preserve">5. Integrations</w:t>
      </w:r>
    </w:p>
    <w:p>
      <w:pPr>
        <w:pStyle w:val="Compact"/>
        <w:numPr>
          <w:ilvl w:val="0"/>
          <w:numId w:val="1017"/>
        </w:numPr>
      </w:pPr>
      <w:r>
        <w:t xml:space="preserve">RIMS-lite (research metrics)</w:t>
      </w:r>
    </w:p>
    <w:p>
      <w:pPr>
        <w:pStyle w:val="Compact"/>
        <w:numPr>
          <w:ilvl w:val="0"/>
          <w:numId w:val="1017"/>
        </w:numPr>
      </w:pPr>
      <w:r>
        <w:t xml:space="preserve">Admissions (student stats)</w:t>
      </w:r>
    </w:p>
    <w:p>
      <w:pPr>
        <w:pStyle w:val="Compact"/>
        <w:numPr>
          <w:ilvl w:val="0"/>
          <w:numId w:val="1017"/>
        </w:numPr>
      </w:pPr>
      <w:r>
        <w:t xml:space="preserve">HR/ERP (future)</w:t>
      </w:r>
    </w:p>
    <w:p>
      <w:r>
        <w:pict>
          <v:rect style="width:0;height:1.5pt" o:hralign="center" o:hrstd="t" o:hr="t"/>
        </w:pict>
      </w:r>
    </w:p>
    <w:bookmarkEnd w:id="46"/>
    <w:bookmarkStart w:id="47" w:name="strategic-impact-1"/>
    <w:p>
      <w:pPr>
        <w:pStyle w:val="Heading2"/>
      </w:pPr>
      <w:r>
        <w:t xml:space="preserve">6. Strategic Impact</w:t>
      </w:r>
    </w:p>
    <w:p>
      <w:pPr>
        <w:pStyle w:val="FirstParagraph"/>
      </w:pPr>
      <w:r>
        <w:t xml:space="preserve">Positions KAFU as:</w:t>
      </w:r>
      <w:r>
        <w:t xml:space="preserve"> </w:t>
      </w:r>
      <w:r>
        <w:t xml:space="preserve">👉 Transparent</w:t>
      </w:r>
      <w:r>
        <w:t xml:space="preserve"> </w:t>
      </w:r>
      <w:r>
        <w:t xml:space="preserve">👉 Data-driven</w:t>
      </w:r>
      <w:r>
        <w:t xml:space="preserve"> </w:t>
      </w:r>
      <w:r>
        <w:t xml:space="preserve">👉 Globally credible</w:t>
      </w:r>
    </w:p>
    <w:p>
      <w:r>
        <w:pict>
          <v:rect style="width:0;height:1.5pt" o:hralign="center" o:hrstd="t" o:hr="t"/>
        </w:pict>
      </w:r>
    </w:p>
    <w:bookmarkEnd w:id="47"/>
    <w:bookmarkStart w:id="48" w:name="final-note"/>
    <w:p>
      <w:pPr>
        <w:pStyle w:val="Heading2"/>
      </w:pPr>
      <w:r>
        <w:t xml:space="preserve">FINAL NOTE</w:t>
      </w:r>
    </w:p>
    <w:p>
      <w:pPr>
        <w:pStyle w:val="FirstParagraph"/>
      </w:pPr>
      <w:r>
        <w:t xml:space="preserve">These modules directly influence:</w:t>
      </w:r>
    </w:p>
    <w:p>
      <w:pPr>
        <w:pStyle w:val="Compact"/>
        <w:numPr>
          <w:ilvl w:val="0"/>
          <w:numId w:val="1018"/>
        </w:numPr>
      </w:pPr>
      <w:r>
        <w:t xml:space="preserve">student decisions</w:t>
      </w:r>
    </w:p>
    <w:p>
      <w:pPr>
        <w:pStyle w:val="Compact"/>
        <w:numPr>
          <w:ilvl w:val="0"/>
          <w:numId w:val="1018"/>
        </w:numPr>
      </w:pPr>
      <w:r>
        <w:t xml:space="preserve">employer perception</w:t>
      </w:r>
    </w:p>
    <w:p>
      <w:pPr>
        <w:pStyle w:val="Compact"/>
        <w:numPr>
          <w:ilvl w:val="0"/>
          <w:numId w:val="1018"/>
        </w:numPr>
      </w:pPr>
      <w:r>
        <w:t xml:space="preserve">donor confidence</w:t>
      </w:r>
    </w:p>
    <w:p>
      <w:pPr>
        <w:pStyle w:val="Compact"/>
        <w:numPr>
          <w:ilvl w:val="0"/>
          <w:numId w:val="1018"/>
        </w:numPr>
      </w:pPr>
      <w:r>
        <w:t xml:space="preserve">ranking signals</w:t>
      </w:r>
    </w:p>
    <w:p>
      <w:pPr>
        <w:pStyle w:val="FirstParagraph"/>
      </w:pPr>
      <w:r>
        <w:t xml:space="preserve">They are critical for global benchmarking.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2026-04-16T12:15:54Z</dcterms:created>
  <dcterms:modified xsi:type="dcterms:W3CDTF">2026-04-16T12:15:54Z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