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kafu-master-prompt-06"/>
    <w:p>
      <w:pPr>
        <w:pStyle w:val="Heading1"/>
      </w:pPr>
      <w:r>
        <w:t xml:space="preserve">KAFU MASTER PROMPT 06</w:t>
      </w:r>
    </w:p>
    <w:bookmarkStart w:id="21" w:name="opportunities"/>
    <w:p>
      <w:pPr>
        <w:pStyle w:val="Heading2"/>
      </w:pPr>
      <w:r>
        <w:t xml:space="preserve">Opportunities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 comprehensive Opportunities module for Kaimosi Friends University (KAFU) that serves as the university’s governed public notice system for tenders, vacancies, internships, calls for applications, partnership opportunities, and general public notices.</w:t>
      </w:r>
    </w:p>
    <w:p>
      <w:pPr>
        <w:pStyle w:val="BodyText"/>
      </w:pPr>
      <w:r>
        <w:t xml:space="preserve">This module must not be treated as a basic downloads page. It must function as a structured, compliance-friendly public publishing system with strong metadata, deadline management, document handling, archive behavior, and auditability.</w:t>
      </w:r>
    </w:p>
    <w:p>
      <w:pPr>
        <w:pStyle w:val="BodyText"/>
      </w:pPr>
      <w:r>
        <w:t xml:space="preserve">The module must support both:</w:t>
      </w:r>
      <w:r>
        <w:t xml:space="preserve"> </w:t>
      </w:r>
      <w:r>
        <w:t xml:space="preserve">- Public-facing discovery and access to opportunities and notices</w:t>
      </w:r>
      <w:r>
        <w:t xml:space="preserve"> </w:t>
      </w:r>
      <w:r>
        <w:t xml:space="preserve">- Controlled internal creation, review, approval, publishing, expiry, and archiving workflows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Create an Opportunities system that:</w:t>
      </w:r>
      <w:r>
        <w:t xml:space="preserve"> </w:t>
      </w:r>
      <w:r>
        <w:t xml:space="preserve">- Publishes tenders, vacancies, and notices in a clear and professional way</w:t>
      </w:r>
      <w:r>
        <w:t xml:space="preserve"> </w:t>
      </w:r>
      <w:r>
        <w:t xml:space="preserve">- Supports public accountability and institutional transparency</w:t>
      </w:r>
      <w:r>
        <w:t xml:space="preserve"> </w:t>
      </w:r>
      <w:r>
        <w:t xml:space="preserve">- Reduces confusion caused by unstructured postings and generic</w:t>
      </w:r>
      <w:r>
        <w:t xml:space="preserve"> </w:t>
      </w:r>
      <w:r>
        <w:t xml:space="preserve">“click here”</w:t>
      </w:r>
      <w:r>
        <w:t xml:space="preserve"> </w:t>
      </w:r>
      <w:r>
        <w:t xml:space="preserve">links</w:t>
      </w:r>
      <w:r>
        <w:t xml:space="preserve"> </w:t>
      </w:r>
      <w:r>
        <w:t xml:space="preserve">- Standardizes downloadable document handling</w:t>
      </w:r>
      <w:r>
        <w:t xml:space="preserve"> </w:t>
      </w:r>
      <w:r>
        <w:t xml:space="preserve">- Creates a governed and auditable public opportunity publication workflow</w:t>
      </w:r>
    </w:p>
    <w:p>
      <w:r>
        <w:pict>
          <v:rect style="width:0;height:1.5pt" o:hralign="center" o:hrstd="t" o:hr="t"/>
        </w:pict>
      </w:r>
    </w:p>
    <w:bookmarkEnd w:id="22"/>
    <w:bookmarkStart w:id="25" w:name="user-types"/>
    <w:p>
      <w:pPr>
        <w:pStyle w:val="Heading2"/>
      </w:pPr>
      <w:r>
        <w:t xml:space="preserve">2. User Types</w:t>
      </w:r>
    </w:p>
    <w:bookmarkStart w:id="23" w:name="public-users"/>
    <w:p>
      <w:pPr>
        <w:pStyle w:val="Heading3"/>
      </w:pPr>
      <w:r>
        <w:t xml:space="preserve">Public Users</w:t>
      </w:r>
    </w:p>
    <w:p>
      <w:pPr>
        <w:pStyle w:val="Compact"/>
        <w:numPr>
          <w:ilvl w:val="0"/>
          <w:numId w:val="1001"/>
        </w:numPr>
      </w:pPr>
      <w:r>
        <w:t xml:space="preserve">Job applicants</w:t>
      </w:r>
    </w:p>
    <w:p>
      <w:pPr>
        <w:pStyle w:val="Compact"/>
        <w:numPr>
          <w:ilvl w:val="0"/>
          <w:numId w:val="1001"/>
        </w:numPr>
      </w:pPr>
      <w:r>
        <w:t xml:space="preserve">Suppliers / contractors / consultants</w:t>
      </w:r>
    </w:p>
    <w:p>
      <w:pPr>
        <w:pStyle w:val="Compact"/>
        <w:numPr>
          <w:ilvl w:val="0"/>
          <w:numId w:val="1001"/>
        </w:numPr>
      </w:pPr>
      <w:r>
        <w:t xml:space="preserve">Students</w:t>
      </w:r>
    </w:p>
    <w:p>
      <w:pPr>
        <w:pStyle w:val="Compact"/>
        <w:numPr>
          <w:ilvl w:val="0"/>
          <w:numId w:val="1001"/>
        </w:numPr>
      </w:pPr>
      <w:r>
        <w:t xml:space="preserve">Partners / researchers</w:t>
      </w:r>
    </w:p>
    <w:p>
      <w:pPr>
        <w:pStyle w:val="Compact"/>
        <w:numPr>
          <w:ilvl w:val="0"/>
          <w:numId w:val="1001"/>
        </w:numPr>
      </w:pPr>
      <w:r>
        <w:t xml:space="preserve">General public</w:t>
      </w:r>
    </w:p>
    <w:bookmarkEnd w:id="23"/>
    <w:bookmarkStart w:id="24" w:name="internal-users"/>
    <w:p>
      <w:pPr>
        <w:pStyle w:val="Heading3"/>
      </w:pPr>
      <w:r>
        <w:t xml:space="preserve">Internal Users</w:t>
      </w:r>
    </w:p>
    <w:p>
      <w:pPr>
        <w:pStyle w:val="Compact"/>
        <w:numPr>
          <w:ilvl w:val="0"/>
          <w:numId w:val="1002"/>
        </w:numPr>
      </w:pPr>
      <w:r>
        <w:t xml:space="preserve">Procurement officers</w:t>
      </w:r>
    </w:p>
    <w:p>
      <w:pPr>
        <w:pStyle w:val="Compact"/>
        <w:numPr>
          <w:ilvl w:val="0"/>
          <w:numId w:val="1002"/>
        </w:numPr>
      </w:pPr>
      <w:r>
        <w:t xml:space="preserve">HR / recruitment officers</w:t>
      </w:r>
    </w:p>
    <w:p>
      <w:pPr>
        <w:pStyle w:val="Compact"/>
        <w:numPr>
          <w:ilvl w:val="0"/>
          <w:numId w:val="1002"/>
        </w:numPr>
      </w:pPr>
      <w:r>
        <w:t xml:space="preserve">Corporate communications administrators</w:t>
      </w:r>
    </w:p>
    <w:p>
      <w:pPr>
        <w:pStyle w:val="Compact"/>
        <w:numPr>
          <w:ilvl w:val="0"/>
          <w:numId w:val="1002"/>
        </w:numPr>
      </w:pPr>
      <w:r>
        <w:t xml:space="preserve">ICT administrators</w:t>
      </w:r>
    </w:p>
    <w:p>
      <w:pPr>
        <w:pStyle w:val="Compact"/>
        <w:numPr>
          <w:ilvl w:val="0"/>
          <w:numId w:val="1002"/>
        </w:numPr>
      </w:pPr>
      <w:r>
        <w:t xml:space="preserve">Reviewers / approvers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re-user-journeys"/>
    <w:p>
      <w:pPr>
        <w:pStyle w:val="Heading2"/>
      </w:pPr>
      <w:r>
        <w:t xml:space="preserve">3. Core User Journeys</w:t>
      </w:r>
    </w:p>
    <w:bookmarkStart w:id="26" w:name="public-journeys"/>
    <w:p>
      <w:pPr>
        <w:pStyle w:val="Heading3"/>
      </w:pPr>
      <w:r>
        <w:t xml:space="preserve">Public Journeys</w:t>
      </w:r>
    </w:p>
    <w:p>
      <w:pPr>
        <w:pStyle w:val="Compact"/>
        <w:numPr>
          <w:ilvl w:val="0"/>
          <w:numId w:val="1003"/>
        </w:numPr>
      </w:pPr>
      <w:r>
        <w:t xml:space="preserve">Browse opportunities by type</w:t>
      </w:r>
    </w:p>
    <w:p>
      <w:pPr>
        <w:pStyle w:val="Compact"/>
        <w:numPr>
          <w:ilvl w:val="0"/>
          <w:numId w:val="1003"/>
        </w:numPr>
      </w:pPr>
      <w:r>
        <w:t xml:space="preserve">Search notices by keyword</w:t>
      </w:r>
    </w:p>
    <w:p>
      <w:pPr>
        <w:pStyle w:val="Compact"/>
        <w:numPr>
          <w:ilvl w:val="0"/>
          <w:numId w:val="1003"/>
        </w:numPr>
      </w:pPr>
      <w:r>
        <w:t xml:space="preserve">Filter by category, deadline, status, or department</w:t>
      </w:r>
    </w:p>
    <w:p>
      <w:pPr>
        <w:pStyle w:val="Compact"/>
        <w:numPr>
          <w:ilvl w:val="0"/>
          <w:numId w:val="1003"/>
        </w:numPr>
      </w:pPr>
      <w:r>
        <w:t xml:space="preserve">Open opportunity detail page</w:t>
      </w:r>
    </w:p>
    <w:p>
      <w:pPr>
        <w:pStyle w:val="Compact"/>
        <w:numPr>
          <w:ilvl w:val="0"/>
          <w:numId w:val="1003"/>
        </w:numPr>
      </w:pPr>
      <w:r>
        <w:t xml:space="preserve">Download tender / vacancy / notice documents</w:t>
      </w:r>
    </w:p>
    <w:p>
      <w:pPr>
        <w:pStyle w:val="Compact"/>
        <w:numPr>
          <w:ilvl w:val="0"/>
          <w:numId w:val="1003"/>
        </w:numPr>
      </w:pPr>
      <w:r>
        <w:t xml:space="preserve">View deadlines and submission instructions clearly</w:t>
      </w:r>
    </w:p>
    <w:p>
      <w:pPr>
        <w:pStyle w:val="Compact"/>
        <w:numPr>
          <w:ilvl w:val="0"/>
          <w:numId w:val="1003"/>
        </w:numPr>
      </w:pPr>
      <w:r>
        <w:t xml:space="preserve">Access archived notices if needed</w:t>
      </w:r>
    </w:p>
    <w:bookmarkEnd w:id="26"/>
    <w:bookmarkStart w:id="27" w:name="internal-journeys"/>
    <w:p>
      <w:pPr>
        <w:pStyle w:val="Heading3"/>
      </w:pPr>
      <w:r>
        <w:t xml:space="preserve">Internal Journeys</w:t>
      </w:r>
    </w:p>
    <w:p>
      <w:pPr>
        <w:pStyle w:val="Compact"/>
        <w:numPr>
          <w:ilvl w:val="0"/>
          <w:numId w:val="1004"/>
        </w:numPr>
      </w:pPr>
      <w:r>
        <w:t xml:space="preserve">Authorized user creates a new opportunity or notice</w:t>
      </w:r>
    </w:p>
    <w:p>
      <w:pPr>
        <w:pStyle w:val="Compact"/>
        <w:numPr>
          <w:ilvl w:val="0"/>
          <w:numId w:val="1004"/>
        </w:numPr>
      </w:pPr>
      <w:r>
        <w:t xml:space="preserve">User uploads supporting documents and enters metadata</w:t>
      </w:r>
    </w:p>
    <w:p>
      <w:pPr>
        <w:pStyle w:val="Compact"/>
        <w:numPr>
          <w:ilvl w:val="0"/>
          <w:numId w:val="1004"/>
        </w:numPr>
      </w:pPr>
      <w:r>
        <w:t xml:space="preserve">User saves draft</w:t>
      </w:r>
    </w:p>
    <w:p>
      <w:pPr>
        <w:pStyle w:val="Compact"/>
        <w:numPr>
          <w:ilvl w:val="0"/>
          <w:numId w:val="1004"/>
        </w:numPr>
      </w:pPr>
      <w:r>
        <w:t xml:space="preserve">Reviewer checks content and attachments</w:t>
      </w:r>
    </w:p>
    <w:p>
      <w:pPr>
        <w:pStyle w:val="Compact"/>
        <w:numPr>
          <w:ilvl w:val="0"/>
          <w:numId w:val="1004"/>
        </w:numPr>
      </w:pPr>
      <w:r>
        <w:t xml:space="preserve">Approver publishes item</w:t>
      </w:r>
    </w:p>
    <w:p>
      <w:pPr>
        <w:pStyle w:val="Compact"/>
        <w:numPr>
          <w:ilvl w:val="0"/>
          <w:numId w:val="1004"/>
        </w:numPr>
      </w:pPr>
      <w:r>
        <w:t xml:space="preserve">System automatically expires item after deadline where configured</w:t>
      </w:r>
    </w:p>
    <w:p>
      <w:pPr>
        <w:pStyle w:val="Compact"/>
        <w:numPr>
          <w:ilvl w:val="0"/>
          <w:numId w:val="1004"/>
        </w:numPr>
      </w:pPr>
      <w:r>
        <w:t xml:space="preserve">Item moves to archive or closed state</w:t>
      </w:r>
    </w:p>
    <w:p>
      <w:pPr>
        <w:pStyle w:val="Compact"/>
        <w:numPr>
          <w:ilvl w:val="0"/>
          <w:numId w:val="1004"/>
        </w:numPr>
      </w:pPr>
      <w:r>
        <w:t xml:space="preserve">Audit logs remain available for institutional review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information-architecture"/>
    <w:p>
      <w:pPr>
        <w:pStyle w:val="Heading2"/>
      </w:pPr>
      <w:r>
        <w:t xml:space="preserve">4. Information Architecture</w:t>
      </w:r>
    </w:p>
    <w:bookmarkStart w:id="29" w:name="a.-opportunities-landing-page"/>
    <w:p>
      <w:pPr>
        <w:pStyle w:val="Heading3"/>
      </w:pPr>
      <w:r>
        <w:t xml:space="preserve">A. Opportunities Landing Page</w:t>
      </w:r>
    </w:p>
    <w:p>
      <w:pPr>
        <w:pStyle w:val="Compact"/>
        <w:numPr>
          <w:ilvl w:val="0"/>
          <w:numId w:val="1005"/>
        </w:numPr>
      </w:pPr>
      <w:r>
        <w:t xml:space="preserve">Overview / intro text</w:t>
      </w:r>
    </w:p>
    <w:p>
      <w:pPr>
        <w:pStyle w:val="Compact"/>
        <w:numPr>
          <w:ilvl w:val="0"/>
          <w:numId w:val="1005"/>
        </w:numPr>
      </w:pPr>
      <w:r>
        <w:t xml:space="preserve">Category cards or tabs</w:t>
      </w:r>
    </w:p>
    <w:p>
      <w:pPr>
        <w:pStyle w:val="Compact"/>
        <w:numPr>
          <w:ilvl w:val="0"/>
          <w:numId w:val="1005"/>
        </w:numPr>
      </w:pPr>
      <w:r>
        <w:t xml:space="preserve">Search bar</w:t>
      </w:r>
    </w:p>
    <w:p>
      <w:pPr>
        <w:pStyle w:val="Compact"/>
        <w:numPr>
          <w:ilvl w:val="0"/>
          <w:numId w:val="1005"/>
        </w:numPr>
      </w:pPr>
      <w:r>
        <w:t xml:space="preserve">Filter panel</w:t>
      </w:r>
    </w:p>
    <w:p>
      <w:pPr>
        <w:pStyle w:val="Compact"/>
        <w:numPr>
          <w:ilvl w:val="0"/>
          <w:numId w:val="1005"/>
        </w:numPr>
      </w:pPr>
      <w:r>
        <w:t xml:space="preserve">Featured urgent notices (optional)</w:t>
      </w:r>
    </w:p>
    <w:p>
      <w:pPr>
        <w:pStyle w:val="Compact"/>
        <w:numPr>
          <w:ilvl w:val="0"/>
          <w:numId w:val="1005"/>
        </w:numPr>
      </w:pPr>
      <w:r>
        <w:t xml:space="preserve">Latest opportunities list</w:t>
      </w:r>
    </w:p>
    <w:bookmarkEnd w:id="29"/>
    <w:bookmarkStart w:id="30" w:name="b.-category-pages"/>
    <w:p>
      <w:pPr>
        <w:pStyle w:val="Heading3"/>
      </w:pPr>
      <w:r>
        <w:t xml:space="preserve">B. Category Pages</w:t>
      </w:r>
    </w:p>
    <w:p>
      <w:pPr>
        <w:pStyle w:val="FirstParagraph"/>
      </w:pPr>
      <w:r>
        <w:t xml:space="preserve">Each category should have its own filtered listing page:</w:t>
      </w:r>
      <w:r>
        <w:t xml:space="preserve"> </w:t>
      </w:r>
      <w:r>
        <w:t xml:space="preserve">- Tenders</w:t>
      </w:r>
      <w:r>
        <w:t xml:space="preserve"> </w:t>
      </w:r>
      <w:r>
        <w:t xml:space="preserve">- Vacancies</w:t>
      </w:r>
      <w:r>
        <w:t xml:space="preserve"> </w:t>
      </w:r>
      <w:r>
        <w:t xml:space="preserve">- Internships</w:t>
      </w:r>
      <w:r>
        <w:t xml:space="preserve"> </w:t>
      </w:r>
      <w:r>
        <w:t xml:space="preserve">- Calls for applications</w:t>
      </w:r>
      <w:r>
        <w:t xml:space="preserve"> </w:t>
      </w:r>
      <w:r>
        <w:t xml:space="preserve">- Scholarships / bursaries (optional)</w:t>
      </w:r>
      <w:r>
        <w:t xml:space="preserve"> </w:t>
      </w:r>
      <w:r>
        <w:t xml:space="preserve">- Partnership / collaboration calls (optional)</w:t>
      </w:r>
      <w:r>
        <w:t xml:space="preserve"> </w:t>
      </w:r>
      <w:r>
        <w:t xml:space="preserve">- General notices</w:t>
      </w:r>
    </w:p>
    <w:bookmarkEnd w:id="30"/>
    <w:bookmarkStart w:id="31" w:name="c.-opportunity-listing-view"/>
    <w:p>
      <w:pPr>
        <w:pStyle w:val="Heading3"/>
      </w:pPr>
      <w:r>
        <w:t xml:space="preserve">C. Opportunity Listing View</w:t>
      </w:r>
    </w:p>
    <w:p>
      <w:pPr>
        <w:pStyle w:val="FirstParagraph"/>
      </w:pPr>
      <w:r>
        <w:t xml:space="preserve">Each listing card / row should show:</w:t>
      </w:r>
      <w:r>
        <w:t xml:space="preserve"> </w:t>
      </w:r>
      <w:r>
        <w:t xml:space="preserve">- Title</w:t>
      </w:r>
      <w:r>
        <w:t xml:space="preserve"> </w:t>
      </w:r>
      <w:r>
        <w:t xml:space="preserve">- Category</w:t>
      </w:r>
      <w:r>
        <w:t xml:space="preserve"> </w:t>
      </w:r>
      <w:r>
        <w:t xml:space="preserve">- Publishing date</w:t>
      </w:r>
      <w:r>
        <w:t xml:space="preserve"> </w:t>
      </w:r>
      <w:r>
        <w:t xml:space="preserve">- Deadline / closing date</w:t>
      </w:r>
      <w:r>
        <w:t xml:space="preserve"> </w:t>
      </w:r>
      <w:r>
        <w:t xml:space="preserve">- Status label (Open / Closing Soon / Closed / Archived)</w:t>
      </w:r>
      <w:r>
        <w:t xml:space="preserve"> </w:t>
      </w:r>
      <w:r>
        <w:t xml:space="preserve">- Department / office</w:t>
      </w:r>
      <w:r>
        <w:t xml:space="preserve"> </w:t>
      </w:r>
      <w:r>
        <w:t xml:space="preserve">- Short summary</w:t>
      </w:r>
      <w:r>
        <w:t xml:space="preserve"> </w:t>
      </w:r>
      <w:r>
        <w:t xml:space="preserve">- CTA: View Details</w:t>
      </w:r>
    </w:p>
    <w:bookmarkEnd w:id="31"/>
    <w:bookmarkStart w:id="32" w:name="d.-opportunity-detail-page"/>
    <w:p>
      <w:pPr>
        <w:pStyle w:val="Heading3"/>
      </w:pPr>
      <w:r>
        <w:t xml:space="preserve">D. Opportunity Detail Page</w:t>
      </w:r>
    </w:p>
    <w:p>
      <w:pPr>
        <w:pStyle w:val="FirstParagraph"/>
      </w:pPr>
      <w:r>
        <w:t xml:space="preserve">Structured public detail page containing:</w:t>
      </w:r>
      <w:r>
        <w:t xml:space="preserve"> </w:t>
      </w:r>
      <w:r>
        <w:t xml:space="preserve">1. Title</w:t>
      </w:r>
      <w:r>
        <w:t xml:space="preserve"> </w:t>
      </w:r>
      <w:r>
        <w:t xml:space="preserve">2. Category</w:t>
      </w:r>
      <w:r>
        <w:t xml:space="preserve"> </w:t>
      </w:r>
      <w:r>
        <w:t xml:space="preserve">3. Department / office</w:t>
      </w:r>
      <w:r>
        <w:t xml:space="preserve"> </w:t>
      </w:r>
      <w:r>
        <w:t xml:space="preserve">4. Publish date</w:t>
      </w:r>
      <w:r>
        <w:t xml:space="preserve"> </w:t>
      </w:r>
      <w:r>
        <w:t xml:space="preserve">5. Deadline / closing date and time</w:t>
      </w:r>
      <w:r>
        <w:t xml:space="preserve"> </w:t>
      </w:r>
      <w:r>
        <w:t xml:space="preserve">6. Status label</w:t>
      </w:r>
      <w:r>
        <w:t xml:space="preserve"> </w:t>
      </w:r>
      <w:r>
        <w:t xml:space="preserve">7. Summary / overview</w:t>
      </w:r>
      <w:r>
        <w:t xml:space="preserve"> </w:t>
      </w:r>
      <w:r>
        <w:t xml:space="preserve">8. Full description / instructions</w:t>
      </w:r>
      <w:r>
        <w:t xml:space="preserve"> </w:t>
      </w:r>
      <w:r>
        <w:t xml:space="preserve">9. Eligibility requirements (where applicable)</w:t>
      </w:r>
      <w:r>
        <w:t xml:space="preserve"> </w:t>
      </w:r>
      <w:r>
        <w:t xml:space="preserve">10. Document downloads / attachments</w:t>
      </w:r>
      <w:r>
        <w:t xml:space="preserve"> </w:t>
      </w:r>
      <w:r>
        <w:t xml:space="preserve">11. Submission method / contact point</w:t>
      </w:r>
      <w:r>
        <w:t xml:space="preserve"> </w:t>
      </w:r>
      <w:r>
        <w:t xml:space="preserve">12. Related opportunities (optional)</w:t>
      </w:r>
    </w:p>
    <w:bookmarkEnd w:id="32"/>
    <w:bookmarkStart w:id="33" w:name="e.-archive-page"/>
    <w:p>
      <w:pPr>
        <w:pStyle w:val="Heading3"/>
      </w:pPr>
      <w:r>
        <w:t xml:space="preserve">E. Archive Page</w:t>
      </w:r>
    </w:p>
    <w:p>
      <w:pPr>
        <w:pStyle w:val="Compact"/>
        <w:numPr>
          <w:ilvl w:val="0"/>
          <w:numId w:val="1006"/>
        </w:numPr>
      </w:pPr>
      <w:r>
        <w:t xml:space="preserve">Searchable archive</w:t>
      </w:r>
    </w:p>
    <w:p>
      <w:pPr>
        <w:pStyle w:val="Compact"/>
        <w:numPr>
          <w:ilvl w:val="0"/>
          <w:numId w:val="1006"/>
        </w:numPr>
      </w:pPr>
      <w:r>
        <w:t xml:space="preserve">Filter by year, category, department, and status</w:t>
      </w:r>
    </w:p>
    <w:p>
      <w:pPr>
        <w:pStyle w:val="Compact"/>
        <w:numPr>
          <w:ilvl w:val="0"/>
          <w:numId w:val="1006"/>
        </w:numPr>
      </w:pPr>
      <w:r>
        <w:t xml:space="preserve">Access to historical notices and documents subject to retention rules</w:t>
      </w:r>
    </w:p>
    <w:bookmarkEnd w:id="33"/>
    <w:bookmarkStart w:id="34" w:name="f.-internal-admin-views"/>
    <w:p>
      <w:pPr>
        <w:pStyle w:val="Heading3"/>
      </w:pPr>
      <w:r>
        <w:t xml:space="preserve">F. Internal Admin Views</w:t>
      </w:r>
    </w:p>
    <w:p>
      <w:pPr>
        <w:pStyle w:val="Compact"/>
        <w:numPr>
          <w:ilvl w:val="0"/>
          <w:numId w:val="1007"/>
        </w:numPr>
      </w:pPr>
      <w:r>
        <w:t xml:space="preserve">Drafts queue</w:t>
      </w:r>
    </w:p>
    <w:p>
      <w:pPr>
        <w:pStyle w:val="Compact"/>
        <w:numPr>
          <w:ilvl w:val="0"/>
          <w:numId w:val="1007"/>
        </w:numPr>
      </w:pPr>
      <w:r>
        <w:t xml:space="preserve">Review queue</w:t>
      </w:r>
    </w:p>
    <w:p>
      <w:pPr>
        <w:pStyle w:val="Compact"/>
        <w:numPr>
          <w:ilvl w:val="0"/>
          <w:numId w:val="1007"/>
        </w:numPr>
      </w:pPr>
      <w:r>
        <w:t xml:space="preserve">Published queue</w:t>
      </w:r>
    </w:p>
    <w:p>
      <w:pPr>
        <w:pStyle w:val="Compact"/>
        <w:numPr>
          <w:ilvl w:val="0"/>
          <w:numId w:val="1007"/>
        </w:numPr>
      </w:pPr>
      <w:r>
        <w:t xml:space="preserve">Expired / closed queue</w:t>
      </w:r>
    </w:p>
    <w:p>
      <w:pPr>
        <w:pStyle w:val="Compact"/>
        <w:numPr>
          <w:ilvl w:val="0"/>
          <w:numId w:val="1007"/>
        </w:numPr>
      </w:pPr>
      <w:r>
        <w:t xml:space="preserve">Archived queue</w:t>
      </w:r>
    </w:p>
    <w:p>
      <w:pPr>
        <w:pStyle w:val="Compact"/>
        <w:numPr>
          <w:ilvl w:val="0"/>
          <w:numId w:val="1007"/>
        </w:numPr>
      </w:pPr>
      <w:r>
        <w:t xml:space="preserve">Attachment manager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ata-model-content-schema"/>
    <w:p>
      <w:pPr>
        <w:pStyle w:val="Heading2"/>
      </w:pPr>
      <w:r>
        <w:t xml:space="preserve">5. Data Model / Content Schema</w:t>
      </w:r>
    </w:p>
    <w:bookmarkStart w:id="36" w:name="a.-core-opportunity-entity"/>
    <w:p>
      <w:pPr>
        <w:pStyle w:val="Heading3"/>
      </w:pPr>
      <w:r>
        <w:t xml:space="preserve">A. Core Opportunity Entity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Slug / URL</w:t>
      </w:r>
    </w:p>
    <w:p>
      <w:pPr>
        <w:pStyle w:val="Compact"/>
        <w:numPr>
          <w:ilvl w:val="0"/>
          <w:numId w:val="1008"/>
        </w:numPr>
      </w:pPr>
      <w:r>
        <w:t xml:space="preserve">Category</w:t>
      </w:r>
    </w:p>
    <w:p>
      <w:pPr>
        <w:pStyle w:val="Compact"/>
        <w:numPr>
          <w:ilvl w:val="0"/>
          <w:numId w:val="1008"/>
        </w:numPr>
      </w:pPr>
      <w:r>
        <w:t xml:space="preserve">Department / office owner</w:t>
      </w:r>
    </w:p>
    <w:p>
      <w:pPr>
        <w:pStyle w:val="Compact"/>
        <w:numPr>
          <w:ilvl w:val="0"/>
          <w:numId w:val="1008"/>
        </w:numPr>
      </w:pPr>
      <w:r>
        <w:t xml:space="preserve">Opportunity type</w:t>
      </w:r>
    </w:p>
    <w:p>
      <w:pPr>
        <w:pStyle w:val="Compact"/>
        <w:numPr>
          <w:ilvl w:val="0"/>
          <w:numId w:val="1008"/>
        </w:numPr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t xml:space="preserve">Full description</w:t>
      </w:r>
    </w:p>
    <w:p>
      <w:pPr>
        <w:pStyle w:val="Compact"/>
        <w:numPr>
          <w:ilvl w:val="0"/>
          <w:numId w:val="1008"/>
        </w:numPr>
      </w:pPr>
      <w:r>
        <w:t xml:space="preserve">Instructions / submission notes</w:t>
      </w:r>
    </w:p>
    <w:p>
      <w:pPr>
        <w:pStyle w:val="Compact"/>
        <w:numPr>
          <w:ilvl w:val="0"/>
          <w:numId w:val="1008"/>
        </w:numPr>
      </w:pPr>
      <w:r>
        <w:t xml:space="preserve">Eligibility requirements (optional)</w:t>
      </w:r>
    </w:p>
    <w:p>
      <w:pPr>
        <w:pStyle w:val="Compact"/>
        <w:numPr>
          <w:ilvl w:val="0"/>
          <w:numId w:val="1008"/>
        </w:numPr>
      </w:pPr>
      <w:r>
        <w:t xml:space="preserve">Contact information</w:t>
      </w:r>
    </w:p>
    <w:p>
      <w:pPr>
        <w:pStyle w:val="Compact"/>
        <w:numPr>
          <w:ilvl w:val="0"/>
          <w:numId w:val="1008"/>
        </w:numPr>
      </w:pPr>
      <w:r>
        <w:t xml:space="preserve">Publish date</w:t>
      </w:r>
    </w:p>
    <w:p>
      <w:pPr>
        <w:pStyle w:val="Compact"/>
        <w:numPr>
          <w:ilvl w:val="0"/>
          <w:numId w:val="1008"/>
        </w:numPr>
      </w:pPr>
      <w:r>
        <w:t xml:space="preserve">Start date (optional)</w:t>
      </w:r>
    </w:p>
    <w:p>
      <w:pPr>
        <w:pStyle w:val="Compact"/>
        <w:numPr>
          <w:ilvl w:val="0"/>
          <w:numId w:val="1008"/>
        </w:numPr>
      </w:pPr>
      <w:r>
        <w:t xml:space="preserve">Deadline date</w:t>
      </w:r>
    </w:p>
    <w:p>
      <w:pPr>
        <w:pStyle w:val="Compact"/>
        <w:numPr>
          <w:ilvl w:val="0"/>
          <w:numId w:val="1008"/>
        </w:numPr>
      </w:pPr>
      <w:r>
        <w:t xml:space="preserve">Deadline time (optional)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Featured flag</w:t>
      </w:r>
    </w:p>
    <w:p>
      <w:pPr>
        <w:pStyle w:val="Compact"/>
        <w:numPr>
          <w:ilvl w:val="0"/>
          <w:numId w:val="1008"/>
        </w:numPr>
      </w:pPr>
      <w:r>
        <w:t xml:space="preserve">Search keywords / tags</w:t>
      </w:r>
    </w:p>
    <w:p>
      <w:pPr>
        <w:pStyle w:val="Compact"/>
        <w:numPr>
          <w:ilvl w:val="0"/>
          <w:numId w:val="1008"/>
        </w:numPr>
      </w:pPr>
      <w:r>
        <w:t xml:space="preserve">Related links</w:t>
      </w:r>
    </w:p>
    <w:bookmarkEnd w:id="36"/>
    <w:bookmarkStart w:id="37" w:name="b.-attachment-entity"/>
    <w:p>
      <w:pPr>
        <w:pStyle w:val="Heading3"/>
      </w:pPr>
      <w:r>
        <w:t xml:space="preserve">B. Attachment Entity</w:t>
      </w:r>
    </w:p>
    <w:p>
      <w:pPr>
        <w:pStyle w:val="Compact"/>
        <w:numPr>
          <w:ilvl w:val="0"/>
          <w:numId w:val="1009"/>
        </w:numPr>
      </w:pPr>
      <w:r>
        <w:t xml:space="preserve">File title</w:t>
      </w:r>
    </w:p>
    <w:p>
      <w:pPr>
        <w:pStyle w:val="Compact"/>
        <w:numPr>
          <w:ilvl w:val="0"/>
          <w:numId w:val="1009"/>
        </w:numPr>
      </w:pPr>
      <w:r>
        <w:t xml:space="preserve">File type</w:t>
      </w:r>
    </w:p>
    <w:p>
      <w:pPr>
        <w:pStyle w:val="Compact"/>
        <w:numPr>
          <w:ilvl w:val="0"/>
          <w:numId w:val="1009"/>
        </w:numPr>
      </w:pPr>
      <w:r>
        <w:t xml:space="preserve">File upload</w:t>
      </w:r>
    </w:p>
    <w:p>
      <w:pPr>
        <w:pStyle w:val="Compact"/>
        <w:numPr>
          <w:ilvl w:val="0"/>
          <w:numId w:val="1009"/>
        </w:numPr>
      </w:pPr>
      <w:r>
        <w:t xml:space="preserve">File size</w:t>
      </w:r>
    </w:p>
    <w:p>
      <w:pPr>
        <w:pStyle w:val="Compact"/>
        <w:numPr>
          <w:ilvl w:val="0"/>
          <w:numId w:val="1009"/>
        </w:numPr>
      </w:pPr>
      <w:r>
        <w:t xml:space="preserve">Version number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pPr>
        <w:pStyle w:val="Compact"/>
        <w:numPr>
          <w:ilvl w:val="0"/>
          <w:numId w:val="1009"/>
        </w:numPr>
      </w:pPr>
      <w:r>
        <w:t xml:space="preserve">Visibility status</w:t>
      </w:r>
    </w:p>
    <w:p>
      <w:pPr>
        <w:pStyle w:val="Compact"/>
        <w:numPr>
          <w:ilvl w:val="0"/>
          <w:numId w:val="1009"/>
        </w:numPr>
      </w:pPr>
      <w:r>
        <w:t xml:space="preserve">Malware scan status</w:t>
      </w:r>
    </w:p>
    <w:bookmarkEnd w:id="37"/>
    <w:bookmarkStart w:id="38" w:name="c.-governance-workflow-fields"/>
    <w:p>
      <w:pPr>
        <w:pStyle w:val="Heading3"/>
      </w:pPr>
      <w:r>
        <w:t xml:space="preserve">C. Governance / Workflow Fields</w:t>
      </w:r>
    </w:p>
    <w:p>
      <w:pPr>
        <w:pStyle w:val="Compact"/>
        <w:numPr>
          <w:ilvl w:val="0"/>
          <w:numId w:val="1010"/>
        </w:numPr>
      </w:pPr>
      <w:r>
        <w:t xml:space="preserve">Created by</w:t>
      </w:r>
    </w:p>
    <w:p>
      <w:pPr>
        <w:pStyle w:val="Compact"/>
        <w:numPr>
          <w:ilvl w:val="0"/>
          <w:numId w:val="1010"/>
        </w:numPr>
      </w:pPr>
      <w:r>
        <w:t xml:space="preserve">Updated by</w:t>
      </w:r>
    </w:p>
    <w:p>
      <w:pPr>
        <w:pStyle w:val="Compact"/>
        <w:numPr>
          <w:ilvl w:val="0"/>
          <w:numId w:val="1010"/>
        </w:numPr>
      </w:pPr>
      <w:r>
        <w:t xml:space="preserve">Submitted at</w:t>
      </w:r>
    </w:p>
    <w:p>
      <w:pPr>
        <w:pStyle w:val="Compact"/>
        <w:numPr>
          <w:ilvl w:val="0"/>
          <w:numId w:val="1010"/>
        </w:numPr>
      </w:pPr>
      <w:r>
        <w:t xml:space="preserve">Reviewed by</w:t>
      </w:r>
    </w:p>
    <w:p>
      <w:pPr>
        <w:pStyle w:val="Compact"/>
        <w:numPr>
          <w:ilvl w:val="0"/>
          <w:numId w:val="1010"/>
        </w:numPr>
      </w:pPr>
      <w:r>
        <w:t xml:space="preserve">Approved by</w:t>
      </w:r>
    </w:p>
    <w:p>
      <w:pPr>
        <w:pStyle w:val="Compact"/>
        <w:numPr>
          <w:ilvl w:val="0"/>
          <w:numId w:val="1010"/>
        </w:numPr>
      </w:pPr>
      <w:r>
        <w:t xml:space="preserve">Published at</w:t>
      </w:r>
    </w:p>
    <w:p>
      <w:pPr>
        <w:pStyle w:val="Compact"/>
        <w:numPr>
          <w:ilvl w:val="0"/>
          <w:numId w:val="1010"/>
        </w:numPr>
      </w:pPr>
      <w:r>
        <w:t xml:space="preserve">Archived at</w:t>
      </w:r>
    </w:p>
    <w:p>
      <w:pPr>
        <w:pStyle w:val="Compact"/>
        <w:numPr>
          <w:ilvl w:val="0"/>
          <w:numId w:val="1010"/>
        </w:numPr>
      </w:pPr>
      <w:r>
        <w:t xml:space="preserve">Rejection / revision notes</w:t>
      </w:r>
    </w:p>
    <w:p>
      <w:pPr>
        <w:pStyle w:val="Compact"/>
        <w:numPr>
          <w:ilvl w:val="0"/>
          <w:numId w:val="1010"/>
        </w:numPr>
      </w:pPr>
      <w:r>
        <w:t xml:space="preserve">Change log</w:t>
      </w:r>
    </w:p>
    <w:p>
      <w:pPr>
        <w:pStyle w:val="Compact"/>
        <w:numPr>
          <w:ilvl w:val="0"/>
          <w:numId w:val="1010"/>
        </w:numPr>
      </w:pPr>
      <w:r>
        <w:t xml:space="preserve">Version number</w:t>
      </w:r>
    </w:p>
    <w:bookmarkEnd w:id="38"/>
    <w:bookmarkStart w:id="39" w:name="d.-classification-fields"/>
    <w:p>
      <w:pPr>
        <w:pStyle w:val="Heading3"/>
      </w:pPr>
      <w:r>
        <w:t xml:space="preserve">D. Classification Fields</w:t>
      </w:r>
    </w:p>
    <w:p>
      <w:pPr>
        <w:pStyle w:val="Compact"/>
        <w:numPr>
          <w:ilvl w:val="0"/>
          <w:numId w:val="1011"/>
        </w:numPr>
      </w:pPr>
      <w:r>
        <w:t xml:space="preserve">Category (Tender / Vacancy / Notice / Internship / Call / etc.)</w:t>
      </w:r>
    </w:p>
    <w:p>
      <w:pPr>
        <w:pStyle w:val="Compact"/>
        <w:numPr>
          <w:ilvl w:val="0"/>
          <w:numId w:val="1011"/>
        </w:numPr>
      </w:pPr>
      <w:r>
        <w:t xml:space="preserve">Department / office</w:t>
      </w:r>
    </w:p>
    <w:p>
      <w:pPr>
        <w:pStyle w:val="Compact"/>
        <w:numPr>
          <w:ilvl w:val="0"/>
          <w:numId w:val="1011"/>
        </w:numPr>
      </w:pPr>
      <w:r>
        <w:t xml:space="preserve">Audience type</w:t>
      </w:r>
    </w:p>
    <w:p>
      <w:pPr>
        <w:pStyle w:val="Compact"/>
        <w:numPr>
          <w:ilvl w:val="0"/>
          <w:numId w:val="1011"/>
        </w:numPr>
      </w:pPr>
      <w:r>
        <w:t xml:space="preserve">Procurement reference number (for tenders)</w:t>
      </w:r>
    </w:p>
    <w:p>
      <w:pPr>
        <w:pStyle w:val="Compact"/>
        <w:numPr>
          <w:ilvl w:val="0"/>
          <w:numId w:val="1011"/>
        </w:numPr>
      </w:pPr>
      <w:r>
        <w:t xml:space="preserve">Vacancy reference code (for HR postings)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content-rules-validation-logic"/>
    <w:p>
      <w:pPr>
        <w:pStyle w:val="Heading2"/>
      </w:pPr>
      <w:r>
        <w:t xml:space="preserve">6. Content Rules &amp; Validation Logic</w:t>
      </w:r>
    </w:p>
    <w:bookmarkStart w:id="41" w:name="validation-rules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12"/>
        </w:numPr>
      </w:pPr>
      <w:r>
        <w:t xml:space="preserve">Title is mandatory</w:t>
      </w:r>
    </w:p>
    <w:p>
      <w:pPr>
        <w:pStyle w:val="Compact"/>
        <w:numPr>
          <w:ilvl w:val="0"/>
          <w:numId w:val="1012"/>
        </w:numPr>
      </w:pPr>
      <w:r>
        <w:t xml:space="preserve">Category is mandatory</w:t>
      </w:r>
    </w:p>
    <w:p>
      <w:pPr>
        <w:pStyle w:val="Compact"/>
        <w:numPr>
          <w:ilvl w:val="0"/>
          <w:numId w:val="1012"/>
        </w:numPr>
      </w:pPr>
      <w:r>
        <w:t xml:space="preserve">Department / office owner is mandatory</w:t>
      </w:r>
    </w:p>
    <w:p>
      <w:pPr>
        <w:pStyle w:val="Compact"/>
        <w:numPr>
          <w:ilvl w:val="0"/>
          <w:numId w:val="1012"/>
        </w:numPr>
      </w:pPr>
      <w:r>
        <w:t xml:space="preserve">Deadline is mandatory for time-bound items</w:t>
      </w:r>
    </w:p>
    <w:p>
      <w:pPr>
        <w:pStyle w:val="Compact"/>
        <w:numPr>
          <w:ilvl w:val="0"/>
          <w:numId w:val="1012"/>
        </w:numPr>
      </w:pPr>
      <w:r>
        <w:t xml:space="preserve">At least one attachment or a clear body description is required where relevant</w:t>
      </w:r>
    </w:p>
    <w:p>
      <w:pPr>
        <w:pStyle w:val="Compact"/>
        <w:numPr>
          <w:ilvl w:val="0"/>
          <w:numId w:val="1012"/>
        </w:numPr>
      </w:pPr>
      <w:r>
        <w:t xml:space="preserve">Tender reference numbers and vacancy reference codes must validate if configured as mandatory by category</w:t>
      </w:r>
    </w:p>
    <w:p>
      <w:pPr>
        <w:pStyle w:val="Compact"/>
        <w:numPr>
          <w:ilvl w:val="0"/>
          <w:numId w:val="1012"/>
        </w:numPr>
      </w:pPr>
      <w:r>
        <w:t xml:space="preserve">Published items must not have missing critical metadata</w:t>
      </w:r>
    </w:p>
    <w:bookmarkEnd w:id="41"/>
    <w:bookmarkStart w:id="42" w:name="document-rules"/>
    <w:p>
      <w:pPr>
        <w:pStyle w:val="Heading3"/>
      </w:pPr>
      <w:r>
        <w:t xml:space="preserve">Document Rules</w:t>
      </w:r>
    </w:p>
    <w:p>
      <w:pPr>
        <w:pStyle w:val="Compact"/>
        <w:numPr>
          <w:ilvl w:val="0"/>
          <w:numId w:val="1013"/>
        </w:numPr>
      </w:pPr>
      <w:r>
        <w:t xml:space="preserve">Attachments must support allowed file types only (PDF preferred for public docs)</w:t>
      </w:r>
    </w:p>
    <w:p>
      <w:pPr>
        <w:pStyle w:val="Compact"/>
        <w:numPr>
          <w:ilvl w:val="0"/>
          <w:numId w:val="1013"/>
        </w:numPr>
      </w:pPr>
      <w:r>
        <w:t xml:space="preserve">Files must be malware-scanned before publication</w:t>
      </w:r>
    </w:p>
    <w:p>
      <w:pPr>
        <w:pStyle w:val="Compact"/>
        <w:numPr>
          <w:ilvl w:val="0"/>
          <w:numId w:val="1013"/>
        </w:numPr>
      </w:pPr>
      <w:r>
        <w:t xml:space="preserve">File versioning must be supported</w:t>
      </w:r>
    </w:p>
    <w:p>
      <w:pPr>
        <w:pStyle w:val="Compact"/>
        <w:numPr>
          <w:ilvl w:val="0"/>
          <w:numId w:val="1013"/>
        </w:numPr>
      </w:pPr>
      <w:r>
        <w:t xml:space="preserve">Public document titles must be descriptive, not</w:t>
      </w:r>
      <w:r>
        <w:t xml:space="preserve"> </w:t>
      </w:r>
      <w:r>
        <w:t xml:space="preserve">“click here”</w:t>
      </w:r>
    </w:p>
    <w:p>
      <w:pPr>
        <w:pStyle w:val="Compact"/>
        <w:numPr>
          <w:ilvl w:val="0"/>
          <w:numId w:val="1013"/>
        </w:numPr>
      </w:pPr>
      <w:r>
        <w:t xml:space="preserve">Duplicate or outdated attachments should be flagged</w:t>
      </w:r>
    </w:p>
    <w:bookmarkEnd w:id="42"/>
    <w:bookmarkStart w:id="43" w:name="status-rules"/>
    <w:p>
      <w:pPr>
        <w:pStyle w:val="Heading3"/>
      </w:pPr>
      <w:r>
        <w:t xml:space="preserve">Status Rules</w:t>
      </w:r>
    </w:p>
    <w:p>
      <w:pPr>
        <w:pStyle w:val="Compact"/>
        <w:numPr>
          <w:ilvl w:val="0"/>
          <w:numId w:val="1014"/>
        </w:numPr>
      </w:pPr>
      <w:r>
        <w:t xml:space="preserve">Draft</w:t>
      </w:r>
    </w:p>
    <w:p>
      <w:pPr>
        <w:pStyle w:val="Compact"/>
        <w:numPr>
          <w:ilvl w:val="0"/>
          <w:numId w:val="1014"/>
        </w:numPr>
      </w:pPr>
      <w:r>
        <w:t xml:space="preserve">Submitted</w:t>
      </w:r>
    </w:p>
    <w:p>
      <w:pPr>
        <w:pStyle w:val="Compact"/>
        <w:numPr>
          <w:ilvl w:val="0"/>
          <w:numId w:val="1014"/>
        </w:numPr>
      </w:pPr>
      <w:r>
        <w:t xml:space="preserve">Under Review</w:t>
      </w:r>
    </w:p>
    <w:p>
      <w:pPr>
        <w:pStyle w:val="Compact"/>
        <w:numPr>
          <w:ilvl w:val="0"/>
          <w:numId w:val="1014"/>
        </w:numPr>
      </w:pPr>
      <w:r>
        <w:t xml:space="preserve">Approved</w:t>
      </w:r>
    </w:p>
    <w:p>
      <w:pPr>
        <w:pStyle w:val="Compact"/>
        <w:numPr>
          <w:ilvl w:val="0"/>
          <w:numId w:val="1014"/>
        </w:numPr>
      </w:pPr>
      <w:r>
        <w:t xml:space="preserve">Published</w:t>
      </w:r>
    </w:p>
    <w:p>
      <w:pPr>
        <w:pStyle w:val="Compact"/>
        <w:numPr>
          <w:ilvl w:val="0"/>
          <w:numId w:val="1014"/>
        </w:numPr>
      </w:pPr>
      <w:r>
        <w:t xml:space="preserve">Closing Soon (system-derived)</w:t>
      </w:r>
    </w:p>
    <w:p>
      <w:pPr>
        <w:pStyle w:val="Compact"/>
        <w:numPr>
          <w:ilvl w:val="0"/>
          <w:numId w:val="1014"/>
        </w:numPr>
      </w:pPr>
      <w:r>
        <w:t xml:space="preserve">Closed / Expired</w:t>
      </w:r>
    </w:p>
    <w:p>
      <w:pPr>
        <w:pStyle w:val="Compact"/>
        <w:numPr>
          <w:ilvl w:val="0"/>
          <w:numId w:val="1014"/>
        </w:numPr>
      </w:pPr>
      <w:r>
        <w:t xml:space="preserve">Archived</w:t>
      </w:r>
    </w:p>
    <w:bookmarkEnd w:id="43"/>
    <w:bookmarkStart w:id="44" w:name="expiry-rules"/>
    <w:p>
      <w:pPr>
        <w:pStyle w:val="Heading3"/>
      </w:pPr>
      <w:r>
        <w:t xml:space="preserve">Expiry Rules</w:t>
      </w:r>
    </w:p>
    <w:p>
      <w:pPr>
        <w:pStyle w:val="Compact"/>
        <w:numPr>
          <w:ilvl w:val="0"/>
          <w:numId w:val="1015"/>
        </w:numPr>
      </w:pPr>
      <w:r>
        <w:t xml:space="preserve">System should automatically mark time-bound opportunities as Closed after deadline</w:t>
      </w:r>
    </w:p>
    <w:p>
      <w:pPr>
        <w:pStyle w:val="Compact"/>
        <w:numPr>
          <w:ilvl w:val="0"/>
          <w:numId w:val="1015"/>
        </w:numPr>
      </w:pPr>
      <w:r>
        <w:t xml:space="preserve">Closed items may remain publicly visible for a configurable period before archival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frontend-ui-requirements"/>
    <w:p>
      <w:pPr>
        <w:pStyle w:val="Heading2"/>
      </w:pPr>
      <w:r>
        <w:t xml:space="preserve">7. Frontend UI Requirements</w:t>
      </w:r>
    </w:p>
    <w:bookmarkStart w:id="46" w:name="public-ui"/>
    <w:p>
      <w:pPr>
        <w:pStyle w:val="Heading3"/>
      </w:pPr>
      <w:r>
        <w:t xml:space="preserve">Public UI</w:t>
      </w:r>
    </w:p>
    <w:p>
      <w:pPr>
        <w:pStyle w:val="Compact"/>
        <w:numPr>
          <w:ilvl w:val="0"/>
          <w:numId w:val="1016"/>
        </w:numPr>
      </w:pPr>
      <w:r>
        <w:t xml:space="preserve">Clear institutional, compliance-friendly visual presentation</w:t>
      </w:r>
    </w:p>
    <w:p>
      <w:pPr>
        <w:pStyle w:val="Compact"/>
        <w:numPr>
          <w:ilvl w:val="0"/>
          <w:numId w:val="1016"/>
        </w:numPr>
      </w:pPr>
      <w:r>
        <w:t xml:space="preserve">Search bar with filters</w:t>
      </w:r>
    </w:p>
    <w:p>
      <w:pPr>
        <w:pStyle w:val="Compact"/>
        <w:numPr>
          <w:ilvl w:val="0"/>
          <w:numId w:val="1016"/>
        </w:numPr>
      </w:pPr>
      <w:r>
        <w:t xml:space="preserve">Structured cards or table/list view depending on category</w:t>
      </w:r>
    </w:p>
    <w:p>
      <w:pPr>
        <w:pStyle w:val="Compact"/>
        <w:numPr>
          <w:ilvl w:val="0"/>
          <w:numId w:val="1016"/>
        </w:numPr>
      </w:pPr>
      <w:r>
        <w:t xml:space="preserve">Deadline indicators and status badges</w:t>
      </w:r>
    </w:p>
    <w:p>
      <w:pPr>
        <w:pStyle w:val="Compact"/>
        <w:numPr>
          <w:ilvl w:val="0"/>
          <w:numId w:val="1016"/>
        </w:numPr>
      </w:pPr>
      <w:r>
        <w:t xml:space="preserve">Download section with descriptive labels</w:t>
      </w:r>
    </w:p>
    <w:p>
      <w:pPr>
        <w:pStyle w:val="Compact"/>
        <w:numPr>
          <w:ilvl w:val="0"/>
          <w:numId w:val="1016"/>
        </w:numPr>
      </w:pPr>
      <w:r>
        <w:t xml:space="preserve">Responsive mobile layout</w:t>
      </w:r>
    </w:p>
    <w:p>
      <w:pPr>
        <w:pStyle w:val="Compact"/>
        <w:numPr>
          <w:ilvl w:val="0"/>
          <w:numId w:val="1016"/>
        </w:numPr>
      </w:pPr>
      <w:r>
        <w:t xml:space="preserve">Empty states for no open opportunities</w:t>
      </w:r>
    </w:p>
    <w:p>
      <w:pPr>
        <w:pStyle w:val="Compact"/>
        <w:numPr>
          <w:ilvl w:val="0"/>
          <w:numId w:val="1016"/>
        </w:numPr>
      </w:pPr>
      <w:r>
        <w:t xml:space="preserve">Archive access without cluttering current listings</w:t>
      </w:r>
    </w:p>
    <w:bookmarkEnd w:id="46"/>
    <w:bookmarkStart w:id="47" w:name="visual-guidance"/>
    <w:p>
      <w:pPr>
        <w:pStyle w:val="Heading3"/>
      </w:pPr>
      <w:r>
        <w:t xml:space="preserve">Visual Guidance</w:t>
      </w:r>
    </w:p>
    <w:p>
      <w:pPr>
        <w:pStyle w:val="Compact"/>
        <w:numPr>
          <w:ilvl w:val="0"/>
          <w:numId w:val="1017"/>
        </w:numPr>
      </w:pPr>
      <w:r>
        <w:t xml:space="preserve">Tenders and vacancies should feel formal and trustworthy, not promotional</w:t>
      </w:r>
    </w:p>
    <w:p>
      <w:pPr>
        <w:pStyle w:val="Compact"/>
        <w:numPr>
          <w:ilvl w:val="0"/>
          <w:numId w:val="1017"/>
        </w:numPr>
      </w:pPr>
      <w:r>
        <w:t xml:space="preserve">Use strong metadata hierarchy</w:t>
      </w:r>
    </w:p>
    <w:p>
      <w:pPr>
        <w:pStyle w:val="Compact"/>
        <w:numPr>
          <w:ilvl w:val="0"/>
          <w:numId w:val="1017"/>
        </w:numPr>
      </w:pPr>
      <w:r>
        <w:t xml:space="preserve">Emphasize deadline clarity and document access</w:t>
      </w:r>
    </w:p>
    <w:p>
      <w:pPr>
        <w:pStyle w:val="Compact"/>
        <w:numPr>
          <w:ilvl w:val="0"/>
          <w:numId w:val="1017"/>
        </w:numPr>
      </w:pPr>
      <w:r>
        <w:t xml:space="preserve">Avoid ambiguous CTAs</w:t>
      </w:r>
    </w:p>
    <w:bookmarkEnd w:id="47"/>
    <w:bookmarkStart w:id="48" w:name="internal-ui"/>
    <w:p>
      <w:pPr>
        <w:pStyle w:val="Heading3"/>
      </w:pPr>
      <w:r>
        <w:t xml:space="preserve">Internal UI</w:t>
      </w:r>
    </w:p>
    <w:p>
      <w:pPr>
        <w:pStyle w:val="Compact"/>
        <w:numPr>
          <w:ilvl w:val="0"/>
          <w:numId w:val="1018"/>
        </w:numPr>
      </w:pPr>
      <w:r>
        <w:t xml:space="preserve">Opportunity creation form with structured sections</w:t>
      </w:r>
    </w:p>
    <w:p>
      <w:pPr>
        <w:pStyle w:val="Compact"/>
        <w:numPr>
          <w:ilvl w:val="0"/>
          <w:numId w:val="1018"/>
        </w:numPr>
      </w:pPr>
      <w:r>
        <w:t xml:space="preserve">Attachment upload area with validation feedback</w:t>
      </w:r>
    </w:p>
    <w:p>
      <w:pPr>
        <w:pStyle w:val="Compact"/>
        <w:numPr>
          <w:ilvl w:val="0"/>
          <w:numId w:val="1018"/>
        </w:numPr>
      </w:pPr>
      <w:r>
        <w:t xml:space="preserve">Review queue with status filters</w:t>
      </w:r>
    </w:p>
    <w:p>
      <w:pPr>
        <w:pStyle w:val="Compact"/>
        <w:numPr>
          <w:ilvl w:val="0"/>
          <w:numId w:val="1018"/>
        </w:numPr>
      </w:pPr>
      <w:r>
        <w:t xml:space="preserve">Expiry dashboard or alerts for soon-closing items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backend-cms-requirements"/>
    <w:p>
      <w:pPr>
        <w:pStyle w:val="Heading2"/>
      </w:pPr>
      <w:r>
        <w:t xml:space="preserve">8. Backend / CMS Requirements</w:t>
      </w:r>
    </w:p>
    <w:bookmarkStart w:id="50" w:name="internal-author-functions"/>
    <w:p>
      <w:pPr>
        <w:pStyle w:val="Heading3"/>
      </w:pPr>
      <w:r>
        <w:t xml:space="preserve">Internal Author Functions</w:t>
      </w:r>
    </w:p>
    <w:p>
      <w:pPr>
        <w:pStyle w:val="Compact"/>
        <w:numPr>
          <w:ilvl w:val="0"/>
          <w:numId w:val="1019"/>
        </w:numPr>
      </w:pPr>
      <w:r>
        <w:t xml:space="preserve">Create new item</w:t>
      </w:r>
    </w:p>
    <w:p>
      <w:pPr>
        <w:pStyle w:val="Compact"/>
        <w:numPr>
          <w:ilvl w:val="0"/>
          <w:numId w:val="1019"/>
        </w:numPr>
      </w:pPr>
      <w:r>
        <w:t xml:space="preserve">Save draft</w:t>
      </w:r>
    </w:p>
    <w:p>
      <w:pPr>
        <w:pStyle w:val="Compact"/>
        <w:numPr>
          <w:ilvl w:val="0"/>
          <w:numId w:val="1019"/>
        </w:numPr>
      </w:pPr>
      <w:r>
        <w:t xml:space="preserve">Upload attachments</w:t>
      </w:r>
    </w:p>
    <w:p>
      <w:pPr>
        <w:pStyle w:val="Compact"/>
        <w:numPr>
          <w:ilvl w:val="0"/>
          <w:numId w:val="1019"/>
        </w:numPr>
      </w:pPr>
      <w:r>
        <w:t xml:space="preserve">Edit metadata and content</w:t>
      </w:r>
    </w:p>
    <w:p>
      <w:pPr>
        <w:pStyle w:val="Compact"/>
        <w:numPr>
          <w:ilvl w:val="0"/>
          <w:numId w:val="1019"/>
        </w:numPr>
      </w:pPr>
      <w:r>
        <w:t xml:space="preserve">Submit for review</w:t>
      </w:r>
    </w:p>
    <w:bookmarkEnd w:id="50"/>
    <w:bookmarkStart w:id="51" w:name="reviewer-functions"/>
    <w:p>
      <w:pPr>
        <w:pStyle w:val="Heading3"/>
      </w:pPr>
      <w:r>
        <w:t xml:space="preserve">Reviewer Functions</w:t>
      </w:r>
    </w:p>
    <w:p>
      <w:pPr>
        <w:pStyle w:val="Compact"/>
        <w:numPr>
          <w:ilvl w:val="0"/>
          <w:numId w:val="1020"/>
        </w:numPr>
      </w:pPr>
      <w:r>
        <w:t xml:space="preserve">Review content and documents</w:t>
      </w:r>
    </w:p>
    <w:p>
      <w:pPr>
        <w:pStyle w:val="Compact"/>
        <w:numPr>
          <w:ilvl w:val="0"/>
          <w:numId w:val="1020"/>
        </w:numPr>
      </w:pPr>
      <w:r>
        <w:t xml:space="preserve">Check completeness and metadata</w:t>
      </w:r>
    </w:p>
    <w:p>
      <w:pPr>
        <w:pStyle w:val="Compact"/>
        <w:numPr>
          <w:ilvl w:val="0"/>
          <w:numId w:val="1020"/>
        </w:numPr>
      </w:pPr>
      <w:r>
        <w:t xml:space="preserve">Approve, reject, or request revision</w:t>
      </w:r>
    </w:p>
    <w:p>
      <w:pPr>
        <w:pStyle w:val="Compact"/>
        <w:numPr>
          <w:ilvl w:val="0"/>
          <w:numId w:val="1020"/>
        </w:numPr>
      </w:pPr>
      <w:r>
        <w:t xml:space="preserve">Add notes</w:t>
      </w:r>
    </w:p>
    <w:bookmarkEnd w:id="51"/>
    <w:bookmarkStart w:id="52" w:name="approver-admin-functions"/>
    <w:p>
      <w:pPr>
        <w:pStyle w:val="Heading3"/>
      </w:pPr>
      <w:r>
        <w:t xml:space="preserve">Approver / Admin Functions</w:t>
      </w:r>
    </w:p>
    <w:p>
      <w:pPr>
        <w:pStyle w:val="Compact"/>
        <w:numPr>
          <w:ilvl w:val="0"/>
          <w:numId w:val="1021"/>
        </w:numPr>
      </w:pPr>
      <w:r>
        <w:t xml:space="preserve">Publish approved items</w:t>
      </w:r>
    </w:p>
    <w:p>
      <w:pPr>
        <w:pStyle w:val="Compact"/>
        <w:numPr>
          <w:ilvl w:val="0"/>
          <w:numId w:val="1021"/>
        </w:numPr>
      </w:pPr>
      <w:r>
        <w:t xml:space="preserve">Schedule publication if needed</w:t>
      </w:r>
    </w:p>
    <w:p>
      <w:pPr>
        <w:pStyle w:val="Compact"/>
        <w:numPr>
          <w:ilvl w:val="0"/>
          <w:numId w:val="1021"/>
        </w:numPr>
      </w:pPr>
      <w:r>
        <w:t xml:space="preserve">Manually close or archive items</w:t>
      </w:r>
    </w:p>
    <w:p>
      <w:pPr>
        <w:pStyle w:val="Compact"/>
        <w:numPr>
          <w:ilvl w:val="0"/>
          <w:numId w:val="1021"/>
        </w:numPr>
      </w:pPr>
      <w:r>
        <w:t xml:space="preserve">Manage categories, filters, and retention settings</w:t>
      </w:r>
    </w:p>
    <w:bookmarkEnd w:id="52"/>
    <w:bookmarkStart w:id="53" w:name="system-behaviors"/>
    <w:p>
      <w:pPr>
        <w:pStyle w:val="Heading3"/>
      </w:pPr>
      <w:r>
        <w:t xml:space="preserve">System Behaviors</w:t>
      </w:r>
    </w:p>
    <w:p>
      <w:pPr>
        <w:pStyle w:val="Compact"/>
        <w:numPr>
          <w:ilvl w:val="0"/>
          <w:numId w:val="1022"/>
        </w:numPr>
      </w:pPr>
      <w:r>
        <w:t xml:space="preserve">Automatic status updates based on deadline</w:t>
      </w:r>
    </w:p>
    <w:p>
      <w:pPr>
        <w:pStyle w:val="Compact"/>
        <w:numPr>
          <w:ilvl w:val="0"/>
          <w:numId w:val="1022"/>
        </w:numPr>
      </w:pPr>
      <w:r>
        <w:t xml:space="preserve">Scheduled publishing support</w:t>
      </w:r>
    </w:p>
    <w:p>
      <w:pPr>
        <w:pStyle w:val="Compact"/>
        <w:numPr>
          <w:ilvl w:val="0"/>
          <w:numId w:val="1022"/>
        </w:numPr>
      </w:pPr>
      <w:r>
        <w:t xml:space="preserve">Version history and rollback</w:t>
      </w:r>
    </w:p>
    <w:p>
      <w:pPr>
        <w:pStyle w:val="Compact"/>
        <w:numPr>
          <w:ilvl w:val="0"/>
          <w:numId w:val="1022"/>
        </w:numPr>
      </w:pPr>
      <w:r>
        <w:t xml:space="preserve">Search indexing for published items</w:t>
      </w:r>
    </w:p>
    <w:p>
      <w:pPr>
        <w:pStyle w:val="Compact"/>
        <w:numPr>
          <w:ilvl w:val="0"/>
          <w:numId w:val="1022"/>
        </w:numPr>
      </w:pPr>
      <w:r>
        <w:t xml:space="preserve">Audit trail across full lifecycle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roles-permissions"/>
    <w:p>
      <w:pPr>
        <w:pStyle w:val="Heading2"/>
      </w:pPr>
      <w:r>
        <w:t xml:space="preserve">9. Roles &amp; Permissions</w:t>
      </w:r>
    </w:p>
    <w:bookmarkStart w:id="55" w:name="X89c3e27d9cef8071be6148b6eb1b218a0cc6827"/>
    <w:p>
      <w:pPr>
        <w:pStyle w:val="Heading3"/>
      </w:pPr>
      <w:r>
        <w:t xml:space="preserve">Procurement Officer / HR Officer / Content Owner</w:t>
      </w:r>
    </w:p>
    <w:p>
      <w:pPr>
        <w:pStyle w:val="Compact"/>
        <w:numPr>
          <w:ilvl w:val="0"/>
          <w:numId w:val="1023"/>
        </w:numPr>
      </w:pPr>
      <w:r>
        <w:t xml:space="preserve">Create and edit items in assigned scope</w:t>
      </w:r>
    </w:p>
    <w:p>
      <w:pPr>
        <w:pStyle w:val="Compact"/>
        <w:numPr>
          <w:ilvl w:val="0"/>
          <w:numId w:val="1023"/>
        </w:numPr>
      </w:pPr>
      <w:r>
        <w:t xml:space="preserve">Upload documents</w:t>
      </w:r>
    </w:p>
    <w:p>
      <w:pPr>
        <w:pStyle w:val="Compact"/>
        <w:numPr>
          <w:ilvl w:val="0"/>
          <w:numId w:val="1023"/>
        </w:numPr>
      </w:pPr>
      <w:r>
        <w:t xml:space="preserve">Submit for review</w:t>
      </w:r>
    </w:p>
    <w:bookmarkEnd w:id="55"/>
    <w:bookmarkStart w:id="56" w:name="reviewer-approver"/>
    <w:p>
      <w:pPr>
        <w:pStyle w:val="Heading3"/>
      </w:pPr>
      <w:r>
        <w:t xml:space="preserve">Reviewer / Approver</w:t>
      </w:r>
    </w:p>
    <w:p>
      <w:pPr>
        <w:pStyle w:val="Compact"/>
        <w:numPr>
          <w:ilvl w:val="0"/>
          <w:numId w:val="1024"/>
        </w:numPr>
      </w:pPr>
      <w:r>
        <w:t xml:space="preserve">Review assigned items</w:t>
      </w:r>
    </w:p>
    <w:p>
      <w:pPr>
        <w:pStyle w:val="Compact"/>
        <w:numPr>
          <w:ilvl w:val="0"/>
          <w:numId w:val="1024"/>
        </w:numPr>
      </w:pPr>
      <w:r>
        <w:t xml:space="preserve">Approve / reject / request revision</w:t>
      </w:r>
    </w:p>
    <w:p>
      <w:pPr>
        <w:pStyle w:val="Compact"/>
        <w:numPr>
          <w:ilvl w:val="0"/>
          <w:numId w:val="1024"/>
        </w:numPr>
      </w:pPr>
      <w:r>
        <w:t xml:space="preserve">View audit notes</w:t>
      </w:r>
    </w:p>
    <w:bookmarkEnd w:id="56"/>
    <w:bookmarkStart w:id="57" w:name="corporate-communications-admin"/>
    <w:p>
      <w:pPr>
        <w:pStyle w:val="Heading3"/>
      </w:pPr>
      <w:r>
        <w:t xml:space="preserve">Corporate Communications Admin</w:t>
      </w:r>
    </w:p>
    <w:p>
      <w:pPr>
        <w:pStyle w:val="Compact"/>
        <w:numPr>
          <w:ilvl w:val="0"/>
          <w:numId w:val="1025"/>
        </w:numPr>
      </w:pPr>
      <w:r>
        <w:t xml:space="preserve">Standardize public presentation</w:t>
      </w:r>
    </w:p>
    <w:p>
      <w:pPr>
        <w:pStyle w:val="Compact"/>
        <w:numPr>
          <w:ilvl w:val="0"/>
          <w:numId w:val="1025"/>
        </w:numPr>
      </w:pPr>
      <w:r>
        <w:t xml:space="preserve">Publish or co-manage notices subject to policy</w:t>
      </w:r>
    </w:p>
    <w:p>
      <w:pPr>
        <w:pStyle w:val="Compact"/>
        <w:numPr>
          <w:ilvl w:val="0"/>
          <w:numId w:val="1025"/>
        </w:numPr>
      </w:pPr>
      <w:r>
        <w:t xml:space="preserve">Manage featured items on landing pages</w:t>
      </w:r>
    </w:p>
    <w:bookmarkEnd w:id="57"/>
    <w:bookmarkStart w:id="58" w:name="ict-admin"/>
    <w:p>
      <w:pPr>
        <w:pStyle w:val="Heading3"/>
      </w:pPr>
      <w:r>
        <w:t xml:space="preserve">ICT Admin</w:t>
      </w:r>
    </w:p>
    <w:p>
      <w:pPr>
        <w:pStyle w:val="Compact"/>
        <w:numPr>
          <w:ilvl w:val="0"/>
          <w:numId w:val="1026"/>
        </w:numPr>
      </w:pPr>
      <w:r>
        <w:t xml:space="preserve">Manage technical settings, file rules, search, archives, and security settings</w:t>
      </w:r>
    </w:p>
    <w:bookmarkEnd w:id="58"/>
    <w:bookmarkStart w:id="59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27"/>
        </w:numPr>
      </w:pPr>
      <w:r>
        <w:t xml:space="preserve">Full cross-system control</w:t>
      </w:r>
    </w:p>
    <w:p>
      <w:pPr>
        <w:pStyle w:val="Compact"/>
        <w:numPr>
          <w:ilvl w:val="0"/>
          <w:numId w:val="1027"/>
        </w:numPr>
      </w:pPr>
      <w:r>
        <w:t xml:space="preserve">Override publication state</w:t>
      </w:r>
    </w:p>
    <w:p>
      <w:pPr>
        <w:pStyle w:val="Compact"/>
        <w:numPr>
          <w:ilvl w:val="0"/>
          <w:numId w:val="1027"/>
        </w:numPr>
      </w:pPr>
      <w:r>
        <w:t xml:space="preserve">View complete audit and archive controls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integrations"/>
    <w:p>
      <w:pPr>
        <w:pStyle w:val="Heading2"/>
      </w:pPr>
      <w:r>
        <w:t xml:space="preserve">10. Integrations</w:t>
      </w:r>
    </w:p>
    <w:p>
      <w:pPr>
        <w:pStyle w:val="FirstParagraph"/>
      </w:pPr>
      <w:r>
        <w:t xml:space="preserve">The Opportunities module must integrate or be designed to integrate with:</w:t>
      </w:r>
      <w:r>
        <w:t xml:space="preserve"> </w:t>
      </w:r>
      <w:r>
        <w:t xml:space="preserve">- Homepage opportunities feed</w:t>
      </w:r>
      <w:r>
        <w:t xml:space="preserve"> </w:t>
      </w:r>
      <w:r>
        <w:t xml:space="preserve">- Search engine / internal site search</w:t>
      </w:r>
      <w:r>
        <w:t xml:space="preserve"> </w:t>
      </w:r>
      <w:r>
        <w:t xml:space="preserve">- Email notification workflows (optional)</w:t>
      </w:r>
      <w:r>
        <w:t xml:space="preserve"> </w:t>
      </w:r>
      <w:r>
        <w:t xml:space="preserve">- Analytics platform for downloads and views</w:t>
      </w:r>
      <w:r>
        <w:t xml:space="preserve"> </w:t>
      </w:r>
      <w:r>
        <w:t xml:space="preserve">- Future procurement or HR systems if needed</w:t>
      </w:r>
    </w:p>
    <w:p>
      <w:pPr>
        <w:pStyle w:val="BodyText"/>
      </w:pPr>
      <w:r>
        <w:t xml:space="preserve">Optional future integrations:</w:t>
      </w:r>
      <w:r>
        <w:t xml:space="preserve"> </w:t>
      </w:r>
      <w:r>
        <w:t xml:space="preserve">- E-procurement system</w:t>
      </w:r>
      <w:r>
        <w:t xml:space="preserve"> </w:t>
      </w:r>
      <w:r>
        <w:t xml:space="preserve">- Applicant tracking / recruitment system</w:t>
      </w:r>
      <w:r>
        <w:t xml:space="preserve"> </w:t>
      </w:r>
      <w:r>
        <w:t xml:space="preserve">- Bulk notification tools</w:t>
      </w:r>
    </w:p>
    <w:p>
      <w:r>
        <w:pict>
          <v:rect style="width:0;height:1.5pt" o:hralign="center" o:hrstd="t" o:hr="t"/>
        </w:pict>
      </w:r>
    </w:p>
    <w:bookmarkEnd w:id="61"/>
    <w:bookmarkStart w:id="65" w:name="seo-accessibility-compliance"/>
    <w:p>
      <w:pPr>
        <w:pStyle w:val="Heading2"/>
      </w:pPr>
      <w:r>
        <w:t xml:space="preserve">11. SEO / Accessibility / Compliance</w:t>
      </w:r>
    </w:p>
    <w:bookmarkStart w:id="62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28"/>
        </w:numPr>
      </w:pPr>
      <w:r>
        <w:t xml:space="preserve">Human-readable URLs</w:t>
      </w:r>
    </w:p>
    <w:p>
      <w:pPr>
        <w:pStyle w:val="Compact"/>
        <w:numPr>
          <w:ilvl w:val="0"/>
          <w:numId w:val="1028"/>
        </w:numPr>
      </w:pPr>
      <w:r>
        <w:t xml:space="preserve">Metadata per posting</w:t>
      </w:r>
    </w:p>
    <w:p>
      <w:pPr>
        <w:pStyle w:val="Compact"/>
        <w:numPr>
          <w:ilvl w:val="0"/>
          <w:numId w:val="1028"/>
        </w:numPr>
      </w:pPr>
      <w:r>
        <w:t xml:space="preserve">Searchable category archives</w:t>
      </w:r>
    </w:p>
    <w:p>
      <w:pPr>
        <w:pStyle w:val="Compact"/>
        <w:numPr>
          <w:ilvl w:val="0"/>
          <w:numId w:val="1028"/>
        </w:numPr>
      </w:pPr>
      <w:r>
        <w:t xml:space="preserve">Descriptive document titles</w:t>
      </w:r>
    </w:p>
    <w:p>
      <w:pPr>
        <w:pStyle w:val="Compact"/>
        <w:numPr>
          <w:ilvl w:val="0"/>
          <w:numId w:val="1028"/>
        </w:numPr>
      </w:pPr>
      <w:r>
        <w:t xml:space="preserve">Internal linking from homepage and relevant sections</w:t>
      </w:r>
    </w:p>
    <w:bookmarkEnd w:id="62"/>
    <w:bookmarkStart w:id="63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29"/>
        </w:numPr>
      </w:pPr>
      <w:r>
        <w:t xml:space="preserve">Clear heading structure</w:t>
      </w:r>
    </w:p>
    <w:p>
      <w:pPr>
        <w:pStyle w:val="Compact"/>
        <w:numPr>
          <w:ilvl w:val="0"/>
          <w:numId w:val="1029"/>
        </w:numPr>
      </w:pPr>
      <w:r>
        <w:t xml:space="preserve">Download links clearly labeled with file type</w:t>
      </w:r>
    </w:p>
    <w:p>
      <w:pPr>
        <w:pStyle w:val="Compact"/>
        <w:numPr>
          <w:ilvl w:val="0"/>
          <w:numId w:val="1029"/>
        </w:numPr>
      </w:pPr>
      <w:r>
        <w:t xml:space="preserve">Keyboard-accessible filters and listing interactions</w:t>
      </w:r>
    </w:p>
    <w:p>
      <w:pPr>
        <w:pStyle w:val="Compact"/>
        <w:numPr>
          <w:ilvl w:val="0"/>
          <w:numId w:val="1029"/>
        </w:numPr>
      </w:pPr>
      <w:r>
        <w:t xml:space="preserve">Clear status and deadline presentation</w:t>
      </w:r>
    </w:p>
    <w:p>
      <w:pPr>
        <w:pStyle w:val="Compact"/>
        <w:numPr>
          <w:ilvl w:val="0"/>
          <w:numId w:val="1029"/>
        </w:numPr>
      </w:pPr>
      <w:r>
        <w:t xml:space="preserve">Accessible error and empty-state messaging</w:t>
      </w:r>
    </w:p>
    <w:bookmarkEnd w:id="63"/>
    <w:bookmarkStart w:id="64" w:name="compliance-governance"/>
    <w:p>
      <w:pPr>
        <w:pStyle w:val="Heading3"/>
      </w:pPr>
      <w:r>
        <w:t xml:space="preserve">Compliance / Governance</w:t>
      </w:r>
    </w:p>
    <w:p>
      <w:pPr>
        <w:pStyle w:val="Compact"/>
        <w:numPr>
          <w:ilvl w:val="0"/>
          <w:numId w:val="1030"/>
        </w:numPr>
      </w:pPr>
      <w:r>
        <w:t xml:space="preserve">Full lifecycle audit trail</w:t>
      </w:r>
    </w:p>
    <w:p>
      <w:pPr>
        <w:pStyle w:val="Compact"/>
        <w:numPr>
          <w:ilvl w:val="0"/>
          <w:numId w:val="1030"/>
        </w:numPr>
      </w:pPr>
      <w:r>
        <w:t xml:space="preserve">Controlled publishing states</w:t>
      </w:r>
    </w:p>
    <w:p>
      <w:pPr>
        <w:pStyle w:val="Compact"/>
        <w:numPr>
          <w:ilvl w:val="0"/>
          <w:numId w:val="1030"/>
        </w:numPr>
      </w:pPr>
      <w:r>
        <w:t xml:space="preserve">Archival and retention support</w:t>
      </w:r>
    </w:p>
    <w:p>
      <w:pPr>
        <w:pStyle w:val="Compact"/>
        <w:numPr>
          <w:ilvl w:val="0"/>
          <w:numId w:val="1030"/>
        </w:numPr>
      </w:pPr>
      <w:r>
        <w:t xml:space="preserve">Clear ownership of postings by department / office</w:t>
      </w:r>
    </w:p>
    <w:p>
      <w:pPr>
        <w:pStyle w:val="Compact"/>
        <w:numPr>
          <w:ilvl w:val="0"/>
          <w:numId w:val="1030"/>
        </w:numPr>
      </w:pPr>
      <w:r>
        <w:t xml:space="preserve">Structured public records presentation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cceptance-criteria"/>
    <w:p>
      <w:pPr>
        <w:pStyle w:val="Heading2"/>
      </w:pPr>
      <w:r>
        <w:t xml:space="preserve">12. Acceptance Criteria</w:t>
      </w:r>
    </w:p>
    <w:p>
      <w:pPr>
        <w:pStyle w:val="FirstParagraph"/>
      </w:pPr>
      <w:r>
        <w:t xml:space="preserve">The Opportunities module is complete only if:</w:t>
      </w:r>
      <w:r>
        <w:t xml:space="preserve"> </w:t>
      </w:r>
      <w:r>
        <w:t xml:space="preserve">- Public users can browse, search, and filter opportunities clearly</w:t>
      </w:r>
      <w:r>
        <w:t xml:space="preserve"> </w:t>
      </w:r>
      <w:r>
        <w:t xml:space="preserve">- Tenders, vacancies, and notices display structured metadata</w:t>
      </w:r>
      <w:r>
        <w:t xml:space="preserve"> </w:t>
      </w:r>
      <w:r>
        <w:t xml:space="preserve">- Attachments are descriptive, validated, and downloadable</w:t>
      </w:r>
      <w:r>
        <w:t xml:space="preserve"> </w:t>
      </w:r>
      <w:r>
        <w:t xml:space="preserve">- Deadlines are visible and status labels update correctly</w:t>
      </w:r>
      <w:r>
        <w:t xml:space="preserve"> </w:t>
      </w:r>
      <w:r>
        <w:t xml:space="preserve">- Internal users can create, review, approve, publish, and archive items through governed workflow</w:t>
      </w:r>
      <w:r>
        <w:t xml:space="preserve"> </w:t>
      </w:r>
      <w:r>
        <w:t xml:space="preserve">- Archive functionality works correctly</w:t>
      </w:r>
      <w:r>
        <w:t xml:space="preserve"> </w:t>
      </w:r>
      <w:r>
        <w:t xml:space="preserve">- Homepage can consume featured or latest opportunities from this module</w:t>
      </w:r>
      <w:r>
        <w:t xml:space="preserve"> </w:t>
      </w:r>
      <w:r>
        <w:t xml:space="preserve">- Audit and versioning behavior is operational</w:t>
      </w:r>
    </w:p>
    <w:p>
      <w:r>
        <w:pict>
          <v:rect style="width:0;height:1.5pt" o:hralign="center" o:hrstd="t" o:hr="t"/>
        </w:pict>
      </w:r>
    </w:p>
    <w:bookmarkEnd w:id="66"/>
    <w:bookmarkStart w:id="67" w:name="future-erp-alignment"/>
    <w:p>
      <w:pPr>
        <w:pStyle w:val="Heading2"/>
      </w:pPr>
      <w:r>
        <w:t xml:space="preserve">13. Future ERP Alignment</w:t>
      </w:r>
    </w:p>
    <w:p>
      <w:pPr>
        <w:pStyle w:val="FirstParagraph"/>
      </w:pPr>
      <w:r>
        <w:t xml:space="preserve">This module must explicitly prepare for future extension into:</w:t>
      </w:r>
      <w:r>
        <w:t xml:space="preserve"> </w:t>
      </w:r>
      <w:r>
        <w:t xml:space="preserve">- Procurement management systems</w:t>
      </w:r>
      <w:r>
        <w:t xml:space="preserve"> </w:t>
      </w:r>
      <w:r>
        <w:t xml:space="preserve">- Recruitment / HR systems</w:t>
      </w:r>
      <w:r>
        <w:t xml:space="preserve"> </w:t>
      </w:r>
      <w:r>
        <w:t xml:space="preserve">- Contract and vendor notice workflows</w:t>
      </w:r>
      <w:r>
        <w:t xml:space="preserve"> </w:t>
      </w:r>
      <w:r>
        <w:t xml:space="preserve">- Institutional compliance and records management systems</w:t>
      </w:r>
    </w:p>
    <w:p>
      <w:pPr>
        <w:pStyle w:val="BodyText"/>
      </w:pPr>
      <w:r>
        <w:t xml:space="preserve">The design should therefore treat each opportunity record as a governed institutional publication entity, not as an unstructured page post.</w:t>
      </w:r>
    </w:p>
    <w:p>
      <w:r>
        <w:pict>
          <v:rect style="width:0;height:1.5pt" o:hralign="center" o:hrstd="t" o:hr="t"/>
        </w:pict>
      </w:r>
    </w:p>
    <w:bookmarkEnd w:id="67"/>
    <w:bookmarkStart w:id="68" w:name="dependencies"/>
    <w:p>
      <w:pPr>
        <w:pStyle w:val="Heading2"/>
      </w:pPr>
      <w:r>
        <w:t xml:space="preserve">14. Dependencies</w:t>
      </w:r>
    </w:p>
    <w:p>
      <w:pPr>
        <w:pStyle w:val="Compact"/>
        <w:numPr>
          <w:ilvl w:val="0"/>
          <w:numId w:val="1031"/>
        </w:numPr>
      </w:pPr>
      <w:r>
        <w:t xml:space="preserve">Foundation Layer</w:t>
      </w:r>
    </w:p>
    <w:p>
      <w:pPr>
        <w:pStyle w:val="Compact"/>
        <w:numPr>
          <w:ilvl w:val="0"/>
          <w:numId w:val="1031"/>
        </w:numPr>
      </w:pPr>
      <w:r>
        <w:t xml:space="preserve">Homepage</w:t>
      </w:r>
    </w:p>
    <w:p>
      <w:pPr>
        <w:pStyle w:val="Compact"/>
        <w:numPr>
          <w:ilvl w:val="0"/>
          <w:numId w:val="1031"/>
        </w:numPr>
      </w:pPr>
      <w:r>
        <w:t xml:space="preserve">CMS governance model</w:t>
      </w:r>
    </w:p>
    <w:p>
      <w:pPr>
        <w:pStyle w:val="Compact"/>
        <w:numPr>
          <w:ilvl w:val="0"/>
          <w:numId w:val="1031"/>
        </w:numPr>
      </w:pPr>
      <w:r>
        <w:t xml:space="preserve">Search / indexing layer</w:t>
      </w:r>
    </w:p>
    <w:p>
      <w:pPr>
        <w:pStyle w:val="Compact"/>
        <w:numPr>
          <w:ilvl w:val="0"/>
          <w:numId w:val="1031"/>
        </w:numPr>
      </w:pPr>
      <w:r>
        <w:t xml:space="preserve">File upload and document handling policies</w:t>
      </w:r>
    </w:p>
    <w:p>
      <w:r>
        <w:pict>
          <v:rect style="width:0;height:1.5pt" o:hralign="center" o:hrstd="t" o:hr="t"/>
        </w:pict>
      </w:r>
    </w:p>
    <w:bookmarkEnd w:id="68"/>
    <w:bookmarkStart w:id="69" w:name="required-outputs"/>
    <w:p>
      <w:pPr>
        <w:pStyle w:val="Heading2"/>
      </w:pPr>
      <w:r>
        <w:t xml:space="preserve">15. Required Outputs</w:t>
      </w:r>
    </w:p>
    <w:p>
      <w:pPr>
        <w:pStyle w:val="FirstParagraph"/>
      </w:pPr>
      <w:r>
        <w:t xml:space="preserve">Produce the Opportunities module as a full system blueprint with:</w:t>
      </w:r>
      <w:r>
        <w:t xml:space="preserve"> </w:t>
      </w:r>
      <w:r>
        <w:t xml:space="preserve">1. Public information architecture</w:t>
      </w:r>
      <w:r>
        <w:t xml:space="preserve"> </w:t>
      </w:r>
      <w:r>
        <w:t xml:space="preserve">2. Category and archive structure</w:t>
      </w:r>
      <w:r>
        <w:t xml:space="preserve"> </w:t>
      </w:r>
      <w:r>
        <w:t xml:space="preserve">3. Data model / field specification</w:t>
      </w:r>
      <w:r>
        <w:t xml:space="preserve"> </w:t>
      </w:r>
      <w:r>
        <w:t xml:space="preserve">4. Validation and document rules</w:t>
      </w:r>
      <w:r>
        <w:t xml:space="preserve"> </w:t>
      </w:r>
      <w:r>
        <w:t xml:space="preserve">5. Roles and permissions matrix</w:t>
      </w:r>
      <w:r>
        <w:t xml:space="preserve"> </w:t>
      </w:r>
      <w:r>
        <w:t xml:space="preserve">6. Public UI wireframe specification</w:t>
      </w:r>
      <w:r>
        <w:t xml:space="preserve"> </w:t>
      </w:r>
      <w:r>
        <w:t xml:space="preserve">7. Internal workflow specification</w:t>
      </w:r>
      <w:r>
        <w:t xml:space="preserve"> </w:t>
      </w:r>
      <w:r>
        <w:t xml:space="preserve">8. Developer-ready implementation prompt</w:t>
      </w:r>
      <w:r>
        <w:t xml:space="preserve"> </w:t>
      </w:r>
      <w:r>
        <w:t xml:space="preserve">9. QA / acceptance checklist</w:t>
      </w:r>
    </w:p>
    <w:p>
      <w:pPr>
        <w:pStyle w:val="BodyText"/>
      </w:pPr>
      <w:r>
        <w:t xml:space="preserve">The output must be detailed enough for design, frontend, backend, QA, and governance teams to implement without ambiguity.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2026-04-03T10:51:39Z</dcterms:created>
  <dcterms:modified xsi:type="dcterms:W3CDTF">2026-04-03T10:51:39Z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