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fu-master-prompt-upgrade"/>
    <w:p>
      <w:pPr>
        <w:pStyle w:val="Heading1"/>
      </w:pPr>
      <w:r>
        <w:t xml:space="preserve">KAFU MASTER PROMPT UPGRADE</w:t>
      </w:r>
    </w:p>
    <w:bookmarkStart w:id="20" w:name="X14fd8c4a1f5da5582bd17a2a1a5cda8ec24cd8c"/>
    <w:p>
      <w:pPr>
        <w:pStyle w:val="Heading2"/>
      </w:pPr>
      <w:r>
        <w:t xml:space="preserve">Admissions &amp; Academics (Global Benchmark – Cambridge/Yale Standard)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3" w:name="X7b8143f4bb4c3fc9b58880fd2c07dc2668146d3"/>
    <w:p>
      <w:pPr>
        <w:pStyle w:val="Heading1"/>
      </w:pPr>
      <w:r>
        <w:t xml:space="preserve">PART A: ADMISSIONS MODULE (GLOBAL CONVERSION ENGINE)</w:t>
      </w:r>
    </w:p>
    <w:bookmarkStart w:id="22" w:name="prompt"/>
    <w:p>
      <w:pPr>
        <w:pStyle w:val="Heading2"/>
      </w:pPr>
      <w:r>
        <w:t xml:space="preserve">Prompt</w:t>
      </w:r>
    </w:p>
    <w:p>
      <w:pPr>
        <w:pStyle w:val="FirstParagraph"/>
      </w:pPr>
      <w:r>
        <w:t xml:space="preserve">Redesign the Admissions module as a</w:t>
      </w:r>
      <w:r>
        <w:t xml:space="preserve"> </w:t>
      </w:r>
      <w:r>
        <w:rPr>
          <w:b/>
          <w:bCs/>
        </w:rPr>
        <w:t xml:space="preserve">high-conversion, globally competitive admissions intelligence and recruitment system</w:t>
      </w:r>
      <w:r>
        <w:t xml:space="preserve">, aligned to top-tier universities (Cambridge, Yale, etc.).</w:t>
      </w:r>
    </w:p>
    <w:p>
      <w:pPr>
        <w:pStyle w:val="BodyText"/>
      </w:pPr>
      <w:r>
        <w:t xml:space="preserve">This module must function as: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conversion funnel engine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decision-support interface for applicants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data capture layer for institutional growth</w:t>
      </w:r>
    </w:p>
    <w:p>
      <w:r>
        <w:pict>
          <v:rect style="width:0;height:1.5pt" o:hralign="center" o:hrstd="t" o:hr="t"/>
        </w:pict>
      </w:r>
    </w:p>
    <w:bookmarkEnd w:id="22"/>
    <w:bookmarkStart w:id="23" w:name="strategic-shift"/>
    <w:p>
      <w:pPr>
        <w:pStyle w:val="Heading2"/>
      </w:pPr>
      <w:r>
        <w:t xml:space="preserve">1. Strategic Shift</w:t>
      </w:r>
    </w:p>
    <w:p>
      <w:pPr>
        <w:pStyle w:val="FirstParagraph"/>
      </w:pPr>
      <w:r>
        <w:t xml:space="preserve">From:</w:t>
      </w:r>
    </w:p>
    <w:p>
      <w:pPr>
        <w:pStyle w:val="Compact"/>
        <w:numPr>
          <w:ilvl w:val="0"/>
          <w:numId w:val="1002"/>
        </w:numPr>
      </w:pPr>
      <w:r>
        <w:t xml:space="preserve">Static admissions pages</w:t>
      </w:r>
    </w:p>
    <w:p>
      <w:pPr>
        <w:pStyle w:val="FirstParagraph"/>
      </w:pPr>
      <w:r>
        <w:t xml:space="preserve">To:</w:t>
      </w:r>
    </w:p>
    <w:p>
      <w:pPr>
        <w:pStyle w:val="Compact"/>
        <w:numPr>
          <w:ilvl w:val="0"/>
          <w:numId w:val="1003"/>
        </w:numPr>
      </w:pPr>
      <w:r>
        <w:t xml:space="preserve">Guided, data-driven application journeys</w:t>
      </w:r>
    </w:p>
    <w:p>
      <w:r>
        <w:pict>
          <v:rect style="width:0;height:1.5pt" o:hralign="center" o:hrstd="t" o:hr="t"/>
        </w:pict>
      </w:r>
    </w:p>
    <w:bookmarkEnd w:id="23"/>
    <w:bookmarkStart w:id="29" w:name="core-subsystems"/>
    <w:p>
      <w:pPr>
        <w:pStyle w:val="Heading2"/>
      </w:pPr>
      <w:r>
        <w:t xml:space="preserve">2. Core Subsystems</w:t>
      </w:r>
    </w:p>
    <w:bookmarkStart w:id="24" w:name="a.-applicant-journey-engine"/>
    <w:p>
      <w:pPr>
        <w:pStyle w:val="Heading3"/>
      </w:pPr>
      <w:r>
        <w:t xml:space="preserve">A. Applicant Journey Engine</w:t>
      </w:r>
    </w:p>
    <w:p>
      <w:pPr>
        <w:pStyle w:val="Compact"/>
        <w:numPr>
          <w:ilvl w:val="0"/>
          <w:numId w:val="1004"/>
        </w:numPr>
      </w:pPr>
      <w:r>
        <w:t xml:space="preserve">Step-by-step guided application paths</w:t>
      </w:r>
    </w:p>
    <w:p>
      <w:pPr>
        <w:pStyle w:val="Compact"/>
        <w:numPr>
          <w:ilvl w:val="0"/>
          <w:numId w:val="1004"/>
        </w:numPr>
      </w:pPr>
      <w:r>
        <w:t xml:space="preserve">Personalized pathways:</w:t>
      </w:r>
    </w:p>
    <w:p>
      <w:pPr>
        <w:pStyle w:val="Compact"/>
        <w:numPr>
          <w:ilvl w:val="1"/>
          <w:numId w:val="1005"/>
        </w:numPr>
      </w:pPr>
      <w:r>
        <w:t xml:space="preserve">Undergraduate</w:t>
      </w:r>
    </w:p>
    <w:p>
      <w:pPr>
        <w:pStyle w:val="Compact"/>
        <w:numPr>
          <w:ilvl w:val="1"/>
          <w:numId w:val="1005"/>
        </w:numPr>
      </w:pPr>
      <w:r>
        <w:t xml:space="preserve">Postgraduate</w:t>
      </w:r>
    </w:p>
    <w:p>
      <w:pPr>
        <w:pStyle w:val="Compact"/>
        <w:numPr>
          <w:ilvl w:val="1"/>
          <w:numId w:val="1005"/>
        </w:numPr>
      </w:pPr>
      <w:r>
        <w:t xml:space="preserve">International</w:t>
      </w:r>
    </w:p>
    <w:p>
      <w:pPr>
        <w:pStyle w:val="Compact"/>
        <w:numPr>
          <w:ilvl w:val="1"/>
          <w:numId w:val="1005"/>
        </w:numPr>
      </w:pPr>
      <w:r>
        <w:t xml:space="preserve">Self-sponsored</w:t>
      </w:r>
    </w:p>
    <w:bookmarkEnd w:id="24"/>
    <w:bookmarkStart w:id="25" w:name="b.-programme-discovery-integration"/>
    <w:p>
      <w:pPr>
        <w:pStyle w:val="Heading3"/>
      </w:pPr>
      <w:r>
        <w:t xml:space="preserve">B. Programme Discovery Integration</w:t>
      </w:r>
    </w:p>
    <w:p>
      <w:pPr>
        <w:pStyle w:val="Compact"/>
        <w:numPr>
          <w:ilvl w:val="0"/>
          <w:numId w:val="1006"/>
        </w:numPr>
      </w:pPr>
      <w:r>
        <w:t xml:space="preserve">Deep linking to programme catalogue</w:t>
      </w:r>
    </w:p>
    <w:p>
      <w:pPr>
        <w:pStyle w:val="Compact"/>
        <w:numPr>
          <w:ilvl w:val="0"/>
          <w:numId w:val="1006"/>
        </w:numPr>
      </w:pPr>
      <w:r>
        <w:t xml:space="preserve">Filters:</w:t>
      </w:r>
    </w:p>
    <w:p>
      <w:pPr>
        <w:pStyle w:val="Compact"/>
        <w:numPr>
          <w:ilvl w:val="1"/>
          <w:numId w:val="1007"/>
        </w:numPr>
      </w:pPr>
      <w:r>
        <w:t xml:space="preserve">Career outcome</w:t>
      </w:r>
    </w:p>
    <w:p>
      <w:pPr>
        <w:pStyle w:val="Compact"/>
        <w:numPr>
          <w:ilvl w:val="1"/>
          <w:numId w:val="1007"/>
        </w:numPr>
      </w:pPr>
      <w:r>
        <w:t xml:space="preserve">Entry requirements</w:t>
      </w:r>
    </w:p>
    <w:p>
      <w:pPr>
        <w:pStyle w:val="Compact"/>
        <w:numPr>
          <w:ilvl w:val="1"/>
          <w:numId w:val="1007"/>
        </w:numPr>
      </w:pPr>
      <w:r>
        <w:t xml:space="preserve">Duration</w:t>
      </w:r>
    </w:p>
    <w:p>
      <w:pPr>
        <w:pStyle w:val="Compact"/>
        <w:numPr>
          <w:ilvl w:val="1"/>
          <w:numId w:val="1007"/>
        </w:numPr>
      </w:pPr>
      <w:r>
        <w:t xml:space="preserve">Cost</w:t>
      </w:r>
    </w:p>
    <w:bookmarkEnd w:id="25"/>
    <w:bookmarkStart w:id="26" w:name="c.-eligibility-pre-check-engine"/>
    <w:p>
      <w:pPr>
        <w:pStyle w:val="Heading3"/>
      </w:pPr>
      <w:r>
        <w:t xml:space="preserve">C. Eligibility Pre-Check Engine</w:t>
      </w:r>
    </w:p>
    <w:p>
      <w:pPr>
        <w:pStyle w:val="Compact"/>
        <w:numPr>
          <w:ilvl w:val="0"/>
          <w:numId w:val="1008"/>
        </w:numPr>
      </w:pPr>
      <w:r>
        <w:t xml:space="preserve">Interactive eligibility checker</w:t>
      </w:r>
    </w:p>
    <w:p>
      <w:pPr>
        <w:pStyle w:val="Compact"/>
        <w:numPr>
          <w:ilvl w:val="0"/>
          <w:numId w:val="1008"/>
        </w:numPr>
      </w:pPr>
      <w:r>
        <w:t xml:space="preserve">KCSE / international equivalents mapping</w:t>
      </w:r>
    </w:p>
    <w:p>
      <w:pPr>
        <w:pStyle w:val="Compact"/>
        <w:numPr>
          <w:ilvl w:val="0"/>
          <w:numId w:val="1008"/>
        </w:numPr>
      </w:pPr>
      <w:r>
        <w:t xml:space="preserve">Instant feedback (qualifies / alternative options)</w:t>
      </w:r>
    </w:p>
    <w:bookmarkEnd w:id="26"/>
    <w:bookmarkStart w:id="27" w:name="d.-fee-cost-intelligence"/>
    <w:p>
      <w:pPr>
        <w:pStyle w:val="Heading3"/>
      </w:pPr>
      <w:r>
        <w:t xml:space="preserve">D. Fee &amp; Cost Intelligence</w:t>
      </w:r>
    </w:p>
    <w:p>
      <w:pPr>
        <w:pStyle w:val="Compact"/>
        <w:numPr>
          <w:ilvl w:val="0"/>
          <w:numId w:val="1009"/>
        </w:numPr>
      </w:pPr>
      <w:r>
        <w:t xml:space="preserve">Tuition breakdown</w:t>
      </w:r>
    </w:p>
    <w:p>
      <w:pPr>
        <w:pStyle w:val="Compact"/>
        <w:numPr>
          <w:ilvl w:val="0"/>
          <w:numId w:val="1009"/>
        </w:numPr>
      </w:pPr>
      <w:r>
        <w:t xml:space="preserve">Accommodation + living cost estimates</w:t>
      </w:r>
    </w:p>
    <w:p>
      <w:pPr>
        <w:pStyle w:val="Compact"/>
        <w:numPr>
          <w:ilvl w:val="0"/>
          <w:numId w:val="1009"/>
        </w:numPr>
      </w:pPr>
      <w:r>
        <w:t xml:space="preserve">Scholarship visibility</w:t>
      </w:r>
    </w:p>
    <w:p>
      <w:pPr>
        <w:pStyle w:val="Compact"/>
        <w:numPr>
          <w:ilvl w:val="0"/>
          <w:numId w:val="1009"/>
        </w:numPr>
      </w:pPr>
      <w:r>
        <w:t xml:space="preserve">Financial planning guidance</w:t>
      </w:r>
    </w:p>
    <w:bookmarkEnd w:id="27"/>
    <w:bookmarkStart w:id="28" w:name="X9f707e76239192a55bf9e6f021052cdd4cbab1d"/>
    <w:p>
      <w:pPr>
        <w:pStyle w:val="Heading3"/>
      </w:pPr>
      <w:r>
        <w:t xml:space="preserve">E. Application Funnel Tracking (Analytics-linked)</w:t>
      </w:r>
    </w:p>
    <w:p>
      <w:pPr>
        <w:pStyle w:val="Compact"/>
        <w:numPr>
          <w:ilvl w:val="0"/>
          <w:numId w:val="1010"/>
        </w:numPr>
      </w:pPr>
      <w:r>
        <w:t xml:space="preserve">View programme → Start application → Submit</w:t>
      </w:r>
    </w:p>
    <w:p>
      <w:pPr>
        <w:pStyle w:val="Compact"/>
        <w:numPr>
          <w:ilvl w:val="0"/>
          <w:numId w:val="1010"/>
        </w:numPr>
      </w:pPr>
      <w:r>
        <w:t xml:space="preserve">Drop-off analysis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information-architecture"/>
    <w:p>
      <w:pPr>
        <w:pStyle w:val="Heading2"/>
      </w:pPr>
      <w:r>
        <w:t xml:space="preserve">3. Information Architecture</w:t>
      </w:r>
    </w:p>
    <w:bookmarkStart w:id="30" w:name="admissions-landing-page"/>
    <w:p>
      <w:pPr>
        <w:pStyle w:val="Heading3"/>
      </w:pPr>
      <w:r>
        <w:t xml:space="preserve">Admissions Landing Page</w:t>
      </w:r>
    </w:p>
    <w:p>
      <w:pPr>
        <w:pStyle w:val="Compact"/>
        <w:numPr>
          <w:ilvl w:val="0"/>
          <w:numId w:val="1011"/>
        </w:numPr>
      </w:pPr>
      <w:r>
        <w:t xml:space="preserve">Value proposition (Why KAFU)</w:t>
      </w:r>
    </w:p>
    <w:p>
      <w:pPr>
        <w:pStyle w:val="Compact"/>
        <w:numPr>
          <w:ilvl w:val="0"/>
          <w:numId w:val="1011"/>
        </w:numPr>
      </w:pPr>
      <w:r>
        <w:t xml:space="preserve">Entry pathways</w:t>
      </w:r>
    </w:p>
    <w:p>
      <w:pPr>
        <w:pStyle w:val="Compact"/>
        <w:numPr>
          <w:ilvl w:val="0"/>
          <w:numId w:val="1011"/>
        </w:numPr>
      </w:pPr>
      <w:r>
        <w:t xml:space="preserve">Global CTA (Apply Now)</w:t>
      </w:r>
    </w:p>
    <w:p>
      <w:pPr>
        <w:pStyle w:val="Compact"/>
        <w:numPr>
          <w:ilvl w:val="0"/>
          <w:numId w:val="1011"/>
        </w:numPr>
      </w:pPr>
      <w:r>
        <w:t xml:space="preserve">Deadlines &amp; intake timelines</w:t>
      </w:r>
    </w:p>
    <w:bookmarkEnd w:id="30"/>
    <w:bookmarkStart w:id="31" w:name="study-pathways"/>
    <w:p>
      <w:pPr>
        <w:pStyle w:val="Heading3"/>
      </w:pPr>
      <w:r>
        <w:t xml:space="preserve">Study Pathways</w:t>
      </w:r>
    </w:p>
    <w:p>
      <w:pPr>
        <w:pStyle w:val="Compact"/>
        <w:numPr>
          <w:ilvl w:val="0"/>
          <w:numId w:val="1012"/>
        </w:numPr>
      </w:pPr>
      <w:r>
        <w:t xml:space="preserve">Undergraduate</w:t>
      </w:r>
    </w:p>
    <w:p>
      <w:pPr>
        <w:pStyle w:val="Compact"/>
        <w:numPr>
          <w:ilvl w:val="0"/>
          <w:numId w:val="1012"/>
        </w:numPr>
      </w:pPr>
      <w:r>
        <w:t xml:space="preserve">Postgraduate</w:t>
      </w:r>
    </w:p>
    <w:p>
      <w:pPr>
        <w:pStyle w:val="Compact"/>
        <w:numPr>
          <w:ilvl w:val="0"/>
          <w:numId w:val="1012"/>
        </w:numPr>
      </w:pPr>
      <w:r>
        <w:t xml:space="preserve">International</w:t>
      </w:r>
    </w:p>
    <w:p>
      <w:pPr>
        <w:pStyle w:val="Compact"/>
        <w:numPr>
          <w:ilvl w:val="0"/>
          <w:numId w:val="1012"/>
        </w:numPr>
      </w:pPr>
      <w:r>
        <w:t xml:space="preserve">Short courses</w:t>
      </w:r>
    </w:p>
    <w:bookmarkEnd w:id="31"/>
    <w:bookmarkStart w:id="32" w:name="how-to-apply-guided"/>
    <w:p>
      <w:pPr>
        <w:pStyle w:val="Heading3"/>
      </w:pPr>
      <w:r>
        <w:t xml:space="preserve">How to Apply (Guided)</w:t>
      </w:r>
    </w:p>
    <w:p>
      <w:pPr>
        <w:pStyle w:val="Compact"/>
        <w:numPr>
          <w:ilvl w:val="0"/>
          <w:numId w:val="1013"/>
        </w:numPr>
      </w:pPr>
      <w:r>
        <w:t xml:space="preserve">Step-by-step visual flow</w:t>
      </w:r>
    </w:p>
    <w:p>
      <w:pPr>
        <w:pStyle w:val="Compact"/>
        <w:numPr>
          <w:ilvl w:val="0"/>
          <w:numId w:val="1013"/>
        </w:numPr>
      </w:pPr>
      <w:r>
        <w:t xml:space="preserve">Required documents checklist</w:t>
      </w:r>
    </w:p>
    <w:bookmarkEnd w:id="32"/>
    <w:bookmarkStart w:id="33" w:name="fees-funding"/>
    <w:p>
      <w:pPr>
        <w:pStyle w:val="Heading3"/>
      </w:pPr>
      <w:r>
        <w:t xml:space="preserve">Fees &amp; Funding</w:t>
      </w:r>
    </w:p>
    <w:p>
      <w:pPr>
        <w:pStyle w:val="Compact"/>
        <w:numPr>
          <w:ilvl w:val="0"/>
          <w:numId w:val="1014"/>
        </w:numPr>
      </w:pPr>
      <w:r>
        <w:t xml:space="preserve">Transparent cost structures</w:t>
      </w:r>
    </w:p>
    <w:p>
      <w:pPr>
        <w:pStyle w:val="Compact"/>
        <w:numPr>
          <w:ilvl w:val="0"/>
          <w:numId w:val="1014"/>
        </w:numPr>
      </w:pPr>
      <w:r>
        <w:t xml:space="preserve">Scholarships / bursaries</w:t>
      </w:r>
    </w:p>
    <w:bookmarkEnd w:id="33"/>
    <w:bookmarkStart w:id="34" w:name="entry-requirements"/>
    <w:p>
      <w:pPr>
        <w:pStyle w:val="Heading3"/>
      </w:pPr>
      <w:r>
        <w:t xml:space="preserve">Entry Requirements</w:t>
      </w:r>
    </w:p>
    <w:p>
      <w:pPr>
        <w:pStyle w:val="Compact"/>
        <w:numPr>
          <w:ilvl w:val="0"/>
          <w:numId w:val="1015"/>
        </w:numPr>
      </w:pPr>
      <w:r>
        <w:t xml:space="preserve">Local + international mapping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ta-model-enhancements"/>
    <w:p>
      <w:pPr>
        <w:pStyle w:val="Heading2"/>
      </w:pPr>
      <w:r>
        <w:t xml:space="preserve">4. Data Model Enhancements</w:t>
      </w:r>
    </w:p>
    <w:bookmarkStart w:id="36" w:name="applicant-pathway"/>
    <w:p>
      <w:pPr>
        <w:pStyle w:val="Heading3"/>
      </w:pPr>
      <w:r>
        <w:t xml:space="preserve">Applicant Pathway</w:t>
      </w:r>
    </w:p>
    <w:p>
      <w:pPr>
        <w:pStyle w:val="Compact"/>
        <w:numPr>
          <w:ilvl w:val="0"/>
          <w:numId w:val="1016"/>
        </w:numPr>
      </w:pPr>
      <w:r>
        <w:t xml:space="preserve">Type</w:t>
      </w:r>
    </w:p>
    <w:p>
      <w:pPr>
        <w:pStyle w:val="Compact"/>
        <w:numPr>
          <w:ilvl w:val="0"/>
          <w:numId w:val="1016"/>
        </w:numPr>
      </w:pPr>
      <w:r>
        <w:t xml:space="preserve">Requirements</w:t>
      </w:r>
    </w:p>
    <w:p>
      <w:pPr>
        <w:pStyle w:val="Compact"/>
        <w:numPr>
          <w:ilvl w:val="0"/>
          <w:numId w:val="1016"/>
        </w:numPr>
      </w:pPr>
      <w:r>
        <w:t xml:space="preserve">Process steps</w:t>
      </w:r>
    </w:p>
    <w:bookmarkEnd w:id="36"/>
    <w:bookmarkStart w:id="37" w:name="eligibility-rules"/>
    <w:p>
      <w:pPr>
        <w:pStyle w:val="Heading3"/>
      </w:pPr>
      <w:r>
        <w:t xml:space="preserve">Eligibility Rules</w:t>
      </w:r>
    </w:p>
    <w:p>
      <w:pPr>
        <w:pStyle w:val="Compact"/>
        <w:numPr>
          <w:ilvl w:val="0"/>
          <w:numId w:val="1017"/>
        </w:numPr>
      </w:pPr>
      <w:r>
        <w:t xml:space="preserve">KCSE grades</w:t>
      </w:r>
    </w:p>
    <w:p>
      <w:pPr>
        <w:pStyle w:val="Compact"/>
        <w:numPr>
          <w:ilvl w:val="0"/>
          <w:numId w:val="1017"/>
        </w:numPr>
      </w:pPr>
      <w:r>
        <w:t xml:space="preserve">Equivalent qualifications</w:t>
      </w:r>
    </w:p>
    <w:bookmarkEnd w:id="37"/>
    <w:bookmarkStart w:id="38" w:name="fee-structures"/>
    <w:p>
      <w:pPr>
        <w:pStyle w:val="Heading3"/>
      </w:pPr>
      <w:r>
        <w:t xml:space="preserve">Fee Structures</w:t>
      </w:r>
    </w:p>
    <w:p>
      <w:pPr>
        <w:pStyle w:val="Compact"/>
        <w:numPr>
          <w:ilvl w:val="0"/>
          <w:numId w:val="1018"/>
        </w:numPr>
      </w:pPr>
      <w:r>
        <w:t xml:space="preserve">Tuition</w:t>
      </w:r>
    </w:p>
    <w:p>
      <w:pPr>
        <w:pStyle w:val="Compact"/>
        <w:numPr>
          <w:ilvl w:val="0"/>
          <w:numId w:val="1018"/>
        </w:numPr>
      </w:pPr>
      <w:r>
        <w:t xml:space="preserve">Accommodation</w:t>
      </w:r>
    </w:p>
    <w:p>
      <w:pPr>
        <w:pStyle w:val="Compact"/>
        <w:numPr>
          <w:ilvl w:val="0"/>
          <w:numId w:val="1018"/>
        </w:numPr>
      </w:pPr>
      <w:r>
        <w:t xml:space="preserve">Additional costs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version-optimization-requirements"/>
    <w:p>
      <w:pPr>
        <w:pStyle w:val="Heading2"/>
      </w:pPr>
      <w:r>
        <w:t xml:space="preserve">5. Conversion Optimization Requirements</w:t>
      </w:r>
    </w:p>
    <w:p>
      <w:pPr>
        <w:pStyle w:val="Compact"/>
        <w:numPr>
          <w:ilvl w:val="0"/>
          <w:numId w:val="1019"/>
        </w:numPr>
      </w:pPr>
      <w:r>
        <w:t xml:space="preserve">Sticky</w:t>
      </w:r>
      <w:r>
        <w:t xml:space="preserve"> </w:t>
      </w:r>
      <w:r>
        <w:t xml:space="preserve">“Apply Now”</w:t>
      </w:r>
      <w:r>
        <w:t xml:space="preserve"> </w:t>
      </w:r>
      <w:r>
        <w:t xml:space="preserve">CTA</w:t>
      </w:r>
    </w:p>
    <w:p>
      <w:pPr>
        <w:pStyle w:val="Compact"/>
        <w:numPr>
          <w:ilvl w:val="0"/>
          <w:numId w:val="1019"/>
        </w:numPr>
      </w:pPr>
      <w:r>
        <w:t xml:space="preserve">Quick enquiry forms</w:t>
      </w:r>
    </w:p>
    <w:p>
      <w:pPr>
        <w:pStyle w:val="Compact"/>
        <w:numPr>
          <w:ilvl w:val="0"/>
          <w:numId w:val="1019"/>
        </w:numPr>
      </w:pPr>
      <w:r>
        <w:t xml:space="preserve">WhatsApp/contact integration</w:t>
      </w:r>
    </w:p>
    <w:p>
      <w:pPr>
        <w:pStyle w:val="Compact"/>
        <w:numPr>
          <w:ilvl w:val="0"/>
          <w:numId w:val="1019"/>
        </w:numPr>
      </w:pPr>
      <w:r>
        <w:t xml:space="preserve">Downloadable application guides</w:t>
      </w:r>
    </w:p>
    <w:p>
      <w:r>
        <w:pict>
          <v:rect style="width:0;height:1.5pt" o:hralign="center" o:hrstd="t" o:hr="t"/>
        </w:pict>
      </w:r>
    </w:p>
    <w:bookmarkEnd w:id="40"/>
    <w:bookmarkStart w:id="41" w:name="global-benchmark-additions"/>
    <w:p>
      <w:pPr>
        <w:pStyle w:val="Heading2"/>
      </w:pPr>
      <w:r>
        <w:t xml:space="preserve">6. Global Benchmark Additions</w:t>
      </w:r>
    </w:p>
    <w:p>
      <w:pPr>
        <w:pStyle w:val="Compact"/>
        <w:numPr>
          <w:ilvl w:val="0"/>
          <w:numId w:val="1020"/>
        </w:numPr>
      </w:pPr>
      <w:r>
        <w:t xml:space="preserve">Country-specific admissions pages (future-ready)</w:t>
      </w:r>
    </w:p>
    <w:p>
      <w:pPr>
        <w:pStyle w:val="Compact"/>
        <w:numPr>
          <w:ilvl w:val="0"/>
          <w:numId w:val="1020"/>
        </w:numPr>
      </w:pPr>
      <w:r>
        <w:t xml:space="preserve">Visa guidance integration (links to International module)</w:t>
      </w:r>
    </w:p>
    <w:p>
      <w:pPr>
        <w:pStyle w:val="Compact"/>
        <w:numPr>
          <w:ilvl w:val="0"/>
          <w:numId w:val="1020"/>
        </w:numPr>
      </w:pPr>
      <w:r>
        <w:t xml:space="preserve">Programme comparison tool</w:t>
      </w:r>
    </w:p>
    <w:p>
      <w:r>
        <w:pict>
          <v:rect style="width:0;height:1.5pt" o:hralign="center" o:hrstd="t" o:hr="t"/>
        </w:pict>
      </w:r>
    </w:p>
    <w:bookmarkEnd w:id="41"/>
    <w:bookmarkStart w:id="42" w:name="acceptance-criteria"/>
    <w:p>
      <w:pPr>
        <w:pStyle w:val="Heading2"/>
      </w:pPr>
      <w:r>
        <w:t xml:space="preserve">7. Acceptance Criteria</w:t>
      </w:r>
    </w:p>
    <w:p>
      <w:pPr>
        <w:pStyle w:val="Compact"/>
        <w:numPr>
          <w:ilvl w:val="0"/>
          <w:numId w:val="1021"/>
        </w:numPr>
      </w:pPr>
      <w:r>
        <w:t xml:space="preserve">Applicant can move from discovery → decision → application seamlessly</w:t>
      </w:r>
    </w:p>
    <w:p>
      <w:pPr>
        <w:pStyle w:val="Compact"/>
        <w:numPr>
          <w:ilvl w:val="0"/>
          <w:numId w:val="1021"/>
        </w:numPr>
      </w:pPr>
      <w:r>
        <w:t xml:space="preserve">Eligibility clearly communicated</w:t>
      </w:r>
    </w:p>
    <w:p>
      <w:pPr>
        <w:pStyle w:val="Compact"/>
        <w:numPr>
          <w:ilvl w:val="0"/>
          <w:numId w:val="1021"/>
        </w:numPr>
      </w:pPr>
      <w:r>
        <w:t xml:space="preserve">Costs transparent</w:t>
      </w:r>
    </w:p>
    <w:p>
      <w:pPr>
        <w:pStyle w:val="Compact"/>
        <w:numPr>
          <w:ilvl w:val="0"/>
          <w:numId w:val="1021"/>
        </w:numPr>
      </w:pPr>
      <w:r>
        <w:t xml:space="preserve">Conversion measurable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3" w:name="X52d86079c98454cd8b3ddb79ec63274de8ea463"/>
    <w:p>
      <w:pPr>
        <w:pStyle w:val="Heading1"/>
      </w:pPr>
      <w:r>
        <w:t xml:space="preserve">PART B: ACADEMICS &amp; PROGRAMME CATALOGUE (INTELLIGENCE LAYER)</w:t>
      </w:r>
    </w:p>
    <w:bookmarkStart w:id="44" w:name="prompt-1"/>
    <w:p>
      <w:pPr>
        <w:pStyle w:val="Heading2"/>
      </w:pPr>
      <w:r>
        <w:t xml:space="preserve">Prompt</w:t>
      </w:r>
    </w:p>
    <w:p>
      <w:pPr>
        <w:pStyle w:val="FirstParagraph"/>
      </w:pPr>
      <w:r>
        <w:t xml:space="preserve">Redesign the Academics module into a</w:t>
      </w:r>
      <w:r>
        <w:t xml:space="preserve"> </w:t>
      </w:r>
      <w:r>
        <w:rPr>
          <w:b/>
          <w:bCs/>
        </w:rPr>
        <w:t xml:space="preserve">Programme Intelligence System</w:t>
      </w:r>
      <w:r>
        <w:t xml:space="preserve">, not just a listing.</w:t>
      </w:r>
    </w:p>
    <w:p>
      <w:r>
        <w:pict>
          <v:rect style="width:0;height:1.5pt" o:hralign="center" o:hrstd="t" o:hr="t"/>
        </w:pict>
      </w:r>
    </w:p>
    <w:bookmarkEnd w:id="44"/>
    <w:bookmarkStart w:id="45" w:name="strategic-shift-1"/>
    <w:p>
      <w:pPr>
        <w:pStyle w:val="Heading2"/>
      </w:pPr>
      <w:r>
        <w:t xml:space="preserve">1. Strategic Shift</w:t>
      </w:r>
    </w:p>
    <w:p>
      <w:pPr>
        <w:pStyle w:val="FirstParagraph"/>
      </w:pPr>
      <w:r>
        <w:t xml:space="preserve">From:</w:t>
      </w:r>
    </w:p>
    <w:p>
      <w:pPr>
        <w:pStyle w:val="Compact"/>
        <w:numPr>
          <w:ilvl w:val="0"/>
          <w:numId w:val="1022"/>
        </w:numPr>
      </w:pPr>
      <w:r>
        <w:t xml:space="preserve">Static programme pages</w:t>
      </w:r>
    </w:p>
    <w:p>
      <w:pPr>
        <w:pStyle w:val="FirstParagraph"/>
      </w:pPr>
      <w:r>
        <w:t xml:space="preserve">To:</w:t>
      </w:r>
    </w:p>
    <w:p>
      <w:pPr>
        <w:pStyle w:val="Compact"/>
        <w:numPr>
          <w:ilvl w:val="0"/>
          <w:numId w:val="1023"/>
        </w:numPr>
      </w:pPr>
      <w:r>
        <w:t xml:space="preserve">Structured academic intelligence layer</w:t>
      </w:r>
    </w:p>
    <w:p>
      <w:r>
        <w:pict>
          <v:rect style="width:0;height:1.5pt" o:hralign="center" o:hrstd="t" o:hr="t"/>
        </w:pict>
      </w:r>
    </w:p>
    <w:bookmarkEnd w:id="45"/>
    <w:bookmarkStart w:id="51" w:name="core-subsystems-1"/>
    <w:p>
      <w:pPr>
        <w:pStyle w:val="Heading2"/>
      </w:pPr>
      <w:r>
        <w:t xml:space="preserve">2. Core Subsystems</w:t>
      </w:r>
    </w:p>
    <w:bookmarkStart w:id="46" w:name="a.-programme-intelligence-engine"/>
    <w:p>
      <w:pPr>
        <w:pStyle w:val="Heading3"/>
      </w:pPr>
      <w:r>
        <w:t xml:space="preserve">A. Programme Intelligence Engine</w:t>
      </w:r>
    </w:p>
    <w:p>
      <w:pPr>
        <w:pStyle w:val="FirstParagraph"/>
      </w:pPr>
      <w:r>
        <w:t xml:space="preserve">Each programme must include:</w:t>
      </w:r>
    </w:p>
    <w:p>
      <w:pPr>
        <w:pStyle w:val="Compact"/>
        <w:numPr>
          <w:ilvl w:val="0"/>
          <w:numId w:val="1024"/>
        </w:numPr>
      </w:pPr>
      <w:r>
        <w:t xml:space="preserve">Learning outcomes</w:t>
      </w:r>
    </w:p>
    <w:p>
      <w:pPr>
        <w:pStyle w:val="Compact"/>
        <w:numPr>
          <w:ilvl w:val="0"/>
          <w:numId w:val="1024"/>
        </w:numPr>
      </w:pPr>
      <w:r>
        <w:t xml:space="preserve">Career pathways</w:t>
      </w:r>
    </w:p>
    <w:p>
      <w:pPr>
        <w:pStyle w:val="Compact"/>
        <w:numPr>
          <w:ilvl w:val="0"/>
          <w:numId w:val="1024"/>
        </w:numPr>
      </w:pPr>
      <w:r>
        <w:t xml:space="preserve">Accreditation status</w:t>
      </w:r>
    </w:p>
    <w:p>
      <w:pPr>
        <w:pStyle w:val="Compact"/>
        <w:numPr>
          <w:ilvl w:val="0"/>
          <w:numId w:val="1024"/>
        </w:numPr>
      </w:pPr>
      <w:r>
        <w:t xml:space="preserve">Entry requirements</w:t>
      </w:r>
    </w:p>
    <w:p>
      <w:pPr>
        <w:pStyle w:val="Compact"/>
        <w:numPr>
          <w:ilvl w:val="0"/>
          <w:numId w:val="1024"/>
        </w:numPr>
      </w:pPr>
      <w:r>
        <w:t xml:space="preserve">Fee structure</w:t>
      </w:r>
    </w:p>
    <w:bookmarkEnd w:id="46"/>
    <w:bookmarkStart w:id="47" w:name="b.-programme-discovery-engine"/>
    <w:p>
      <w:pPr>
        <w:pStyle w:val="Heading3"/>
      </w:pPr>
      <w:r>
        <w:t xml:space="preserve">B. Programme Discovery Engine</w:t>
      </w:r>
    </w:p>
    <w:p>
      <w:pPr>
        <w:pStyle w:val="Compact"/>
        <w:numPr>
          <w:ilvl w:val="0"/>
          <w:numId w:val="1025"/>
        </w:numPr>
      </w:pPr>
      <w:r>
        <w:t xml:space="preserve">Advanced filtering:</w:t>
      </w:r>
    </w:p>
    <w:p>
      <w:pPr>
        <w:pStyle w:val="Compact"/>
        <w:numPr>
          <w:ilvl w:val="1"/>
          <w:numId w:val="1026"/>
        </w:numPr>
      </w:pPr>
      <w:r>
        <w:t xml:space="preserve">Faculty</w:t>
      </w:r>
    </w:p>
    <w:p>
      <w:pPr>
        <w:pStyle w:val="Compact"/>
        <w:numPr>
          <w:ilvl w:val="1"/>
          <w:numId w:val="1026"/>
        </w:numPr>
      </w:pPr>
      <w:r>
        <w:t xml:space="preserve">Level</w:t>
      </w:r>
    </w:p>
    <w:p>
      <w:pPr>
        <w:pStyle w:val="Compact"/>
        <w:numPr>
          <w:ilvl w:val="1"/>
          <w:numId w:val="1026"/>
        </w:numPr>
      </w:pPr>
      <w:r>
        <w:t xml:space="preserve">Career outcome</w:t>
      </w:r>
    </w:p>
    <w:p>
      <w:pPr>
        <w:pStyle w:val="Compact"/>
        <w:numPr>
          <w:ilvl w:val="1"/>
          <w:numId w:val="1026"/>
        </w:numPr>
      </w:pPr>
      <w:r>
        <w:t xml:space="preserve">Duration</w:t>
      </w:r>
    </w:p>
    <w:bookmarkEnd w:id="47"/>
    <w:bookmarkStart w:id="48" w:name="c.-programme-comparison-tool"/>
    <w:p>
      <w:pPr>
        <w:pStyle w:val="Heading3"/>
      </w:pPr>
      <w:r>
        <w:t xml:space="preserve">C. Programme Comparison Tool</w:t>
      </w:r>
    </w:p>
    <w:p>
      <w:pPr>
        <w:pStyle w:val="Compact"/>
        <w:numPr>
          <w:ilvl w:val="0"/>
          <w:numId w:val="1027"/>
        </w:numPr>
      </w:pPr>
      <w:r>
        <w:t xml:space="preserve">Compare 2–3 programmes side-by-side</w:t>
      </w:r>
    </w:p>
    <w:bookmarkEnd w:id="48"/>
    <w:bookmarkStart w:id="49" w:name="d.-faculty-integration"/>
    <w:p>
      <w:pPr>
        <w:pStyle w:val="Heading3"/>
      </w:pPr>
      <w:r>
        <w:t xml:space="preserve">D. Faculty Integration</w:t>
      </w:r>
    </w:p>
    <w:p>
      <w:pPr>
        <w:pStyle w:val="Compact"/>
        <w:numPr>
          <w:ilvl w:val="0"/>
          <w:numId w:val="1028"/>
        </w:numPr>
      </w:pPr>
      <w:r>
        <w:t xml:space="preserve">Linked lecturers (Academic Profiles)</w:t>
      </w:r>
    </w:p>
    <w:p>
      <w:pPr>
        <w:pStyle w:val="Compact"/>
        <w:numPr>
          <w:ilvl w:val="0"/>
          <w:numId w:val="1028"/>
        </w:numPr>
      </w:pPr>
      <w:r>
        <w:t xml:space="preserve">Research output per programme</w:t>
      </w:r>
    </w:p>
    <w:bookmarkEnd w:id="49"/>
    <w:bookmarkStart w:id="50" w:name="e.-industry-employability-layer"/>
    <w:p>
      <w:pPr>
        <w:pStyle w:val="Heading3"/>
      </w:pPr>
      <w:r>
        <w:t xml:space="preserve">E. Industry &amp; Employability Layer</w:t>
      </w:r>
    </w:p>
    <w:p>
      <w:pPr>
        <w:pStyle w:val="Compact"/>
        <w:numPr>
          <w:ilvl w:val="0"/>
          <w:numId w:val="1029"/>
        </w:numPr>
      </w:pPr>
      <w:r>
        <w:t xml:space="preserve">Job roles</w:t>
      </w:r>
    </w:p>
    <w:p>
      <w:pPr>
        <w:pStyle w:val="Compact"/>
        <w:numPr>
          <w:ilvl w:val="0"/>
          <w:numId w:val="1029"/>
        </w:numPr>
      </w:pPr>
      <w:r>
        <w:t xml:space="preserve">Industry relevance</w:t>
      </w:r>
    </w:p>
    <w:p>
      <w:pPr>
        <w:pStyle w:val="Compact"/>
        <w:numPr>
          <w:ilvl w:val="0"/>
          <w:numId w:val="1029"/>
        </w:numPr>
      </w:pPr>
      <w:r>
        <w:t xml:space="preserve">Graduate pathways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programme-page-global-standard"/>
    <w:p>
      <w:pPr>
        <w:pStyle w:val="Heading2"/>
      </w:pPr>
      <w:r>
        <w:t xml:space="preserve">3. Programme Page (Global Standard)</w:t>
      </w:r>
    </w:p>
    <w:bookmarkStart w:id="52" w:name="structure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30"/>
        </w:numPr>
      </w:pPr>
      <w:r>
        <w:t xml:space="preserve">Overview</w:t>
      </w:r>
    </w:p>
    <w:p>
      <w:pPr>
        <w:pStyle w:val="Compact"/>
        <w:numPr>
          <w:ilvl w:val="0"/>
          <w:numId w:val="1030"/>
        </w:numPr>
      </w:pPr>
      <w:r>
        <w:t xml:space="preserve">Learning Outcomes</w:t>
      </w:r>
    </w:p>
    <w:p>
      <w:pPr>
        <w:pStyle w:val="Compact"/>
        <w:numPr>
          <w:ilvl w:val="0"/>
          <w:numId w:val="1030"/>
        </w:numPr>
      </w:pPr>
      <w:r>
        <w:t xml:space="preserve">Career Opportunities</w:t>
      </w:r>
    </w:p>
    <w:p>
      <w:pPr>
        <w:pStyle w:val="Compact"/>
        <w:numPr>
          <w:ilvl w:val="0"/>
          <w:numId w:val="1030"/>
        </w:numPr>
      </w:pPr>
      <w:r>
        <w:t xml:space="preserve">Entry Requirements</w:t>
      </w:r>
    </w:p>
    <w:p>
      <w:pPr>
        <w:pStyle w:val="Compact"/>
        <w:numPr>
          <w:ilvl w:val="0"/>
          <w:numId w:val="1030"/>
        </w:numPr>
      </w:pPr>
      <w:r>
        <w:t xml:space="preserve">Course Structure</w:t>
      </w:r>
    </w:p>
    <w:p>
      <w:pPr>
        <w:pStyle w:val="Compact"/>
        <w:numPr>
          <w:ilvl w:val="0"/>
          <w:numId w:val="1030"/>
        </w:numPr>
      </w:pPr>
      <w:r>
        <w:t xml:space="preserve">Fees</w:t>
      </w:r>
    </w:p>
    <w:p>
      <w:pPr>
        <w:pStyle w:val="Compact"/>
        <w:numPr>
          <w:ilvl w:val="0"/>
          <w:numId w:val="1030"/>
        </w:numPr>
      </w:pPr>
      <w:r>
        <w:t xml:space="preserve">Faculty (linked)</w:t>
      </w:r>
    </w:p>
    <w:p>
      <w:pPr>
        <w:pStyle w:val="Compact"/>
        <w:numPr>
          <w:ilvl w:val="0"/>
          <w:numId w:val="1030"/>
        </w:numPr>
      </w:pPr>
      <w:r>
        <w:t xml:space="preserve">Research (linked)</w:t>
      </w:r>
    </w:p>
    <w:p>
      <w:pPr>
        <w:pStyle w:val="Compact"/>
        <w:numPr>
          <w:ilvl w:val="0"/>
          <w:numId w:val="1030"/>
        </w:numPr>
      </w:pPr>
      <w:r>
        <w:t xml:space="preserve">Apply CTA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data-model-enhancements-1"/>
    <w:p>
      <w:pPr>
        <w:pStyle w:val="Heading2"/>
      </w:pPr>
      <w:r>
        <w:t xml:space="preserve">4. Data Model Enhancements</w:t>
      </w:r>
    </w:p>
    <w:bookmarkStart w:id="54" w:name="programme-entity-enhanced"/>
    <w:p>
      <w:pPr>
        <w:pStyle w:val="Heading3"/>
      </w:pPr>
      <w:r>
        <w:t xml:space="preserve">Programme Entity (Enhanced)</w:t>
      </w:r>
    </w:p>
    <w:p>
      <w:pPr>
        <w:pStyle w:val="Compact"/>
        <w:numPr>
          <w:ilvl w:val="0"/>
          <w:numId w:val="1031"/>
        </w:numPr>
      </w:pPr>
      <w:r>
        <w:t xml:space="preserve">Learning outcomes</w:t>
      </w:r>
    </w:p>
    <w:p>
      <w:pPr>
        <w:pStyle w:val="Compact"/>
        <w:numPr>
          <w:ilvl w:val="0"/>
          <w:numId w:val="1031"/>
        </w:numPr>
      </w:pPr>
      <w:r>
        <w:t xml:space="preserve">Career pathways</w:t>
      </w:r>
    </w:p>
    <w:p>
      <w:pPr>
        <w:pStyle w:val="Compact"/>
        <w:numPr>
          <w:ilvl w:val="0"/>
          <w:numId w:val="1031"/>
        </w:numPr>
      </w:pPr>
      <w:r>
        <w:t xml:space="preserve">Accreditation</w:t>
      </w:r>
    </w:p>
    <w:p>
      <w:pPr>
        <w:pStyle w:val="Compact"/>
        <w:numPr>
          <w:ilvl w:val="0"/>
          <w:numId w:val="1031"/>
        </w:numPr>
      </w:pPr>
      <w:r>
        <w:t xml:space="preserve">Duration</w:t>
      </w:r>
    </w:p>
    <w:p>
      <w:pPr>
        <w:pStyle w:val="Compact"/>
        <w:numPr>
          <w:ilvl w:val="0"/>
          <w:numId w:val="1031"/>
        </w:numPr>
      </w:pPr>
      <w:r>
        <w:t xml:space="preserve">Mode (full-time, part-time)</w:t>
      </w:r>
    </w:p>
    <w:bookmarkEnd w:id="54"/>
    <w:bookmarkStart w:id="55" w:name="course-structure"/>
    <w:p>
      <w:pPr>
        <w:pStyle w:val="Heading3"/>
      </w:pPr>
      <w:r>
        <w:t xml:space="preserve">Course Structure</w:t>
      </w:r>
    </w:p>
    <w:p>
      <w:pPr>
        <w:pStyle w:val="Compact"/>
        <w:numPr>
          <w:ilvl w:val="0"/>
          <w:numId w:val="1032"/>
        </w:numPr>
      </w:pPr>
      <w:r>
        <w:t xml:space="preserve">Units per year/semester</w:t>
      </w:r>
    </w:p>
    <w:bookmarkEnd w:id="55"/>
    <w:bookmarkStart w:id="56" w:name="employability-data"/>
    <w:p>
      <w:pPr>
        <w:pStyle w:val="Heading3"/>
      </w:pPr>
      <w:r>
        <w:t xml:space="preserve">Employability Data</w:t>
      </w:r>
    </w:p>
    <w:p>
      <w:pPr>
        <w:pStyle w:val="Compact"/>
        <w:numPr>
          <w:ilvl w:val="0"/>
          <w:numId w:val="1033"/>
        </w:numPr>
      </w:pPr>
      <w:r>
        <w:t xml:space="preserve">Job roles</w:t>
      </w:r>
    </w:p>
    <w:p>
      <w:pPr>
        <w:pStyle w:val="Compact"/>
        <w:numPr>
          <w:ilvl w:val="0"/>
          <w:numId w:val="1033"/>
        </w:numPr>
      </w:pPr>
      <w:r>
        <w:t xml:space="preserve">Industry sectors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integration-requirements"/>
    <w:p>
      <w:pPr>
        <w:pStyle w:val="Heading2"/>
      </w:pPr>
      <w:r>
        <w:t xml:space="preserve">5. Integration Requirements</w:t>
      </w:r>
    </w:p>
    <w:p>
      <w:pPr>
        <w:pStyle w:val="Compact"/>
        <w:numPr>
          <w:ilvl w:val="0"/>
          <w:numId w:val="1034"/>
        </w:numPr>
      </w:pPr>
      <w:r>
        <w:t xml:space="preserve">Admissions (entry + apply)</w:t>
      </w:r>
    </w:p>
    <w:p>
      <w:pPr>
        <w:pStyle w:val="Compact"/>
        <w:numPr>
          <w:ilvl w:val="0"/>
          <w:numId w:val="1034"/>
        </w:numPr>
      </w:pPr>
      <w:r>
        <w:t xml:space="preserve">Academic Profiles (faculty)</w:t>
      </w:r>
    </w:p>
    <w:p>
      <w:pPr>
        <w:pStyle w:val="Compact"/>
        <w:numPr>
          <w:ilvl w:val="0"/>
          <w:numId w:val="1034"/>
        </w:numPr>
      </w:pPr>
      <w:r>
        <w:t xml:space="preserve">RIMS-lite (research)</w:t>
      </w:r>
    </w:p>
    <w:p>
      <w:pPr>
        <w:pStyle w:val="Compact"/>
        <w:numPr>
          <w:ilvl w:val="0"/>
          <w:numId w:val="1034"/>
        </w:numPr>
      </w:pPr>
      <w:r>
        <w:t xml:space="preserve">International (global students)</w:t>
      </w:r>
    </w:p>
    <w:p>
      <w:r>
        <w:pict>
          <v:rect style="width:0;height:1.5pt" o:hralign="center" o:hrstd="t" o:hr="t"/>
        </w:pict>
      </w:r>
    </w:p>
    <w:bookmarkEnd w:id="58"/>
    <w:bookmarkStart w:id="59" w:name="global-benchmark-features"/>
    <w:p>
      <w:pPr>
        <w:pStyle w:val="Heading2"/>
      </w:pPr>
      <w:r>
        <w:t xml:space="preserve">6. Global Benchmark Features</w:t>
      </w:r>
    </w:p>
    <w:p>
      <w:pPr>
        <w:pStyle w:val="Compact"/>
        <w:numPr>
          <w:ilvl w:val="0"/>
          <w:numId w:val="1035"/>
        </w:numPr>
      </w:pPr>
      <w:r>
        <w:t xml:space="preserve">Programme SEO optimization</w:t>
      </w:r>
    </w:p>
    <w:p>
      <w:pPr>
        <w:pStyle w:val="Compact"/>
        <w:numPr>
          <w:ilvl w:val="0"/>
          <w:numId w:val="1035"/>
        </w:numPr>
      </w:pPr>
      <w:r>
        <w:t xml:space="preserve">Rich structured data (Course schema)</w:t>
      </w:r>
    </w:p>
    <w:p>
      <w:pPr>
        <w:pStyle w:val="Compact"/>
        <w:numPr>
          <w:ilvl w:val="0"/>
          <w:numId w:val="1035"/>
        </w:numPr>
      </w:pPr>
      <w:r>
        <w:t xml:space="preserve">Programme ranking signals (future)</w:t>
      </w:r>
    </w:p>
    <w:p>
      <w:r>
        <w:pict>
          <v:rect style="width:0;height:1.5pt" o:hralign="center" o:hrstd="t" o:hr="t"/>
        </w:pict>
      </w:r>
    </w:p>
    <w:bookmarkEnd w:id="59"/>
    <w:bookmarkStart w:id="60" w:name="acceptance-criteria-1"/>
    <w:p>
      <w:pPr>
        <w:pStyle w:val="Heading2"/>
      </w:pPr>
      <w:r>
        <w:t xml:space="preserve">7. Acceptance Criteria</w:t>
      </w:r>
    </w:p>
    <w:p>
      <w:pPr>
        <w:pStyle w:val="Compact"/>
        <w:numPr>
          <w:ilvl w:val="0"/>
          <w:numId w:val="1036"/>
        </w:numPr>
      </w:pPr>
      <w:r>
        <w:t xml:space="preserve">Programmes are discoverable and comparable</w:t>
      </w:r>
    </w:p>
    <w:p>
      <w:pPr>
        <w:pStyle w:val="Compact"/>
        <w:numPr>
          <w:ilvl w:val="0"/>
          <w:numId w:val="1036"/>
        </w:numPr>
      </w:pPr>
      <w:r>
        <w:t xml:space="preserve">Academic + career value clearly communicated</w:t>
      </w:r>
    </w:p>
    <w:p>
      <w:pPr>
        <w:pStyle w:val="Compact"/>
        <w:numPr>
          <w:ilvl w:val="0"/>
          <w:numId w:val="1036"/>
        </w:numPr>
      </w:pPr>
      <w:r>
        <w:t xml:space="preserve">Linked to faculty and research</w:t>
      </w:r>
    </w:p>
    <w:p>
      <w:pPr>
        <w:pStyle w:val="Compact"/>
        <w:numPr>
          <w:ilvl w:val="0"/>
          <w:numId w:val="1036"/>
        </w:numPr>
      </w:pPr>
      <w:r>
        <w:t xml:space="preserve">Drives admissions conversion</w:t>
      </w:r>
    </w:p>
    <w:p>
      <w:r>
        <w:pict>
          <v:rect style="width:0;height:1.5pt" o:hralign="center" o:hrstd="t" o:hr="t"/>
        </w:pict>
      </w:r>
    </w:p>
    <w:bookmarkEnd w:id="60"/>
    <w:bookmarkStart w:id="61" w:name="strategic-impact"/>
    <w:p>
      <w:pPr>
        <w:pStyle w:val="Heading2"/>
      </w:pPr>
      <w:r>
        <w:t xml:space="preserve">8. Strategic Impact</w:t>
      </w:r>
    </w:p>
    <w:p>
      <w:pPr>
        <w:pStyle w:val="FirstParagraph"/>
      </w:pPr>
      <w:r>
        <w:t xml:space="preserve">These upgrades transform:</w:t>
      </w:r>
    </w:p>
    <w:p>
      <w:pPr>
        <w:pStyle w:val="BodyText"/>
      </w:pPr>
      <w:r>
        <w:t xml:space="preserve">Admissions →</w:t>
      </w:r>
      <w:r>
        <w:t xml:space="preserve"> </w:t>
      </w:r>
      <w:r>
        <w:rPr>
          <w:b/>
          <w:bCs/>
        </w:rPr>
        <w:t xml:space="preserve">Conversion Engine</w:t>
      </w:r>
      <w:r>
        <w:t xml:space="preserve"> </w:t>
      </w:r>
      <w:r>
        <w:t xml:space="preserve">Academics →</w:t>
      </w:r>
      <w:r>
        <w:t xml:space="preserve"> </w:t>
      </w:r>
      <w:r>
        <w:rPr>
          <w:b/>
          <w:bCs/>
        </w:rPr>
        <w:t xml:space="preserve">Decision Intelligence Layer</w:t>
      </w:r>
    </w:p>
    <w:p>
      <w:pPr>
        <w:pStyle w:val="BodyText"/>
      </w:pPr>
      <w:r>
        <w:t xml:space="preserve">Together, they directly impact:</w:t>
      </w:r>
    </w:p>
    <w:p>
      <w:pPr>
        <w:pStyle w:val="Compact"/>
        <w:numPr>
          <w:ilvl w:val="0"/>
          <w:numId w:val="1037"/>
        </w:numPr>
      </w:pPr>
      <w:r>
        <w:t xml:space="preserve">student acquisition</w:t>
      </w:r>
    </w:p>
    <w:p>
      <w:pPr>
        <w:pStyle w:val="Compact"/>
        <w:numPr>
          <w:ilvl w:val="0"/>
          <w:numId w:val="1037"/>
        </w:numPr>
      </w:pPr>
      <w:r>
        <w:t xml:space="preserve">global competitiveness</w:t>
      </w:r>
    </w:p>
    <w:p>
      <w:pPr>
        <w:pStyle w:val="Compact"/>
        <w:numPr>
          <w:ilvl w:val="0"/>
          <w:numId w:val="1037"/>
        </w:numPr>
      </w:pPr>
      <w:r>
        <w:t xml:space="preserve">employer perception</w:t>
      </w:r>
    </w:p>
    <w:p>
      <w:pPr>
        <w:pStyle w:val="Compact"/>
        <w:numPr>
          <w:ilvl w:val="0"/>
          <w:numId w:val="1037"/>
        </w:numPr>
      </w:pPr>
      <w:r>
        <w:t xml:space="preserve">ranking signals</w:t>
      </w:r>
    </w:p>
    <w:p>
      <w:r>
        <w:pict>
          <v:rect style="width:0;height:1.5pt" o:hralign="center" o:hrstd="t" o:hr="t"/>
        </w:pict>
      </w:r>
    </w:p>
    <w:bookmarkEnd w:id="61"/>
    <w:bookmarkStart w:id="62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These modules are now aligned with:</w:t>
      </w:r>
    </w:p>
    <w:p>
      <w:pPr>
        <w:pStyle w:val="Compact"/>
        <w:numPr>
          <w:ilvl w:val="0"/>
          <w:numId w:val="1038"/>
        </w:numPr>
      </w:pPr>
      <w:r>
        <w:t xml:space="preserve">Cambridge-style academic transparency</w:t>
      </w:r>
    </w:p>
    <w:p>
      <w:pPr>
        <w:pStyle w:val="Compact"/>
        <w:numPr>
          <w:ilvl w:val="0"/>
          <w:numId w:val="1038"/>
        </w:numPr>
      </w:pPr>
      <w:r>
        <w:t xml:space="preserve">Yale-style programme storytelling</w:t>
      </w:r>
    </w:p>
    <w:p>
      <w:pPr>
        <w:pStyle w:val="Compact"/>
        <w:numPr>
          <w:ilvl w:val="0"/>
          <w:numId w:val="1038"/>
        </w:numPr>
      </w:pPr>
      <w:r>
        <w:t xml:space="preserve">Modern conversion-focused digital strategy</w:t>
      </w:r>
    </w:p>
    <w:p>
      <w:pPr>
        <w:pStyle w:val="FirstParagraph"/>
      </w:pPr>
      <w:r>
        <w:t xml:space="preserve">They must be treated as high-priority modules in implementation sequencing.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2026-06-11T10:54:06Z</dcterms:created>
  <dcterms:modified xsi:type="dcterms:W3CDTF">2026-06-11T10:54:06Z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