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a65699fa1c3374c31ecc91bf440234a2e378a33"/>
    <w:p>
      <w:pPr>
        <w:pStyle w:val="Heading1"/>
      </w:pPr>
      <w:r>
        <w:t xml:space="preserve">MASTER PROMPT — MODULE 11: Costing, Budgeting &amp; Forecasts (Cost‑to‑Serve • Opex/Capex • Rolling Forecasts)</w:t>
      </w:r>
    </w:p>
    <w:p>
      <w:pPr>
        <w:pStyle w:val="BlockText"/>
      </w:pPr>
      <w:r>
        <w:t xml:space="preserve">Generate a</w:t>
      </w:r>
      <w:r>
        <w:t xml:space="preserve"> </w:t>
      </w:r>
      <w:r>
        <w:rPr>
          <w:b/>
          <w:bCs/>
        </w:rPr>
        <w:t xml:space="preserve">runnable, production‑grade Costing, Budgeting &amp; Forecasts module</w:t>
      </w:r>
      <w:r>
        <w:t xml:space="preserve"> </w:t>
      </w:r>
      <w:r>
        <w:t xml:space="preserve">integrated with Modules 01–10 in the same mono‑repo: Backend (Laravel 11, PHP 8.3+), DB (PostgreSQL 16 + PostGIS 3.4), Frontend (React 18 + TypeScript + Vite + Tailwind + shadcn/ui + TanStack Query/Table + React Hook Form + Zod + MapLibre), Mobile (Flutter 3 optional for approvals), Messaging (Redis queues), Files (S3/MinIO), Auth (Sanctum/JWT + TOTP 2FA), Observability (OpenTelemetry). Timezone: EAT (UTC+03:00). Align with utility accounting practices (Opex/Capex, cost centers, projects) and connect to</w:t>
      </w:r>
      <w:r>
        <w:t xml:space="preserve"> </w:t>
      </w:r>
      <w:r>
        <w:rPr>
          <w:b/>
          <w:bCs/>
        </w:rPr>
        <w:t xml:space="preserve">NRW/Energy (Module 03)</w:t>
      </w:r>
      <w:r>
        <w:t xml:space="preserve">,</w:t>
      </w:r>
      <w:r>
        <w:t xml:space="preserve"> </w:t>
      </w:r>
      <w:r>
        <w:rPr>
          <w:b/>
          <w:bCs/>
        </w:rPr>
        <w:t xml:space="preserve">Asset/CMMS (Module 04)</w:t>
      </w:r>
      <w:r>
        <w:t xml:space="preserve">,</w:t>
      </w:r>
      <w:r>
        <w:t xml:space="preserve"> </w:t>
      </w:r>
      <w:r>
        <w:rPr>
          <w:b/>
          <w:bCs/>
        </w:rPr>
        <w:t xml:space="preserve">CRM/Billing (Module 07)</w:t>
      </w:r>
      <w:r>
        <w:t xml:space="preserve">,</w:t>
      </w:r>
      <w:r>
        <w:t xml:space="preserve"> </w:t>
      </w:r>
      <w:r>
        <w:rPr>
          <w:b/>
          <w:bCs/>
        </w:rPr>
        <w:t xml:space="preserve">Procurement (Module 10)</w:t>
      </w:r>
      <w:r>
        <w:t xml:space="preserve">,</w:t>
      </w:r>
      <w:r>
        <w:t xml:space="preserve"> </w:t>
      </w:r>
      <w:r>
        <w:rPr>
          <w:b/>
          <w:bCs/>
        </w:rPr>
        <w:t xml:space="preserve">Projects (Module 09)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outcomes-acceptance"/>
    <w:p>
      <w:pPr>
        <w:pStyle w:val="Heading2"/>
      </w:pPr>
      <w:r>
        <w:t xml:space="preserve">0) Outcomes (Acceptance)</w:t>
      </w:r>
    </w:p>
    <w:p>
      <w:pPr>
        <w:pStyle w:val="Compact"/>
        <w:numPr>
          <w:ilvl w:val="0"/>
          <w:numId w:val="1001"/>
        </w:numPr>
      </w:pPr>
      <w:r>
        <w:t xml:space="preserve">End‑to‑end</w:t>
      </w:r>
      <w:r>
        <w:t xml:space="preserve"> </w:t>
      </w:r>
      <w:r>
        <w:rPr>
          <w:b/>
          <w:bCs/>
        </w:rPr>
        <w:t xml:space="preserve">budgeting &amp; forecasting</w:t>
      </w:r>
      <w:r>
        <w:t xml:space="preserve">: annual budgets with revisions, monthly phasing, rolling forecasts, scenario planning.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Cost accounting &amp; cost‑to‑serve</w:t>
      </w:r>
      <w:r>
        <w:t xml:space="preserve">: allocate Opex/Capex to schemes/DMAs/customer classes via drivers (volume, connections, pipe‑km, head, pump hours, tickets, staff time), ABC support.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Energy &amp; chemical costing</w:t>
      </w:r>
      <w:r>
        <w:t xml:space="preserve">: kWh/m³, KES/m³, tariff bands (peak/off‑peak), chemical dose cost per m³; opportunity/savings finder.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Variance analysis</w:t>
      </w:r>
      <w:r>
        <w:t xml:space="preserve">: plan vs actual (and forecast), price vs quantity variances, WAP (weighted average price) for inventory, commitments from Procurement (encumbrances).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Integrations</w:t>
      </w:r>
      <w:r>
        <w:t xml:space="preserve">: ingest GL/ledger extracts, procurement encumbrances, CMMS stock issues, NRW/Energy KPIs, billing revenue; export summary to finance.</w:t>
      </w:r>
    </w:p>
    <w:p>
      <w:pPr>
        <w:pStyle w:val="Compact"/>
        <w:numPr>
          <w:ilvl w:val="0"/>
          <w:numId w:val="1001"/>
        </w:numPr>
      </w:pPr>
      <w:r>
        <w:t xml:space="preserve">Dashboards &amp; reports: cost per m³ by scheme/DMA, cost‑to‑serve by class, budget utilization, forecast accuracy, EV vs budget for projects.</w:t>
      </w:r>
    </w:p>
    <w:p>
      <w:pPr>
        <w:pStyle w:val="Compact"/>
        <w:numPr>
          <w:ilvl w:val="0"/>
          <w:numId w:val="1001"/>
        </w:numPr>
      </w:pPr>
      <w:r>
        <w:t xml:space="preserve">Tests, e2e, CI; OTEL spans. Seeded demo shows budget→commitments→actuals→variance→reforecast loop.</w:t>
      </w:r>
    </w:p>
    <w:p>
      <w:pPr>
        <w:pStyle w:val="BlockText"/>
      </w:pPr>
      <w:r>
        <w:t xml:space="preserve">Done when: budgets exist with versions; allocations compute cost‑per‑m³ by scheme/DMA; energy/chemical costs flow into KPIs; variance dashboards render; scenarios compare; export available.</w:t>
      </w:r>
    </w:p>
    <w:p>
      <w:r>
        <w:pict>
          <v:rect style="width:0;height:1.5pt" o:hralign="center" o:hrstd="t" o:hr="t"/>
        </w:pict>
      </w:r>
    </w:p>
    <w:bookmarkEnd w:id="20"/>
    <w:bookmarkStart w:id="28" w:name="data-model-erd"/>
    <w:p>
      <w:pPr>
        <w:pStyle w:val="Heading2"/>
      </w:pPr>
      <w:r>
        <w:t xml:space="preserve">1) Data Model (ERD)</w:t>
      </w:r>
    </w:p>
    <w:bookmarkStart w:id="21" w:name="master-structure"/>
    <w:p>
      <w:pPr>
        <w:pStyle w:val="Heading3"/>
      </w:pPr>
      <w:r>
        <w:t xml:space="preserve">Master &amp; Structure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gl_accounts(id, tenant_id, code text unique, name, type enum['revenue','opex','capex','inventory','cogs','other'], parent_id null)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cost_centers(id, tenant_id, code, name, parent_id null, owner_id)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drivers(id, tenant_id, code, name, formula text, unit text, source enum['static','sql','api'], params jsonb)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driver_values(id, driver_id, period date, value numeric, scope enum['tenant','scheme','dma','class'], scope_id null)</w:t>
      </w:r>
    </w:p>
    <w:bookmarkEnd w:id="21"/>
    <w:bookmarkStart w:id="22" w:name="budgets-forecasts"/>
    <w:p>
      <w:pPr>
        <w:pStyle w:val="Heading3"/>
      </w:pPr>
      <w:r>
        <w:t xml:space="preserve">Budgets &amp; Forecasts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budget_versions(id, tenant_id, name, fiscal_year int, status enum['draft','approved','revised','archived'], is_rolling bool default false, base_version_id null)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budget_lines(id, version_id, cost_center_id, gl_account_id, project_id null, scheme_id null, dma_id null, class enum['domestic','commercial','institutional','kiosk'] null, period date, amount numeric)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forecasts(id, tenant_id, name, method enum['manual','naive','ets','arima','prophet_stub'], horizon_months int, base_version_id null, created_by, created_at)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forecast_lines(id, forecast_id, cost_center_id, gl_account_id, scheme_id null, dma_id null, class null, period date, amount numeric, method_meta jsonb)</w:t>
      </w:r>
    </w:p>
    <w:bookmarkEnd w:id="22"/>
    <w:bookmarkStart w:id="23" w:name="actuals-commitments"/>
    <w:p>
      <w:pPr>
        <w:pStyle w:val="Heading3"/>
      </w:pPr>
      <w:r>
        <w:t xml:space="preserve">Actuals &amp; Commitments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actuals(id, tenant_id, cost_center_id, gl_account_id, project_id null, scheme_id null, dma_id null, class null, period date, amount numeric, source enum['gl','proc','cmms','manual'], ref text, meta jsonb)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encumbrances(id, tenant_id, entity_type enum['requisition','po','contract'], entity_id, cost_center_id, period date, amount numeric, released bool default false)</w:t>
      </w:r>
    </w:p>
    <w:bookmarkEnd w:id="23"/>
    <w:bookmarkStart w:id="24" w:name="inventory-energychemicals"/>
    <w:p>
      <w:pPr>
        <w:pStyle w:val="Heading3"/>
      </w:pPr>
      <w:r>
        <w:t xml:space="preserve">Inventory &amp; Energy/Chemicals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unit_costs(id, tenant_id, item_code text, name, unit text, method enum['wap','fifo'], period date, unit_cost numeric)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energy_tariffs(id, tenant_id, name, valid_from date, valid_to date null, peak_rate numeric, offpeak_rate numeric, demand_charge numeric null)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chemical_tariffs(id, tenant_id, name, valid_from, valid_to null, item_code text, unit_cost numeric)</w:t>
      </w:r>
    </w:p>
    <w:bookmarkEnd w:id="24"/>
    <w:bookmarkStart w:id="25" w:name="allocations-results"/>
    <w:p>
      <w:pPr>
        <w:pStyle w:val="Heading3"/>
      </w:pPr>
      <w:r>
        <w:t xml:space="preserve">Allocations &amp; Results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allocation_rules(id, tenant_id, name, basis enum['volume','connections','km_pipe','head_kwh','tickets','staff_time','custom_driver'], driver_id null, percentage numeric null, formula text null, applies_to enum['opex','capex','both'])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alloc_runs(id, tenant_id, version_id null, forecast_id null, period_from date, period_to date, status enum['queued','running','done','failed'], meta jsonb)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alloc_results(id, run_id, gl_account_id, cost_center_id, scheme_id null, dma_id null, class null, period date, amount numeric, driver_value numeric null, notes text)</w:t>
      </w:r>
    </w:p>
    <w:bookmarkEnd w:id="25"/>
    <w:bookmarkStart w:id="26" w:name="costtoserve-kpis"/>
    <w:p>
      <w:pPr>
        <w:pStyle w:val="Heading3"/>
      </w:pPr>
      <w:r>
        <w:t xml:space="preserve">Cost‑to‑Serve &amp; KPIs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cost_to_serve(id, period date, scheme_id null, dma_id null, class null, production_m3 numeric, billed_m3 numeric, opex_cost numeric, capex_depr numeric, energy_kwh numeric, energy_cost numeric, chemical_cost numeric, other_cost numeric, cost_per_m3 numeric, revenue_per_m3 numeric, margin_per_m3 numeric)</w:t>
      </w:r>
    </w:p>
    <w:bookmarkEnd w:id="26"/>
    <w:bookmarkStart w:id="27" w:name="indexes-constraints"/>
    <w:p>
      <w:pPr>
        <w:pStyle w:val="Heading3"/>
      </w:pPr>
      <w:r>
        <w:t xml:space="preserve">Indexes &amp; Constraints</w:t>
      </w:r>
    </w:p>
    <w:p>
      <w:pPr>
        <w:pStyle w:val="Compact"/>
        <w:numPr>
          <w:ilvl w:val="0"/>
          <w:numId w:val="1008"/>
        </w:numPr>
      </w:pPr>
      <w:r>
        <w:t xml:space="preserve">Composite indexes on</w:t>
      </w:r>
      <w:r>
        <w:t xml:space="preserve"> </w:t>
      </w:r>
      <w:r>
        <w:rPr>
          <w:rStyle w:val="VerbatimChar"/>
        </w:rPr>
        <w:t xml:space="preserve">(period, cost_center_id, gl_account_id)</w:t>
      </w:r>
      <w:r>
        <w:t xml:space="preserve">; partial indexes for open versions; FK cascades.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etl-integrations"/>
    <w:p>
      <w:pPr>
        <w:pStyle w:val="Heading2"/>
      </w:pPr>
      <w:r>
        <w:t xml:space="preserve">2) ETL &amp; Integrations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Endpoints</w:t>
      </w:r>
    </w:p>
    <w:p>
      <w:pPr>
        <w:pStyle w:val="SourceCode"/>
      </w:pPr>
      <w:r>
        <w:rPr>
          <w:rStyle w:val="VerbatimChar"/>
        </w:rPr>
        <w:t xml:space="preserve">POST /api/costing/import/gl            # GL trial balance / ledger by month</w:t>
      </w:r>
      <w:r>
        <w:br/>
      </w:r>
      <w:r>
        <w:rPr>
          <w:rStyle w:val="VerbatimChar"/>
        </w:rPr>
        <w:t xml:space="preserve">POST /api/costing/import/actuals       # CMMS issues, energy/chemicals, manual CSV</w:t>
      </w:r>
      <w:r>
        <w:br/>
      </w:r>
      <w:r>
        <w:rPr>
          <w:rStyle w:val="VerbatimChar"/>
        </w:rPr>
        <w:t xml:space="preserve">POST /api/costing/import/driver-values # push computed drivers</w:t>
      </w:r>
      <w:r>
        <w:br/>
      </w:r>
      <w:r>
        <w:rPr>
          <w:rStyle w:val="VerbatimChar"/>
        </w:rPr>
        <w:t xml:space="preserve">POST /api/costing/export/finance       # summarized allocations / reclasses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Mappers</w:t>
      </w:r>
      <w:r>
        <w:t xml:space="preserve">: configurable mapping tables for external GL→internal</w:t>
      </w:r>
      <w:r>
        <w:t xml:space="preserve"> </w:t>
      </w:r>
      <w:r>
        <w:rPr>
          <w:rStyle w:val="VerbatimChar"/>
        </w:rPr>
        <w:t xml:space="preserve">gl_accounts</w:t>
      </w:r>
      <w:r>
        <w:t xml:space="preserve"> </w:t>
      </w:r>
      <w:r>
        <w:t xml:space="preserve">and cost centers.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Driver ingestion</w:t>
      </w:r>
      <w:r>
        <w:t xml:space="preserve">: allow SQL driver definitions that reference other modules (e.g., mv_nrw_monthly, energy_kpis) with tenant‑scoped views.</w:t>
      </w:r>
    </w:p>
    <w:p>
      <w:r>
        <w:pict>
          <v:rect style="width:0;height:1.5pt" o:hralign="center" o:hrstd="t" o:hr="t"/>
        </w:pict>
      </w:r>
    </w:p>
    <w:bookmarkEnd w:id="29"/>
    <w:bookmarkStart w:id="34" w:name="engines-formulas"/>
    <w:p>
      <w:pPr>
        <w:pStyle w:val="Heading2"/>
      </w:pPr>
      <w:r>
        <w:t xml:space="preserve">3) Engines &amp; Formulas</w:t>
      </w:r>
    </w:p>
    <w:bookmarkStart w:id="30" w:name="allocation-engine"/>
    <w:p>
      <w:pPr>
        <w:pStyle w:val="Heading3"/>
      </w:pPr>
      <w:r>
        <w:t xml:space="preserve">Allocation Engine</w:t>
      </w:r>
    </w:p>
    <w:p>
      <w:pPr>
        <w:pStyle w:val="Compact"/>
        <w:numPr>
          <w:ilvl w:val="0"/>
          <w:numId w:val="1011"/>
        </w:numPr>
      </w:pPr>
      <w:r>
        <w:t xml:space="preserve">Reads</w:t>
      </w:r>
      <w:r>
        <w:t xml:space="preserve"> </w:t>
      </w:r>
      <w:r>
        <w:rPr>
          <w:rStyle w:val="VerbatimChar"/>
        </w:rPr>
        <w:t xml:space="preserve">actuals</w:t>
      </w:r>
      <w:r>
        <w:t xml:space="preserve"> </w:t>
      </w:r>
      <w:r>
        <w:t xml:space="preserve">(and optionally budget/forecast), applies</w:t>
      </w:r>
      <w:r>
        <w:t xml:space="preserve"> </w:t>
      </w:r>
      <w:r>
        <w:rPr>
          <w:rStyle w:val="VerbatimChar"/>
        </w:rPr>
        <w:t xml:space="preserve">allocation_rules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driver_values</w:t>
      </w:r>
      <w:r>
        <w:t xml:space="preserve"> </w:t>
      </w:r>
      <w:r>
        <w:t xml:space="preserve">per scope (scheme/DMA/class), writes</w:t>
      </w:r>
      <w:r>
        <w:t xml:space="preserve"> </w:t>
      </w:r>
      <w:r>
        <w:rPr>
          <w:rStyle w:val="VerbatimChar"/>
        </w:rPr>
        <w:t xml:space="preserve">alloc_results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Supports</w:t>
      </w:r>
      <w:r>
        <w:t xml:space="preserve"> </w:t>
      </w:r>
      <w:r>
        <w:rPr>
          <w:b/>
          <w:bCs/>
        </w:rPr>
        <w:t xml:space="preserve">two‑stage</w:t>
      </w:r>
      <w:r>
        <w:t xml:space="preserve"> </w:t>
      </w:r>
      <w:r>
        <w:t xml:space="preserve">allocations (e.g., shared services → schemes → DMAs).</w:t>
      </w:r>
    </w:p>
    <w:p>
      <w:pPr>
        <w:pStyle w:val="Compact"/>
        <w:numPr>
          <w:ilvl w:val="0"/>
          <w:numId w:val="1011"/>
        </w:numPr>
      </w:pPr>
      <w:r>
        <w:t xml:space="preserve">Supports fixed‑percent + driver hybrid rules.</w:t>
      </w:r>
    </w:p>
    <w:bookmarkEnd w:id="30"/>
    <w:bookmarkStart w:id="31" w:name="forecasting-engine"/>
    <w:p>
      <w:pPr>
        <w:pStyle w:val="Heading3"/>
      </w:pPr>
      <w:r>
        <w:t xml:space="preserve">Forecasting Engine</w:t>
      </w:r>
    </w:p>
    <w:p>
      <w:pPr>
        <w:pStyle w:val="Compact"/>
        <w:numPr>
          <w:ilvl w:val="0"/>
          <w:numId w:val="1012"/>
        </w:numPr>
      </w:pPr>
      <w:r>
        <w:t xml:space="preserve">Methods: naive (last period), ETS (stub), ARIMA (stub or external), and manual override; store method metadata and accuracy.</w:t>
      </w:r>
    </w:p>
    <w:p>
      <w:pPr>
        <w:pStyle w:val="Compact"/>
        <w:numPr>
          <w:ilvl w:val="0"/>
          <w:numId w:val="1012"/>
        </w:numPr>
      </w:pPr>
      <w:r>
        <w:t xml:space="preserve">Rolling forecasts: copy from approved budget + YTD actuals + forecast remainder.</w:t>
      </w:r>
    </w:p>
    <w:bookmarkEnd w:id="31"/>
    <w:bookmarkStart w:id="32" w:name="costtoserve-engine"/>
    <w:p>
      <w:pPr>
        <w:pStyle w:val="Heading3"/>
      </w:pPr>
      <w:r>
        <w:t xml:space="preserve">Cost‑to‑Serve Engine</w:t>
      </w:r>
    </w:p>
    <w:p>
      <w:pPr>
        <w:pStyle w:val="Compact"/>
        <w:numPr>
          <w:ilvl w:val="0"/>
          <w:numId w:val="1013"/>
        </w:numPr>
      </w:pPr>
      <w:r>
        <w:t xml:space="preserve">Combine alloc results + energy/chemical tariffs + NRW &amp; billing volumes to compute</w:t>
      </w:r>
      <w:r>
        <w:t xml:space="preserve"> </w:t>
      </w:r>
      <w:r>
        <w:rPr>
          <w:rStyle w:val="VerbatimChar"/>
        </w:rPr>
        <w:t xml:space="preserve">cost_to_serve</w:t>
      </w:r>
      <w:r>
        <w:t xml:space="preserve"> </w:t>
      </w:r>
      <w:r>
        <w:t xml:space="preserve">and margin per m³.</w:t>
      </w:r>
    </w:p>
    <w:p>
      <w:pPr>
        <w:pStyle w:val="Compact"/>
        <w:numPr>
          <w:ilvl w:val="0"/>
          <w:numId w:val="1013"/>
        </w:numPr>
      </w:pPr>
      <w:r>
        <w:t xml:space="preserve">Sensitivity what‑if: change energy tariff/driver values and recompute scenario.</w:t>
      </w:r>
    </w:p>
    <w:bookmarkEnd w:id="32"/>
    <w:bookmarkStart w:id="33" w:name="materialized-views"/>
    <w:p>
      <w:pPr>
        <w:pStyle w:val="Heading3"/>
      </w:pPr>
      <w:r>
        <w:t xml:space="preserve">Materialized Views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mv_budget_vs_actual</w:t>
      </w:r>
      <w:r>
        <w:t xml:space="preserve"> </w:t>
      </w:r>
      <w:r>
        <w:t xml:space="preserve">(period, CC, GL, scheme/DMA/class, plan, actual, variance, price_var, qty_var)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mv_cost_to_serve</w:t>
      </w:r>
      <w:r>
        <w:t xml:space="preserve"> </w:t>
      </w:r>
      <w:r>
        <w:t xml:space="preserve">(joins KPI volumes)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mv_encumbrance_utilization</w:t>
      </w:r>
    </w:p>
    <w:p>
      <w:pPr>
        <w:pStyle w:val="FirstParagraph"/>
      </w:pPr>
      <w:r>
        <w:t xml:space="preserve">Jobs:</w:t>
      </w:r>
      <w:r>
        <w:t xml:space="preserve"> </w:t>
      </w:r>
      <w:r>
        <w:rPr>
          <w:rStyle w:val="VerbatimChar"/>
        </w:rPr>
        <w:t xml:space="preserve">RunAllocationJob</w:t>
      </w:r>
      <w:r>
        <w:t xml:space="preserve">,</w:t>
      </w:r>
      <w:r>
        <w:t xml:space="preserve"> </w:t>
      </w:r>
      <w:r>
        <w:rPr>
          <w:rStyle w:val="VerbatimChar"/>
        </w:rPr>
        <w:t xml:space="preserve">RebuildMvCostingJob</w:t>
      </w:r>
      <w:r>
        <w:t xml:space="preserve">,</w:t>
      </w:r>
      <w:r>
        <w:t xml:space="preserve"> </w:t>
      </w:r>
      <w:r>
        <w:rPr>
          <w:rStyle w:val="VerbatimChar"/>
        </w:rPr>
        <w:t xml:space="preserve">RunForecastJob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backend-laravel-11"/>
    <w:p>
      <w:pPr>
        <w:pStyle w:val="Heading2"/>
      </w:pPr>
      <w:r>
        <w:t xml:space="preserve">4) Backend (Laravel 11)</w:t>
      </w:r>
    </w:p>
    <w:bookmarkStart w:id="35" w:name="apis"/>
    <w:p>
      <w:pPr>
        <w:pStyle w:val="Heading3"/>
      </w:pPr>
      <w:r>
        <w:t xml:space="preserve">APIs</w:t>
      </w:r>
    </w:p>
    <w:p>
      <w:pPr>
        <w:pStyle w:val="SourceCode"/>
      </w:pPr>
      <w:r>
        <w:rPr>
          <w:rStyle w:val="VerbatimChar"/>
        </w:rPr>
        <w:t xml:space="preserve"># Budgets &amp; Forecasts</w:t>
      </w:r>
      <w:r>
        <w:br/>
      </w:r>
      <w:r>
        <w:rPr>
          <w:rStyle w:val="VerbatimChar"/>
        </w:rPr>
        <w:t xml:space="preserve">GET  /api/budgets/versions</w:t>
      </w:r>
      <w:r>
        <w:br/>
      </w:r>
      <w:r>
        <w:rPr>
          <w:rStyle w:val="VerbatimChar"/>
        </w:rPr>
        <w:t xml:space="preserve">POST /api/budgets/versions</w:t>
      </w:r>
      <w:r>
        <w:br/>
      </w:r>
      <w:r>
        <w:rPr>
          <w:rStyle w:val="VerbatimChar"/>
        </w:rPr>
        <w:t xml:space="preserve">POST /api/budgets/versions/{id}/approve</w:t>
      </w:r>
      <w:r>
        <w:br/>
      </w:r>
      <w:r>
        <w:rPr>
          <w:rStyle w:val="VerbatimChar"/>
        </w:rPr>
        <w:t xml:space="preserve">POST /api/budgets/lines                # bulk upsert</w:t>
      </w:r>
      <w:r>
        <w:br/>
      </w:r>
      <w:r>
        <w:br/>
      </w:r>
      <w:r>
        <w:rPr>
          <w:rStyle w:val="VerbatimChar"/>
        </w:rPr>
        <w:t xml:space="preserve">GET  /api/forecasts</w:t>
      </w:r>
      <w:r>
        <w:br/>
      </w:r>
      <w:r>
        <w:rPr>
          <w:rStyle w:val="VerbatimChar"/>
        </w:rPr>
        <w:t xml:space="preserve">POST /api/forecasts</w:t>
      </w:r>
      <w:r>
        <w:br/>
      </w:r>
      <w:r>
        <w:rPr>
          <w:rStyle w:val="VerbatimChar"/>
        </w:rPr>
        <w:t xml:space="preserve">POST /api/forecasts/{id}/run</w:t>
      </w:r>
      <w:r>
        <w:br/>
      </w:r>
      <w:r>
        <w:br/>
      </w:r>
      <w:r>
        <w:rPr>
          <w:rStyle w:val="VerbatimChar"/>
        </w:rPr>
        <w:t xml:space="preserve"># Drivers &amp; Allocations</w:t>
      </w:r>
      <w:r>
        <w:br/>
      </w:r>
      <w:r>
        <w:rPr>
          <w:rStyle w:val="VerbatimChar"/>
        </w:rPr>
        <w:t xml:space="preserve">GET  /api/costing/drivers</w:t>
      </w:r>
      <w:r>
        <w:br/>
      </w:r>
      <w:r>
        <w:rPr>
          <w:rStyle w:val="VerbatimChar"/>
        </w:rPr>
        <w:t xml:space="preserve">POST /api/costing/drivers</w:t>
      </w:r>
      <w:r>
        <w:br/>
      </w:r>
      <w:r>
        <w:rPr>
          <w:rStyle w:val="VerbatimChar"/>
        </w:rPr>
        <w:t xml:space="preserve">POST /api/costing/alloc/run</w:t>
      </w:r>
      <w:r>
        <w:br/>
      </w:r>
      <w:r>
        <w:rPr>
          <w:rStyle w:val="VerbatimChar"/>
        </w:rPr>
        <w:t xml:space="preserve">GET  /api/costing/alloc/results?from=...&amp;to=...</w:t>
      </w:r>
      <w:r>
        <w:br/>
      </w:r>
      <w:r>
        <w:br/>
      </w:r>
      <w:r>
        <w:rPr>
          <w:rStyle w:val="VerbatimChar"/>
        </w:rPr>
        <w:t xml:space="preserve"># KPIs &amp; Reports</w:t>
      </w:r>
      <w:r>
        <w:br/>
      </w:r>
      <w:r>
        <w:rPr>
          <w:rStyle w:val="VerbatimChar"/>
        </w:rPr>
        <w:t xml:space="preserve">GET  /api/costing/kpis/cost-to-serve?scope=scheme|dma|class&amp;from=...&amp;to=...</w:t>
      </w:r>
      <w:r>
        <w:br/>
      </w:r>
      <w:r>
        <w:rPr>
          <w:rStyle w:val="VerbatimChar"/>
        </w:rPr>
        <w:t xml:space="preserve">GET  /api/costing/variance?from=...&amp;to=...</w:t>
      </w:r>
      <w:r>
        <w:br/>
      </w:r>
      <w:r>
        <w:rPr>
          <w:rStyle w:val="VerbatimChar"/>
        </w:rPr>
        <w:t xml:space="preserve">GET  /api/costing/energy-opportunities?from=...&amp;to=...</w:t>
      </w:r>
    </w:p>
    <w:bookmarkEnd w:id="35"/>
    <w:bookmarkStart w:id="36" w:name="services"/>
    <w:p>
      <w:pPr>
        <w:pStyle w:val="Heading3"/>
      </w:pPr>
      <w:r>
        <w:t xml:space="preserve">Services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BudgetService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ForecastService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DriverService</w:t>
      </w:r>
      <w:r>
        <w:t xml:space="preserve"> </w:t>
      </w:r>
      <w:r>
        <w:t xml:space="preserve">(SQL driver executor),</w:t>
      </w:r>
      <w:r>
        <w:t xml:space="preserve"> </w:t>
      </w:r>
      <w:r>
        <w:rPr>
          <w:rStyle w:val="VerbatimChar"/>
        </w:rPr>
        <w:t xml:space="preserve">AllocationService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VarianceService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CostToServeService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EnergyChemCostService</w:t>
      </w:r>
      <w:r>
        <w:t xml:space="preserve">.</w:t>
      </w:r>
      <w:r>
        <w:t xml:space="preserve"> </w:t>
      </w:r>
      <w:r>
        <w:t xml:space="preserve">### RBAC</w:t>
      </w:r>
    </w:p>
    <w:p>
      <w:pPr>
        <w:pStyle w:val="Compact"/>
        <w:numPr>
          <w:ilvl w:val="0"/>
          <w:numId w:val="1015"/>
        </w:numPr>
      </w:pPr>
      <w:r>
        <w:t xml:space="preserve">Roles: Finance‑Planner, Cost‑Analyst, Budget‑Owner, Approver, Viewer. Tenant scoping; approvals on versions.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frontend-react-18-ts"/>
    <w:p>
      <w:pPr>
        <w:pStyle w:val="Heading2"/>
      </w:pPr>
      <w:r>
        <w:t xml:space="preserve">5) Frontend (React 18 + TS)</w:t>
      </w:r>
    </w:p>
    <w:bookmarkStart w:id="38" w:name="pages"/>
    <w:p>
      <w:pPr>
        <w:pStyle w:val="Heading3"/>
      </w:pPr>
      <w:r>
        <w:t xml:space="preserve">Pages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/finance/budget</w:t>
      </w:r>
      <w:r>
        <w:t xml:space="preserve"> </w:t>
      </w:r>
      <w:r>
        <w:t xml:space="preserve">— Versions, phasing grid, approvals, revisions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/finance/forecast</w:t>
      </w:r>
      <w:r>
        <w:t xml:space="preserve"> </w:t>
      </w:r>
      <w:r>
        <w:t xml:space="preserve">— Rolling forecast runs, scenario compare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/finance/allocations</w:t>
      </w:r>
      <w:r>
        <w:t xml:space="preserve"> </w:t>
      </w:r>
      <w:r>
        <w:t xml:space="preserve">— Rules builder, driver viewer, run history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/finance/cost-to-serve</w:t>
      </w:r>
      <w:r>
        <w:t xml:space="preserve"> </w:t>
      </w:r>
      <w:r>
        <w:t xml:space="preserve">— Dashboards (scheme/DMA/class)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/finance/variance</w:t>
      </w:r>
      <w:r>
        <w:t xml:space="preserve"> </w:t>
      </w:r>
      <w:r>
        <w:t xml:space="preserve">— Plan/Forecast vs Actual, price vs qty breakdown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/finance/imports</w:t>
      </w:r>
      <w:r>
        <w:t xml:space="preserve"> </w:t>
      </w:r>
      <w:r>
        <w:t xml:space="preserve">— GL/actuals/driver imports, mapping tables</w:t>
      </w:r>
    </w:p>
    <w:bookmarkEnd w:id="38"/>
    <w:bookmarkStart w:id="39" w:name="ux-details"/>
    <w:p>
      <w:pPr>
        <w:pStyle w:val="Heading3"/>
      </w:pPr>
      <w:r>
        <w:t xml:space="preserve">UX Details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Budget Grid</w:t>
      </w:r>
      <w:r>
        <w:t xml:space="preserve">: spreadsheet with freeze panes, copy‑fill, validations; monthly phasing; lock on approval.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Rules Builder</w:t>
      </w:r>
      <w:r>
        <w:t xml:space="preserve">: choose basis (driver or %), secondary stage, scope (CC/GL subset), preview effect before run.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Cost‑to‑Serve Dashboard</w:t>
      </w:r>
      <w:r>
        <w:t xml:space="preserve">: tiles (KES/m³, margin/m³, energy %, chemicals %, overhead %), trend charts, DMA league table, GIS choropleth.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Variance View</w:t>
      </w:r>
      <w:r>
        <w:t xml:space="preserve">: waterfall (plan→actual), P×Q decomposition; drill to transactions.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Scenario Compare</w:t>
      </w:r>
      <w:r>
        <w:t xml:space="preserve">: side‑by‑side charts; export CSV/PDF.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mobile-flutter-optional"/>
    <w:p>
      <w:pPr>
        <w:pStyle w:val="Heading2"/>
      </w:pPr>
      <w:r>
        <w:t xml:space="preserve">6) Mobile (Flutter, Optional)</w:t>
      </w:r>
    </w:p>
    <w:p>
      <w:pPr>
        <w:pStyle w:val="Compact"/>
        <w:numPr>
          <w:ilvl w:val="0"/>
          <w:numId w:val="1018"/>
        </w:numPr>
      </w:pPr>
      <w:r>
        <w:t xml:space="preserve">Approve budget versions; view dashboards (read‑only); receive variance alerts.</w:t>
      </w:r>
    </w:p>
    <w:p>
      <w:r>
        <w:pict>
          <v:rect style="width:0;height:1.5pt" o:hralign="center" o:hrstd="t" o:hr="t"/>
        </w:pict>
      </w:r>
    </w:p>
    <w:bookmarkEnd w:id="41"/>
    <w:bookmarkStart w:id="42" w:name="seeds-demo"/>
    <w:p>
      <w:pPr>
        <w:pStyle w:val="Heading2"/>
      </w:pPr>
      <w:r>
        <w:t xml:space="preserve">7) Seeds &amp; Demo</w:t>
      </w:r>
    </w:p>
    <w:p>
      <w:pPr>
        <w:pStyle w:val="Compact"/>
        <w:numPr>
          <w:ilvl w:val="0"/>
          <w:numId w:val="1019"/>
        </w:numPr>
      </w:pPr>
      <w:r>
        <w:t xml:space="preserve">Chart of accounts (60 GLs), 8 cost centers; FY budget with 12‑month phasing; 2 forecast runs; actuals for 9 months; encumbrances from Procurement; energy/chemical tariffs; drivers (volume, connections, km_pipe, pump_hours); alloc run results; cost‑to‑serve for 6 schemes &amp; 12 DMAs.</w:t>
      </w:r>
    </w:p>
    <w:p>
      <w:r>
        <w:pict>
          <v:rect style="width:0;height:1.5pt" o:hralign="center" o:hrstd="t" o:hr="t"/>
        </w:pict>
      </w:r>
    </w:p>
    <w:bookmarkEnd w:id="42"/>
    <w:bookmarkStart w:id="43" w:name="reports-exports"/>
    <w:p>
      <w:pPr>
        <w:pStyle w:val="Heading2"/>
      </w:pPr>
      <w:r>
        <w:t xml:space="preserve">8) Reports &amp; Exports</w:t>
      </w:r>
    </w:p>
    <w:p>
      <w:pPr>
        <w:pStyle w:val="Compact"/>
        <w:numPr>
          <w:ilvl w:val="0"/>
          <w:numId w:val="1020"/>
        </w:numPr>
      </w:pPr>
      <w:r>
        <w:t xml:space="preserve">Budget book (PDF), variance pack, cost‑to‑serve by class, energy savings opportunities; CSV/Excel exports; map print.</w:t>
      </w:r>
    </w:p>
    <w:p>
      <w:r>
        <w:pict>
          <v:rect style="width:0;height:1.5pt" o:hralign="center" o:hrstd="t" o:hr="t"/>
        </w:pict>
      </w:r>
    </w:p>
    <w:bookmarkEnd w:id="43"/>
    <w:bookmarkStart w:id="44" w:name="tests-ci"/>
    <w:p>
      <w:pPr>
        <w:pStyle w:val="Heading2"/>
      </w:pPr>
      <w:r>
        <w:t xml:space="preserve">9) Tests &amp; CI</w:t>
      </w:r>
    </w:p>
    <w:p>
      <w:pPr>
        <w:pStyle w:val="Compact"/>
        <w:numPr>
          <w:ilvl w:val="0"/>
          <w:numId w:val="1021"/>
        </w:numPr>
      </w:pPr>
      <w:r>
        <w:t xml:space="preserve">Feature: version approvals, bulk budget lines, allocation run, variance calc, cost‑to‑serve; unit: driver exec and P×Q math; e2e: budget→alloc→variance; CI pipelines; OTEL spans.</w:t>
      </w:r>
    </w:p>
    <w:p>
      <w:r>
        <w:pict>
          <v:rect style="width:0;height:1.5pt" o:hralign="center" o:hrstd="t" o:hr="t"/>
        </w:pict>
      </w:r>
    </w:p>
    <w:bookmarkEnd w:id="44"/>
    <w:bookmarkStart w:id="45" w:name="openapi-postman"/>
    <w:p>
      <w:pPr>
        <w:pStyle w:val="Heading2"/>
      </w:pPr>
      <w:r>
        <w:t xml:space="preserve">10) OpenAPI &amp; Postman</w:t>
      </w:r>
    </w:p>
    <w:p>
      <w:pPr>
        <w:pStyle w:val="Compact"/>
        <w:numPr>
          <w:ilvl w:val="0"/>
          <w:numId w:val="1022"/>
        </w:numPr>
      </w:pPr>
      <w:r>
        <w:t xml:space="preserve">Components:</w:t>
      </w:r>
      <w:r>
        <w:t xml:space="preserve"> </w:t>
      </w:r>
      <w:r>
        <w:rPr>
          <w:rStyle w:val="VerbatimChar"/>
        </w:rPr>
        <w:t xml:space="preserve">GlAccount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CostCenter</w:t>
      </w:r>
      <w:r>
        <w:t xml:space="preserve">,</w:t>
      </w:r>
      <w:r>
        <w:t xml:space="preserve"> </w:t>
      </w:r>
      <w:r>
        <w:rPr>
          <w:rStyle w:val="VerbatimChar"/>
        </w:rPr>
        <w:t xml:space="preserve">BudgetVersion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BudgetLine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Forecast</w:t>
      </w:r>
      <w:r>
        <w:t xml:space="preserve">,</w:t>
      </w:r>
      <w:r>
        <w:t xml:space="preserve"> </w:t>
      </w:r>
      <w:r>
        <w:rPr>
          <w:rStyle w:val="VerbatimChar"/>
        </w:rPr>
        <w:t xml:space="preserve">Driver</w:t>
      </w:r>
      <w:r>
        <w:t xml:space="preserve">,</w:t>
      </w:r>
      <w:r>
        <w:t xml:space="preserve"> </w:t>
      </w:r>
      <w:r>
        <w:rPr>
          <w:rStyle w:val="VerbatimChar"/>
        </w:rPr>
        <w:t xml:space="preserve">AllocRule</w:t>
      </w:r>
      <w:r>
        <w:t xml:space="preserve">,</w:t>
      </w:r>
      <w:r>
        <w:t xml:space="preserve"> </w:t>
      </w:r>
      <w:r>
        <w:rPr>
          <w:rStyle w:val="VerbatimChar"/>
        </w:rPr>
        <w:t xml:space="preserve">AllocResult</w:t>
      </w:r>
      <w:r>
        <w:t xml:space="preserve">,</w:t>
      </w:r>
      <w:r>
        <w:t xml:space="preserve"> </w:t>
      </w:r>
      <w:r>
        <w:rPr>
          <w:rStyle w:val="VerbatimChar"/>
        </w:rPr>
        <w:t xml:space="preserve">CostToServe</w:t>
      </w:r>
      <w:r>
        <w:t xml:space="preserve">,</w:t>
      </w:r>
      <w:r>
        <w:t xml:space="preserve"> </w:t>
      </w:r>
      <w:r>
        <w:rPr>
          <w:rStyle w:val="VerbatimChar"/>
        </w:rPr>
        <w:t xml:space="preserve">Variance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Start w:id="47" w:name="qa-checklist"/>
    <w:p>
      <w:pPr>
        <w:pStyle w:val="Heading2"/>
      </w:pPr>
      <w:r>
        <w:t xml:space="preserve">11) QA Checklist</w:t>
      </w:r>
    </w:p>
    <w:p>
      <w:pPr>
        <w:pStyle w:val="Compact"/>
        <w:numPr>
          <w:ilvl w:val="0"/>
          <w:numId w:val="1023"/>
        </w:numPr>
      </w:pPr>
      <w:r>
        <w:t xml:space="preserve">Versions immutable post‑approval; allocations reproducible; cost‑per‑m³ agrees with NRW/Energy volumes; encumbrances reduce available budget; variance explains P vs Q; all tests pass.</w:t>
      </w:r>
    </w:p>
    <w:p>
      <w:r>
        <w:pict>
          <v:rect style="width:0;height:1.5pt" o:hralign="center" o:hrstd="t" o:hr="t"/>
        </w:pict>
      </w:r>
    </w:p>
    <w:bookmarkStart w:id="46" w:name="deliverables-to-output-now"/>
    <w:p>
      <w:pPr>
        <w:pStyle w:val="Heading3"/>
      </w:pPr>
      <w:r>
        <w:t xml:space="preserve">Deliverables to Output Now</w:t>
      </w:r>
    </w:p>
    <w:p>
      <w:pPr>
        <w:pStyle w:val="Compact"/>
        <w:numPr>
          <w:ilvl w:val="0"/>
          <w:numId w:val="1024"/>
        </w:numPr>
      </w:pPr>
      <w:r>
        <w:t xml:space="preserve">Migrations + seeders for GL, cost centers, budgets/forecasts, actuals/encumbrances, drivers/allocations, tariffs, results, views.</w:t>
      </w:r>
    </w:p>
    <w:p>
      <w:pPr>
        <w:pStyle w:val="Compact"/>
        <w:numPr>
          <w:ilvl w:val="0"/>
          <w:numId w:val="1024"/>
        </w:numPr>
      </w:pPr>
      <w:r>
        <w:t xml:space="preserve">Laravel services/controllers/jobs/routes for budgets, forecasts, drivers, allocations, variance, cost‑to‑serve.</w:t>
      </w:r>
    </w:p>
    <w:p>
      <w:pPr>
        <w:pStyle w:val="Compact"/>
        <w:numPr>
          <w:ilvl w:val="0"/>
          <w:numId w:val="1024"/>
        </w:numPr>
      </w:pPr>
      <w:r>
        <w:t xml:space="preserve">React pages/components per spec; budgeting grid, rules builder, variance waterfall, scenario compare, choropleth map.</w:t>
      </w:r>
    </w:p>
    <w:p>
      <w:pPr>
        <w:pStyle w:val="Compact"/>
        <w:numPr>
          <w:ilvl w:val="0"/>
          <w:numId w:val="1024"/>
        </w:numPr>
      </w:pPr>
      <w:r>
        <w:t xml:space="preserve">(Optional) Flutter approvals dashboard.</w:t>
      </w:r>
    </w:p>
    <w:p>
      <w:pPr>
        <w:pStyle w:val="Compact"/>
        <w:numPr>
          <w:ilvl w:val="0"/>
          <w:numId w:val="1024"/>
        </w:numPr>
      </w:pPr>
      <w:r>
        <w:t xml:space="preserve">CI workflows, OTEL instrumentation, OpenAPI spec, Postman/Bruno collection.</w:t>
      </w:r>
    </w:p>
    <w:p>
      <w:pPr>
        <w:pStyle w:val="BlockText"/>
      </w:pPr>
      <w:r>
        <w:t xml:space="preserve">Output must be</w:t>
      </w:r>
      <w:r>
        <w:t xml:space="preserve"> </w:t>
      </w:r>
      <w:r>
        <w:rPr>
          <w:b/>
          <w:bCs/>
        </w:rPr>
        <w:t xml:space="preserve">self‑contained and runnable</w:t>
      </w:r>
      <w:r>
        <w:t xml:space="preserve"> </w:t>
      </w:r>
      <w:r>
        <w:t xml:space="preserve">with defaults, demo data, and make/artisan targets (e.g.,</w:t>
      </w:r>
      <w:r>
        <w:t xml:space="preserve"> </w:t>
      </w:r>
      <w:r>
        <w:rPr>
          <w:rStyle w:val="VerbatimChar"/>
        </w:rPr>
        <w:t xml:space="preserve">make seed-costing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php artisan costing:alloc-run</w:t>
      </w:r>
      <w:r>
        <w:t xml:space="preserve">).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2025-10-21T06:47:14Z</dcterms:created>
  <dcterms:modified xsi:type="dcterms:W3CDTF">2025-10-21T06:47:14Z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