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a41c823dcf747241dbd6931f58a2ea36152413"/>
    <w:p>
      <w:pPr>
        <w:pStyle w:val="Heading2"/>
      </w:pPr>
      <w:r>
        <w:t xml:space="preserve">Monitoring, Evaluation &amp; Service Levels — Functional Specification &amp; UX/UI Guide</w:t>
      </w:r>
    </w:p>
    <w:bookmarkStart w:id="20" w:name="overview"/>
    <w:p>
      <w:pPr>
        <w:pStyle w:val="Heading3"/>
      </w:pPr>
      <w:r>
        <w:t xml:space="preserve">1) Overview</w:t>
      </w:r>
    </w:p>
    <w:p>
      <w:pPr>
        <w:pStyle w:val="FirstParagraph"/>
      </w:pPr>
      <w:r>
        <w:t xml:space="preserve">A cross-cutting M&amp;E module for water utilities that consolidates KPIs, results frameworks, coverage &amp; equity analytics, NRW tracking, and CX/Service Level monitoring. Integrates with CoreOps, Finance, CIS/CRM, LIMS, and GIS. Designed for standards alignment (WHO/JMP, WASREB), transparent targets, drill‑down analytics, and board‑ready dashboards.</w:t>
      </w:r>
    </w:p>
    <w:p>
      <w:r>
        <w:pict>
          <v:rect style="width:0;height:1.5pt" o:hralign="center" o:hrstd="t" o:hr="t"/>
        </w:pict>
      </w:r>
    </w:p>
    <w:bookmarkEnd w:id="20"/>
    <w:bookmarkStart w:id="21" w:name="Xb0d31e6beceedfd63339a577e9c7d67556e9fa8"/>
    <w:p>
      <w:pPr>
        <w:pStyle w:val="Heading3"/>
      </w:pPr>
      <w:r>
        <w:t xml:space="preserve">2) KPI &amp; Dashboard Suite (WHO/JMP, WASREB, Scheme Scorecards)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KPI catalog aligned to</w:t>
      </w:r>
      <w:r>
        <w:t xml:space="preserve"> </w:t>
      </w:r>
      <w:r>
        <w:rPr>
          <w:b/>
          <w:bCs/>
        </w:rPr>
        <w:t xml:space="preserve">WHO/JMP service levels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WASREB</w:t>
      </w:r>
      <w:r>
        <w:t xml:space="preserve"> </w:t>
      </w:r>
      <w:r>
        <w:t xml:space="preserve">regulatory KPIs.</w:t>
      </w:r>
      <w:r>
        <w:t xml:space="preserve"> </w:t>
      </w:r>
      <w:r>
        <w:t xml:space="preserve">- Scheme/DMA scorecards with traffic‑light thresholds and monthly/quarterly periods.</w:t>
      </w:r>
      <w:r>
        <w:t xml:space="preserve"> </w:t>
      </w:r>
      <w:r>
        <w:t xml:space="preserve">- Data ingestion from subsystems (CoreOps, Lab, Finance, CRM) with formulas &amp; audits.</w:t>
      </w:r>
      <w:r>
        <w:t xml:space="preserve"> </w:t>
      </w:r>
      <w:r>
        <w:t xml:space="preserve">- Spatial views (heatmaps/choropleths) and time‑series trends with annotations.</w:t>
      </w:r>
      <w:r>
        <w:t xml:space="preserve"> </w:t>
      </w:r>
      <w:r>
        <w:t xml:space="preserve">- Board &amp; Operations dashboards; PDF exports; kiosk/display mode.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KPI Catalog</w:t>
      </w:r>
      <w:r>
        <w:t xml:space="preserve"> </w:t>
      </w:r>
      <w:r>
        <w:t xml:space="preserve">(table)</w:t>
      </w:r>
      <w:r>
        <w:t xml:space="preserve"> </w:t>
      </w:r>
      <w:r>
        <w:t xml:space="preserve">- Columns: code, name, standard (JMP/WASREB/internal), formula, unit, owner, frequency, status.</w:t>
      </w:r>
      <w:r>
        <w:t xml:space="preserve"> </w:t>
      </w:r>
      <w:r>
        <w:t xml:space="preserve">- Actions: View, Edit formula, Map to data source, Archive.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Scheme Scorecard</w:t>
      </w:r>
      <w:r>
        <w:t xml:space="preserve"> </w:t>
      </w:r>
      <w:r>
        <w:t xml:space="preserve">- Tiles: water quality compliance, continuity (hrs/day), coverage %, NRW %, collection efficiency, response time, customer satisfaction.</w:t>
      </w:r>
      <w:r>
        <w:t xml:space="preserve"> </w:t>
      </w:r>
      <w:r>
        <w:t xml:space="preserve">- Trend band charts (Recharts) with target lines; notes &amp; evidence attachments.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Dashboard</w:t>
      </w:r>
      <w:r>
        <w:t xml:space="preserve"> </w:t>
      </w:r>
      <w:r>
        <w:t xml:space="preserve">- Selector: period, region, scheme; KPI grid with color thresholds; export PDF.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 Heatmaps</w:t>
      </w:r>
      <w:r>
        <w:t xml:space="preserve"> </w:t>
      </w:r>
      <w:r>
        <w:t xml:space="preserve">(Leaflet/VectorGrid)</w:t>
      </w:r>
      <w:r>
        <w:t xml:space="preserve"> </w:t>
      </w:r>
      <w:r>
        <w:t xml:space="preserve">- Layers: JMP service levels, continuity, NRW, complaints density; bbox filter; legend.</w:t>
      </w:r>
    </w:p>
    <w:p>
      <w:r>
        <w:pict>
          <v:rect style="width:0;height:1.5pt" o:hralign="center" o:hrstd="t" o:hr="t"/>
        </w:pict>
      </w:r>
    </w:p>
    <w:bookmarkEnd w:id="21"/>
    <w:bookmarkStart w:id="22" w:name="results-framework-logframe"/>
    <w:p>
      <w:pPr>
        <w:pStyle w:val="Heading3"/>
      </w:pPr>
      <w:r>
        <w:t xml:space="preserve">3) Results Framework &amp; Logframe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Define</w:t>
      </w:r>
      <w:r>
        <w:t xml:space="preserve"> </w:t>
      </w:r>
      <w:r>
        <w:rPr>
          <w:b/>
          <w:bCs/>
        </w:rPr>
        <w:t xml:space="preserve">indicators</w:t>
      </w:r>
      <w:r>
        <w:t xml:space="preserve"> </w:t>
      </w:r>
      <w:r>
        <w:t xml:space="preserve">with baselines, targets, means of verification, and disaggregation (sex/age/poverty quintile/urban‑rural).</w:t>
      </w:r>
      <w:r>
        <w:t xml:space="preserve"> </w:t>
      </w:r>
      <w:r>
        <w:t xml:space="preserve">- Logical framework (Impact → Outcome → Output → Activity) with causal links.</w:t>
      </w:r>
      <w:r>
        <w:t xml:space="preserve"> </w:t>
      </w:r>
      <w:r>
        <w:t xml:space="preserve">- Evaluation cycles (quarterly/annual/mid‑term/endline) and evidence management.</w:t>
      </w:r>
      <w:r>
        <w:t xml:space="preserve"> </w:t>
      </w:r>
      <w:r>
        <w:t xml:space="preserve">- Data source mapping (API/CSV/manual), quality checks, approval workflow.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Results Framework Builder</w:t>
      </w:r>
      <w:r>
        <w:t xml:space="preserve"> </w:t>
      </w:r>
      <w:r>
        <w:t xml:space="preserve">- Drag‑drop hierarchy; indicator cards with fields: code, name, unit, baseline value/date, target value/date, frequency, MoV, owner, disaggregation schema.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Indicator Detail</w:t>
      </w:r>
      <w:r>
        <w:t xml:space="preserve"> </w:t>
      </w:r>
      <w:r>
        <w:t xml:space="preserve">- Tabs: Data (series table + chart), Disaggregation (pivot grid), Evidence (file list), Notes, Approvals (timeline).</w:t>
      </w:r>
      <w:r>
        <w:t xml:space="preserve"> </w:t>
      </w:r>
      <w:r>
        <w:t xml:space="preserve">- Forms: data point entry (date, value, source, comment), bulk upload (CSV with mapping).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Evaluation Planner</w:t>
      </w:r>
      <w:r>
        <w:t xml:space="preserve"> </w:t>
      </w:r>
      <w:r>
        <w:t xml:space="preserve">- Calendar of cycles; assignment to evaluators; checklist templates; status chips.</w:t>
      </w:r>
    </w:p>
    <w:p>
      <w:r>
        <w:pict>
          <v:rect style="width:0;height:1.5pt" o:hralign="center" o:hrstd="t" o:hr="t"/>
        </w:pict>
      </w:r>
    </w:p>
    <w:bookmarkEnd w:id="22"/>
    <w:bookmarkStart w:id="23" w:name="coverage-equity-analytics"/>
    <w:p>
      <w:pPr>
        <w:pStyle w:val="Heading3"/>
      </w:pPr>
      <w:r>
        <w:t xml:space="preserve">4) Coverage &amp; Equity Analytics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Compute</w:t>
      </w:r>
      <w:r>
        <w:t xml:space="preserve"> </w:t>
      </w:r>
      <w:r>
        <w:rPr>
          <w:b/>
          <w:bCs/>
        </w:rPr>
        <w:t xml:space="preserve">service coverage</w:t>
      </w:r>
      <w:r>
        <w:t xml:space="preserve"> </w:t>
      </w:r>
      <w:r>
        <w:t xml:space="preserve">by ward/sub‑location with population denominators.</w:t>
      </w:r>
      <w:r>
        <w:t xml:space="preserve"> </w:t>
      </w:r>
      <w:r>
        <w:t xml:space="preserve">- Equity lenses: poverty quintile, gender of household head, disability, informal settlements.</w:t>
      </w:r>
      <w:r>
        <w:t xml:space="preserve"> </w:t>
      </w:r>
      <w:r>
        <w:t xml:space="preserve">- Drill‑down from county → sub‑county → ward; identify underserved hotspots.</w:t>
      </w:r>
      <w:r>
        <w:t xml:space="preserve"> </w:t>
      </w:r>
      <w:r>
        <w:t xml:space="preserve">- Scenario comparisons (before/after projects, seasonal).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Coverage Map</w:t>
      </w:r>
      <w:r>
        <w:t xml:space="preserve"> </w:t>
      </w:r>
      <w:r>
        <w:t xml:space="preserve">(choropleth)</w:t>
      </w:r>
      <w:r>
        <w:t xml:space="preserve"> </w:t>
      </w:r>
      <w:r>
        <w:t xml:space="preserve">- Controls: indicator (dropdown), period, classification (quantile/natural breaks), transparency slider.</w:t>
      </w:r>
      <w:r>
        <w:t xml:space="preserve"> </w:t>
      </w:r>
      <w:r>
        <w:t xml:space="preserve">- Tooltips: area name, coverage %, population served, confidence interval.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Equity Explorer</w:t>
      </w:r>
      <w:r>
        <w:t xml:space="preserve"> </w:t>
      </w:r>
      <w:r>
        <w:t xml:space="preserve">- Disaggregation filters (chips); stacked bars by quintile; small multiples by gender.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Hotspot Finder</w:t>
      </w:r>
      <w:r>
        <w:t xml:space="preserve"> </w:t>
      </w:r>
      <w:r>
        <w:t xml:space="preserve">- Table of lowest‑coverage wards; link to projects &amp; planned interventions.</w:t>
      </w:r>
    </w:p>
    <w:p>
      <w:r>
        <w:pict>
          <v:rect style="width:0;height:1.5pt" o:hralign="center" o:hrstd="t" o:hr="t"/>
        </w:pict>
      </w:r>
    </w:p>
    <w:bookmarkEnd w:id="23"/>
    <w:bookmarkStart w:id="24" w:name="nonrevenue-water-nrw-program-tracker"/>
    <w:p>
      <w:pPr>
        <w:pStyle w:val="Heading3"/>
      </w:pPr>
      <w:r>
        <w:t xml:space="preserve">5) Non‑Revenue Water (NRW) Program Tracker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Register initiatives (pressure management, active leak control, meter replacement, sectorization, PRV optimization).</w:t>
      </w:r>
      <w:r>
        <w:t xml:space="preserve"> </w:t>
      </w:r>
      <w:r>
        <w:t xml:space="preserve">- Track estimated vs realized</w:t>
      </w:r>
      <w:r>
        <w:t xml:space="preserve"> </w:t>
      </w:r>
      <w:r>
        <w:rPr>
          <w:b/>
          <w:bCs/>
        </w:rPr>
        <w:t xml:space="preserve">savings (m³/day)</w:t>
      </w:r>
      <w:r>
        <w:t xml:space="preserve"> </w:t>
      </w:r>
      <w:r>
        <w:t xml:space="preserve">and cost; link to interventions and DMA KPIs.</w:t>
      </w:r>
      <w:r>
        <w:t xml:space="preserve"> </w:t>
      </w:r>
      <w:r>
        <w:t xml:space="preserve">- Benefit realization over time with confidence bands; ROI calculations.</w:t>
      </w:r>
      <w:r>
        <w:t xml:space="preserve"> </w:t>
      </w:r>
      <w:r>
        <w:t xml:space="preserve">- Stage‑gate workflow: Proposed → Approved → In implementation → Verified → Closed.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NRW Portfolio Board</w:t>
      </w:r>
      <w:r>
        <w:t xml:space="preserve"> </w:t>
      </w:r>
      <w:r>
        <w:t xml:space="preserve">- Cards: initiative, DMA(s), estimated savings, cost, ROI, stage; drag‑drop stage changes (policy‑guarded).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Initiative Detail</w:t>
      </w:r>
      <w:r>
        <w:t xml:space="preserve"> </w:t>
      </w:r>
      <w:r>
        <w:t xml:space="preserve">- Tabs: Plan (assumptions), Implementation (tasks, WOs), Evidence (before/after flows/pressure), Savings (chart), Finance (costs), Risks.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 Dashboard</w:t>
      </w:r>
      <w:r>
        <w:t xml:space="preserve"> </w:t>
      </w:r>
      <w:r>
        <w:t xml:space="preserve">- Cumulative realized vs target (line), by‑DMA waterfall, cost per m³ saved (bar).</w:t>
      </w:r>
    </w:p>
    <w:p>
      <w:r>
        <w:pict>
          <v:rect style="width:0;height:1.5pt" o:hralign="center" o:hrstd="t" o:hr="t"/>
        </w:pict>
      </w:r>
    </w:p>
    <w:bookmarkEnd w:id="24"/>
    <w:bookmarkStart w:id="25" w:name="customer-experience-cx-analytics"/>
    <w:p>
      <w:pPr>
        <w:pStyle w:val="Heading3"/>
      </w:pPr>
      <w:r>
        <w:t xml:space="preserve">6) Customer Experience (CX) Analytics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Track</w:t>
      </w:r>
      <w:r>
        <w:t xml:space="preserve"> </w:t>
      </w:r>
      <w:r>
        <w:rPr>
          <w:b/>
          <w:bCs/>
        </w:rPr>
        <w:t xml:space="preserve">NPS/CSAT/CES</w:t>
      </w:r>
      <w:r>
        <w:t xml:space="preserve"> </w:t>
      </w:r>
      <w:r>
        <w:t xml:space="preserve">surveys, first‑contact resolution (FCR), repeat complaints.</w:t>
      </w:r>
      <w:r>
        <w:t xml:space="preserve"> </w:t>
      </w:r>
      <w:r>
        <w:t xml:space="preserve">- Omnichannel data (call/SMS/USSD/WhatsApp/email/app) with SLA adherence.</w:t>
      </w:r>
      <w:r>
        <w:t xml:space="preserve"> </w:t>
      </w:r>
      <w:r>
        <w:t xml:space="preserve">- Cohort/segment views (customer class, DMA, channel).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CX Dashboard</w:t>
      </w:r>
      <w:r>
        <w:t xml:space="preserve"> </w:t>
      </w:r>
      <w:r>
        <w:t xml:space="preserve">- Tiles: NPS, CSAT %, FCR %, repeat complaint rate; trend lines with targets.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Survey Manager</w:t>
      </w:r>
      <w:r>
        <w:t xml:space="preserve"> </w:t>
      </w:r>
      <w:r>
        <w:t xml:space="preserve">- Define templates (questions types: rating 0–10, Likert, free text); sampling; channel selection.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Ticket Analytics</w:t>
      </w:r>
      <w:r>
        <w:t xml:space="preserve"> </w:t>
      </w:r>
      <w:r>
        <w:t xml:space="preserve">- Sankey/flow: channel → category → resolution; SLA breach heatmap; agent leaderboard.</w:t>
      </w:r>
    </w:p>
    <w:p>
      <w:r>
        <w:pict>
          <v:rect style="width:0;height:1.5pt" o:hralign="center" o:hrstd="t" o:hr="t"/>
        </w:pict>
      </w:r>
    </w:p>
    <w:bookmarkEnd w:id="25"/>
    <w:bookmarkStart w:id="26" w:name="data-model-highlevel"/>
    <w:p>
      <w:pPr>
        <w:pStyle w:val="Heading3"/>
      </w:pPr>
      <w:r>
        <w:t xml:space="preserve">7) Data Model (high‑level)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kpis</w:t>
      </w:r>
      <w:r>
        <w:t xml:space="preserve">(code, name, standard, unit, frequency, formula_json, owner_id, thresholds_json)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kpi_values</w:t>
      </w:r>
      <w:r>
        <w:t xml:space="preserve">(kpi_id, entity_type, entity_id, period_start, period_end, value, source, approved_by, evidence_json)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indicators</w:t>
      </w:r>
      <w:r>
        <w:t xml:space="preserve">(code, name, unit, baseline_value, baseline_date, target_value, target_date, frequency, mov, disagg_schema_json)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indicator_data_points</w:t>
      </w:r>
      <w:r>
        <w:t xml:space="preserve">(indicator_id, date, value, source, meta_json)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initiatives</w:t>
      </w:r>
      <w:r>
        <w:t xml:space="preserve">(type, dmas[], cost, est_savings_m3d, realized_savings_series, roi, stage)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surveys</w:t>
      </w:r>
      <w:r>
        <w:t xml:space="preserve">(template_json, channel, sample_rules_json);</w:t>
      </w:r>
      <w:r>
        <w:t xml:space="preserve"> </w:t>
      </w:r>
      <w:r>
        <w:rPr>
          <w:b/>
          <w:bCs/>
        </w:rPr>
        <w:t xml:space="preserve">survey_responses</w:t>
      </w:r>
      <w:r>
        <w:t xml:space="preserve">(scores_json, text_json, meta)</w:t>
      </w:r>
    </w:p>
    <w:p>
      <w:pPr>
        <w:pStyle w:val="FirstParagraph"/>
      </w:pPr>
      <w:r>
        <w:t xml:space="preserve">(Spatial joins for coverage use PostGIS geometries of wards/DMAs.)</w:t>
      </w:r>
    </w:p>
    <w:p>
      <w:r>
        <w:pict>
          <v:rect style="width:0;height:1.5pt" o:hralign="center" o:hrstd="t" o:hr="t"/>
        </w:pict>
      </w:r>
    </w:p>
    <w:bookmarkEnd w:id="26"/>
    <w:bookmarkStart w:id="27" w:name="apis-illustrative"/>
    <w:p>
      <w:pPr>
        <w:pStyle w:val="Heading3"/>
      </w:pPr>
      <w:r>
        <w:t xml:space="preserve">8) APIs (illustrative)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/api/me/kpis</w:t>
      </w:r>
      <w:r>
        <w:t xml:space="preserve"> </w:t>
      </w:r>
      <w:r>
        <w:t xml:space="preserve">(GET list)</w:t>
      </w:r>
      <w:r>
        <w:t xml:space="preserve"> </w:t>
      </w:r>
      <w:r>
        <w:rPr>
          <w:rStyle w:val="VerbatimChar"/>
        </w:rPr>
        <w:t xml:space="preserve">/api/me/kpis/{code}/values?entity=&amp;from=&amp;to=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/api/me/scorecards/schemes?period=</w:t>
      </w:r>
      <w:r>
        <w:t xml:space="preserve"> </w:t>
      </w:r>
      <w:r>
        <w:t xml:space="preserve">(GET)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/api/me/indicators</w:t>
      </w:r>
      <w:r>
        <w:t xml:space="preserve"> </w:t>
      </w:r>
      <w:r>
        <w:t xml:space="preserve">(CRUD)</w:t>
      </w:r>
      <w:r>
        <w:t xml:space="preserve"> </w:t>
      </w:r>
      <w:r>
        <w:rPr>
          <w:rStyle w:val="VerbatimChar"/>
        </w:rPr>
        <w:t xml:space="preserve">/api/me/indicators/{id}/data</w:t>
      </w:r>
      <w:r>
        <w:t xml:space="preserve"> </w:t>
      </w:r>
      <w:r>
        <w:t xml:space="preserve">(POST bulk)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/api/me/coverage?indicator=&amp;period=&amp;bbox=</w:t>
      </w:r>
      <w:r>
        <w:t xml:space="preserve"> </w:t>
      </w:r>
      <w:r>
        <w:t xml:space="preserve">(GET choropleth data)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/api/me/nrw/initiatives</w:t>
      </w:r>
      <w:r>
        <w:t xml:space="preserve"> </w:t>
      </w:r>
      <w:r>
        <w:t xml:space="preserve">(CRUD)</w:t>
      </w:r>
      <w:r>
        <w:t xml:space="preserve"> </w:t>
      </w:r>
      <w:r>
        <w:rPr>
          <w:rStyle w:val="VerbatimChar"/>
        </w:rPr>
        <w:t xml:space="preserve">/api/me/nrw/initiatives/{id}/advance</w:t>
      </w:r>
      <w:r>
        <w:t xml:space="preserve"> </w:t>
      </w:r>
      <w:r>
        <w:t xml:space="preserve">(POST stage)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/api/me/cx/surveys</w:t>
      </w:r>
      <w:r>
        <w:t xml:space="preserve"> </w:t>
      </w:r>
      <w:r>
        <w:t xml:space="preserve">(CRUD)</w:t>
      </w:r>
      <w:r>
        <w:t xml:space="preserve"> </w:t>
      </w:r>
      <w:r>
        <w:rPr>
          <w:rStyle w:val="VerbatimChar"/>
        </w:rPr>
        <w:t xml:space="preserve">/api/me/cx/responses</w:t>
      </w:r>
      <w:r>
        <w:t xml:space="preserve"> </w:t>
      </w:r>
      <w:r>
        <w:t xml:space="preserve">(ingest)</w:t>
      </w:r>
      <w:r>
        <w:t xml:space="preserve"> </w:t>
      </w:r>
      <w:r>
        <w:rPr>
          <w:rStyle w:val="VerbatimChar"/>
        </w:rPr>
        <w:t xml:space="preserve">/api/me/cx/analytics</w:t>
      </w:r>
      <w:r>
        <w:t xml:space="preserve"> </w:t>
      </w:r>
      <w:r>
        <w:t xml:space="preserve">(GET)</w:t>
      </w:r>
    </w:p>
    <w:p>
      <w:pPr>
        <w:pStyle w:val="FirstParagraph"/>
      </w:pPr>
      <w:r>
        <w:t xml:space="preserve">All list endpoints: pagination, sorting, filters; geospatial endpoints support</w:t>
      </w:r>
      <w:r>
        <w:t xml:space="preserve"> </w:t>
      </w:r>
      <w:r>
        <w:rPr>
          <w:rStyle w:val="VerbatimChar"/>
        </w:rPr>
        <w:t xml:space="preserve">?bbox=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roles-permissions"/>
    <w:p>
      <w:pPr>
        <w:pStyle w:val="Heading3"/>
      </w:pPr>
      <w:r>
        <w:t xml:space="preserve">9) 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MEManager</w:t>
            </w:r>
          </w:p>
        </w:tc>
        <w:tc>
          <w:tcPr/>
          <w:p>
            <w:pPr>
              <w:pStyle w:val="Compact"/>
            </w:pPr>
            <w:r>
              <w:t xml:space="preserve">Manage KPIs, indicators, approvals,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Build dashboards, run coverage &amp; NRW analyses, export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CXLead</w:t>
            </w:r>
          </w:p>
        </w:tc>
        <w:tc>
          <w:tcPr/>
          <w:p>
            <w:pPr>
              <w:pStyle w:val="Compact"/>
            </w:pPr>
            <w:r>
              <w:t xml:space="preserve">Manage surveys and CX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SchemeManager</w:t>
            </w:r>
          </w:p>
        </w:tc>
        <w:tc>
          <w:tcPr/>
          <w:p>
            <w:pPr>
              <w:pStyle w:val="Compact"/>
            </w:pPr>
            <w:r>
              <w:t xml:space="preserve">Submit KPI evidence, view scorecards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All + configuration, audit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dashboards-exports"/>
    <w:p>
      <w:pPr>
        <w:pStyle w:val="Heading3"/>
      </w:pPr>
      <w:r>
        <w:t xml:space="preserve">10) Dashboards &amp; Exports</w:t>
      </w:r>
    </w:p>
    <w:p>
      <w:pPr>
        <w:pStyle w:val="Compact"/>
        <w:numPr>
          <w:ilvl w:val="0"/>
          <w:numId w:val="1003"/>
        </w:numPr>
      </w:pPr>
      <w:r>
        <w:t xml:space="preserve">Board Dashboard (top 10 KPIs with targets) — PDF.</w:t>
      </w:r>
    </w:p>
    <w:p>
      <w:pPr>
        <w:pStyle w:val="Compact"/>
        <w:numPr>
          <w:ilvl w:val="0"/>
          <w:numId w:val="1003"/>
        </w:numPr>
      </w:pPr>
      <w:r>
        <w:t xml:space="preserve">Scheme Scorecards — PDF/CSV.</w:t>
      </w:r>
    </w:p>
    <w:p>
      <w:pPr>
        <w:pStyle w:val="Compact"/>
        <w:numPr>
          <w:ilvl w:val="0"/>
          <w:numId w:val="1003"/>
        </w:numPr>
      </w:pPr>
      <w:r>
        <w:t xml:space="preserve">Coverage &amp; Equity maps — GeoJSON/PNG exports.</w:t>
      </w:r>
    </w:p>
    <w:p>
      <w:pPr>
        <w:pStyle w:val="Compact"/>
        <w:numPr>
          <w:ilvl w:val="0"/>
          <w:numId w:val="1003"/>
        </w:numPr>
      </w:pPr>
      <w:r>
        <w:t xml:space="preserve">NRW Portfolio &amp; Savings — CSV/PDF.</w:t>
      </w:r>
    </w:p>
    <w:p>
      <w:pPr>
        <w:pStyle w:val="Compact"/>
        <w:numPr>
          <w:ilvl w:val="0"/>
          <w:numId w:val="1003"/>
        </w:numPr>
      </w:pPr>
      <w:r>
        <w:t xml:space="preserve">CX analytics — CSV &amp; chart images.</w:t>
      </w:r>
    </w:p>
    <w:p>
      <w:r>
        <w:pict>
          <v:rect style="width:0;height:1.5pt" o:hralign="center" o:hrstd="t" o:hr="t"/>
        </w:pict>
      </w:r>
    </w:p>
    <w:bookmarkEnd w:id="29"/>
    <w:bookmarkStart w:id="30" w:name="governance-quality"/>
    <w:p>
      <w:pPr>
        <w:pStyle w:val="Heading3"/>
      </w:pPr>
      <w:r>
        <w:t xml:space="preserve">11) Governance &amp; Quality</w:t>
      </w:r>
    </w:p>
    <w:p>
      <w:pPr>
        <w:pStyle w:val="Compact"/>
        <w:numPr>
          <w:ilvl w:val="0"/>
          <w:numId w:val="1004"/>
        </w:numPr>
      </w:pPr>
      <w:r>
        <w:t xml:space="preserve">Data lineage &amp; formula transparency; evidence attachments and reviewer trail.</w:t>
      </w:r>
    </w:p>
    <w:p>
      <w:pPr>
        <w:pStyle w:val="Compact"/>
        <w:numPr>
          <w:ilvl w:val="0"/>
          <w:numId w:val="1004"/>
        </w:numPr>
      </w:pPr>
      <w:r>
        <w:t xml:space="preserve">Validation rules; outlier flags; commentary log on KPI changes.</w:t>
      </w:r>
    </w:p>
    <w:p>
      <w:pPr>
        <w:pStyle w:val="Compact"/>
        <w:numPr>
          <w:ilvl w:val="0"/>
          <w:numId w:val="1004"/>
        </w:numPr>
      </w:pPr>
      <w:r>
        <w:t xml:space="preserve">Scheduling: KPI rollups nightly; survey digests weekly; NRW savings recompute after interventions.</w:t>
      </w:r>
    </w:p>
    <w:p>
      <w:pPr>
        <w:pStyle w:val="Compact"/>
        <w:numPr>
          <w:ilvl w:val="0"/>
          <w:numId w:val="1004"/>
        </w:numPr>
      </w:pPr>
      <w:r>
        <w:t xml:space="preserve">A11y (WCAG 2.1), i18n (en/ki‑KE); audit via activity logs.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Water Utility Platform — Monitoring, Evaluation &amp; Service Levels Module Specification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2025-10-16T09:10:08Z</dcterms:created>
  <dcterms:modified xsi:type="dcterms:W3CDTF">2025-10-16T09:10:08Z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