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8d85c4d637f0a7b5ab77a1d8984194b446605a"/>
    <w:p>
      <w:pPr>
        <w:pStyle w:val="Heading2"/>
      </w:pPr>
      <w:r>
        <w:t xml:space="preserve">Risk, Compliance &amp; Governance — Functional Specification &amp; UX/UI Guide</w:t>
      </w:r>
    </w:p>
    <w:bookmarkStart w:id="20" w:name="overview"/>
    <w:p>
      <w:pPr>
        <w:pStyle w:val="Heading3"/>
      </w:pPr>
      <w:r>
        <w:t xml:space="preserve">1) Overview</w:t>
      </w:r>
    </w:p>
    <w:p>
      <w:pPr>
        <w:pStyle w:val="FirstParagraph"/>
      </w:pPr>
      <w:r>
        <w:t xml:space="preserve">An integrated governance, risk, and compliance (GRC) module for water utilities. Covers enterprise &amp; operational risk, incidents/issues, business continuity, regulatory reporting (e.g., WARIS), policy lifecycle &amp; attestations, internal audit, HSE &amp; social safeguards, and data privacy/consent. Integrates with CoreOps, HR, Finance, CRM, and GIS. RBAC roles: RiskOfficer, ComplianceOfficer, HSSELead, Auditor, DataProtectionOfficer (DPO), Manager, Admin.</w:t>
      </w:r>
    </w:p>
    <w:p>
      <w:r>
        <w:pict>
          <v:rect style="width:0;height:1.5pt" o:hralign="center" o:hrstd="t" o:hr="t"/>
        </w:pict>
      </w:r>
    </w:p>
    <w:bookmarkEnd w:id="20"/>
    <w:bookmarkStart w:id="21" w:name="risk-register-controls"/>
    <w:p>
      <w:pPr>
        <w:pStyle w:val="Heading3"/>
      </w:pPr>
      <w:r>
        <w:t xml:space="preserve">2) Risk Register &amp; Controls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Risk taxonomy: Strategic, Financial, Operational, Compliance, Environmental, Safety, IT/Privacy.</w:t>
      </w:r>
      <w:r>
        <w:t xml:space="preserve"> </w:t>
      </w:r>
      <w:r>
        <w:t xml:space="preserve">- Registers at enterprise, scheme, and process levels; GIS linkage for location-aware risks.</w:t>
      </w:r>
      <w:r>
        <w:t xml:space="preserve"> </w:t>
      </w:r>
      <w:r>
        <w:t xml:space="preserve">- Inherent vs Residual scoring (Likelihood × Impact), with qualitative scales and numeric mapping; risk appetite thresholds.</w:t>
      </w:r>
      <w:r>
        <w:t xml:space="preserve"> </w:t>
      </w:r>
      <w:r>
        <w:t xml:space="preserve">- Controls library (preventive/detective/corrective), control effectiveness ratings, test plans &amp; evidence.</w:t>
      </w:r>
      <w:r>
        <w:t xml:space="preserve"> </w:t>
      </w:r>
      <w:r>
        <w:t xml:space="preserve">- Treatment plans with owners, milestones, budget, residual target; review cadence &amp; reminders.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Register Grid</w:t>
      </w:r>
      <w:r>
        <w:t xml:space="preserve"> </w:t>
      </w:r>
      <w:r>
        <w:t xml:space="preserve">(TanStack Table)</w:t>
      </w:r>
      <w:r>
        <w:t xml:space="preserve"> </w:t>
      </w:r>
      <w:r>
        <w:t xml:space="preserve">- Columns: risk_id, title, category, owner, likelihood (chip), impact (chip), inherent score, controls (count), residual score, status.</w:t>
      </w:r>
      <w:r>
        <w:t xml:space="preserve"> </w:t>
      </w:r>
      <w:r>
        <w:t xml:space="preserve">- Filters: category chips, owner, score range slider, scheme/DMA, status.</w:t>
      </w:r>
      <w:r>
        <w:t xml:space="preserve"> </w:t>
      </w:r>
      <w:r>
        <w:t xml:space="preserve">- Row actions: View, Update, Link Incident, Export.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Detail Drawer/Page</w:t>
      </w:r>
      <w:r>
        <w:t xml:space="preserve"> </w:t>
      </w:r>
      <w:r>
        <w:t xml:space="preserve">- Sections: Overview, Scoring (sliders), Controls (table), Treatment Plan (Gantt mini), Reviews (timeline), Attachments.</w:t>
      </w:r>
      <w:r>
        <w:t xml:space="preserve"> </w:t>
      </w:r>
      <w:r>
        <w:t xml:space="preserve">- Map panel (Leaflet) for geo‑tagged risks.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Controls Library</w:t>
      </w:r>
      <w:r>
        <w:t xml:space="preserve"> </w:t>
      </w:r>
      <w:r>
        <w:t xml:space="preserve">- Fields: control_code, name, type, objective, frequency, owner, test_procedure (textarea), evidence (file).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Testing</w:t>
      </w:r>
      <w:r>
        <w:t xml:space="preserve"> </w:t>
      </w:r>
      <w:r>
        <w:t xml:space="preserve">workflow: schedule, sample size, results, effectiveness rating.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Heatmap</w:t>
      </w:r>
      <w:r>
        <w:t xml:space="preserve"> </w:t>
      </w:r>
      <w:r>
        <w:t xml:space="preserve">- 5×5 risk matrix (Likelihood vs Impact) with counts; click to filter.</w:t>
      </w:r>
    </w:p>
    <w:p>
      <w:r>
        <w:pict>
          <v:rect style="width:0;height:1.5pt" o:hralign="center" o:hrstd="t" o:hr="t"/>
        </w:pict>
      </w:r>
    </w:p>
    <w:bookmarkEnd w:id="21"/>
    <w:bookmarkStart w:id="22" w:name="incident-issues-management"/>
    <w:p>
      <w:pPr>
        <w:pStyle w:val="Heading3"/>
      </w:pPr>
      <w:r>
        <w:t xml:space="preserve">3) Incident &amp; Issues Management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Capture operational incidents, near-misses, privacy/security incidents, non‑compliance issues.</w:t>
      </w:r>
      <w:r>
        <w:t xml:space="preserve"> </w:t>
      </w:r>
      <w:r>
        <w:t xml:space="preserve">- Root cause analysis (5‑Why/Fishbone option) and corrective actions (CAPA) with verification.</w:t>
      </w:r>
      <w:r>
        <w:t xml:space="preserve"> </w:t>
      </w:r>
      <w:r>
        <w:t xml:space="preserve">- Severity, priority, SLA timers; link to risks/controls/assets/projects.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Incidents Board</w:t>
      </w:r>
      <w:r>
        <w:t xml:space="preserve"> </w:t>
      </w:r>
      <w:r>
        <w:t xml:space="preserve">(Kanban) — New | Triaged | Investigating | Actioning | Verified | Closed.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Intake Form</w:t>
      </w:r>
      <w:r>
        <w:t xml:space="preserve"> </w:t>
      </w:r>
      <w:r>
        <w:t xml:space="preserve">- Fields: type (dropdown: operational/HSE/privacy/security/compliance), severity (chip), location (map), description (textarea), time discovered, reporter, attachments.</w:t>
      </w:r>
      <w:r>
        <w:t xml:space="preserve"> </w:t>
      </w:r>
      <w:r>
        <w:t xml:space="preserve">- RCA tab: method, cause categories, notes.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Tracker</w:t>
      </w:r>
      <w:r>
        <w:t xml:space="preserve"> </w:t>
      </w:r>
      <w:r>
        <w:t xml:space="preserve">- Table: action, owner, due date, status; evidence upload and verification button.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 Widgets</w:t>
      </w:r>
      <w:r>
        <w:t xml:space="preserve"> </w:t>
      </w:r>
      <w:r>
        <w:t xml:space="preserve">- Open by severity, overdue actions; sparkline of incident trend.</w:t>
      </w:r>
    </w:p>
    <w:p>
      <w:r>
        <w:pict>
          <v:rect style="width:0;height:1.5pt" o:hralign="center" o:hrstd="t" o:hr="t"/>
        </w:pict>
      </w:r>
    </w:p>
    <w:bookmarkEnd w:id="22"/>
    <w:bookmarkStart w:id="23" w:name="X32e5e987ef68184e209cd934a9402d84d16cab4"/>
    <w:p>
      <w:pPr>
        <w:pStyle w:val="Heading3"/>
      </w:pPr>
      <w:r>
        <w:t xml:space="preserve">4) Business Continuity &amp; Emergency Response (BCP/ERP)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Continuity plans per critical process, scheme, and site (MTPD, RTO/RPO, dependencies, resources).</w:t>
      </w:r>
      <w:r>
        <w:t xml:space="preserve"> </w:t>
      </w:r>
      <w:r>
        <w:t xml:space="preserve">- Emergency response plans for water quality events, power outages, floods, security; contact trees.</w:t>
      </w:r>
      <w:r>
        <w:t xml:space="preserve"> </w:t>
      </w:r>
      <w:r>
        <w:t xml:space="preserve">- Drills/exercises scheduling, scenarios, outcomes, and after‑action reviews (AARs) with lessons learned.</w:t>
      </w:r>
      <w:r>
        <w:t xml:space="preserve"> </w:t>
      </w:r>
      <w:r>
        <w:t xml:space="preserve">- Event logs during live incidents (timeline, decisions, tasks), public advisory linkages.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BCP Registry</w:t>
      </w:r>
      <w:r>
        <w:t xml:space="preserve"> </w:t>
      </w:r>
      <w:r>
        <w:t xml:space="preserve">- Fields: plan_code, process/site, MTPD, RTO, RPO, resources, dependencies, contacts,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Drills &amp; Exercises</w:t>
      </w:r>
      <w:r>
        <w:t xml:space="preserve"> </w:t>
      </w:r>
      <w:r>
        <w:t xml:space="preserve">- Planner (calendar) with scenario templates; attendance, outcomes, gaps; improvement 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Emergency Console</w:t>
      </w:r>
      <w:r>
        <w:t xml:space="preserve"> </w:t>
      </w:r>
      <w:r>
        <w:t xml:space="preserve">- Live log (timestamp, author, event), task assignment, contact tree, documents, advisory quick‑publish; map with affected area polygon.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AAR Form</w:t>
      </w:r>
      <w:r>
        <w:t xml:space="preserve"> </w:t>
      </w:r>
      <w:r>
        <w:t xml:space="preserve">- Sections: what happened, what worked, what didn’t, actions, owners, deadlines.</w:t>
      </w:r>
    </w:p>
    <w:p>
      <w:r>
        <w:pict>
          <v:rect style="width:0;height:1.5pt" o:hralign="center" o:hrstd="t" o:hr="t"/>
        </w:pict>
      </w:r>
    </w:p>
    <w:bookmarkEnd w:id="23"/>
    <w:bookmarkStart w:id="24" w:name="regulatory-reporting-e.g.-waris"/>
    <w:p>
      <w:pPr>
        <w:pStyle w:val="Heading3"/>
      </w:pPr>
      <w:r>
        <w:t xml:space="preserve">5) Regulatory Reporting (e.g., WARIS)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Automated returns with validation rules; mapping KPIs/fields to internal data sources.</w:t>
      </w:r>
      <w:r>
        <w:t xml:space="preserve"> </w:t>
      </w:r>
      <w:r>
        <w:t xml:space="preserve">- Draft → Validate → Approve → Submit workflow; evidence vault &amp; audit trail.</w:t>
      </w:r>
      <w:r>
        <w:t xml:space="preserve"> </w:t>
      </w:r>
      <w:r>
        <w:t xml:space="preserve">- Versioned submissions, diff view between periods.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 Dashboard</w:t>
      </w:r>
      <w:r>
        <w:t xml:space="preserve"> </w:t>
      </w:r>
      <w:r>
        <w:t xml:space="preserve">- Cards: Due this month/quarter, In Draft, Validation Errors, Submitted.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 Builder</w:t>
      </w:r>
      <w:r>
        <w:t xml:space="preserve"> </w:t>
      </w:r>
      <w:r>
        <w:t xml:space="preserve">- Sections/fields tree; each field shows mapping source, last value, validation status; inline edits (with reason codes); attachments.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Report</w:t>
      </w:r>
      <w:r>
        <w:t xml:space="preserve"> </w:t>
      </w:r>
      <w:r>
        <w:t xml:space="preserve">- Error list with severity; quick jump to field; export to PDF.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Submission Timeline</w:t>
      </w:r>
      <w:r>
        <w:t xml:space="preserve"> </w:t>
      </w:r>
      <w:r>
        <w:t xml:space="preserve">- Version history, approver sign‑offs, regulator receipt refs.</w:t>
      </w:r>
    </w:p>
    <w:p>
      <w:r>
        <w:pict>
          <v:rect style="width:0;height:1.5pt" o:hralign="center" o:hrstd="t" o:hr="t"/>
        </w:pict>
      </w:r>
    </w:p>
    <w:bookmarkEnd w:id="24"/>
    <w:bookmarkStart w:id="25" w:name="policies-sops-attestations"/>
    <w:p>
      <w:pPr>
        <w:pStyle w:val="Heading3"/>
      </w:pPr>
      <w:r>
        <w:t xml:space="preserve">6) Policies, SOPs &amp; Attestations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Policy &amp; SOP lifecycle: Draft → Review → Approve → Publish → Supersede/Archive; versioning.</w:t>
      </w:r>
      <w:r>
        <w:t xml:space="preserve"> </w:t>
      </w:r>
      <w:r>
        <w:t xml:space="preserve">- Audience targeting (roles/teams/sites); read‑receipts and periodic attestations.</w:t>
      </w:r>
      <w:r>
        <w:t xml:space="preserve"> </w:t>
      </w:r>
      <w:r>
        <w:t xml:space="preserve">- Acknowledgement tracking with reminders; quiz/comprehension (optional).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Library</w:t>
      </w:r>
      <w:r>
        <w:t xml:space="preserve"> </w:t>
      </w:r>
      <w:r>
        <w:t xml:space="preserve">- Filters: category, status, owner; columns: code, title, version, effective_from/to, status, audience, attachments.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Editor</w:t>
      </w:r>
      <w:r>
        <w:t xml:space="preserve"> </w:t>
      </w:r>
      <w:r>
        <w:t xml:space="preserve">- Rich text (or uploaded PDF), metadata, reviewers/approvers, change log, publish settings.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Attestation Campaigns</w:t>
      </w:r>
      <w:r>
        <w:t xml:space="preserve"> </w:t>
      </w:r>
      <w:r>
        <w:t xml:space="preserve">- Setup: policy set, audience, due date, reminders; dashboard of completion %, overdue list; export evidence.</w:t>
      </w:r>
    </w:p>
    <w:p>
      <w:r>
        <w:pict>
          <v:rect style="width:0;height:1.5pt" o:hralign="center" o:hrstd="t" o:hr="t"/>
        </w:pict>
      </w:r>
    </w:p>
    <w:bookmarkEnd w:id="25"/>
    <w:bookmarkStart w:id="26" w:name="internal-audit-findings"/>
    <w:p>
      <w:pPr>
        <w:pStyle w:val="Heading3"/>
      </w:pPr>
      <w:r>
        <w:t xml:space="preserve">7) Internal Audit &amp; Findings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Annual audit plan, engagements, and fieldwork programs.</w:t>
      </w:r>
      <w:r>
        <w:t xml:space="preserve"> </w:t>
      </w:r>
      <w:r>
        <w:t xml:space="preserve">- Working papers, evidence uploads, sampling, exceptions; ratings (Effective/Partially/Needs Improvement).</w:t>
      </w:r>
      <w:r>
        <w:t xml:space="preserve"> </w:t>
      </w:r>
      <w:r>
        <w:t xml:space="preserve">- Findings &amp; recommendations with owners, due dates, and follow‑up status.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Plan Board</w:t>
      </w:r>
      <w:r>
        <w:t xml:space="preserve"> </w:t>
      </w:r>
      <w:r>
        <w:t xml:space="preserve">- List of engagements with status; filters by risk rating and function.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Workspace</w:t>
      </w:r>
      <w:r>
        <w:t xml:space="preserve"> </w:t>
      </w:r>
      <w:r>
        <w:t xml:space="preserve">- Tabs: Scope, Program (procedures), Samples, Evidence, Issues/Exceptions, Report.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Findings Register</w:t>
      </w:r>
      <w:r>
        <w:t xml:space="preserve"> </w:t>
      </w:r>
      <w:r>
        <w:t xml:space="preserve">- Columns: title, rating, owner, due, status; follow‑up timeline; management responses.</w:t>
      </w:r>
    </w:p>
    <w:p>
      <w:r>
        <w:pict>
          <v:rect style="width:0;height:1.5pt" o:hralign="center" o:hrstd="t" o:hr="t"/>
        </w:pict>
      </w:r>
    </w:p>
    <w:bookmarkEnd w:id="26"/>
    <w:bookmarkStart w:id="27" w:name="health-safety-social-safeguards"/>
    <w:p>
      <w:pPr>
        <w:pStyle w:val="Heading3"/>
      </w:pPr>
      <w:r>
        <w:t xml:space="preserve">8) Health, Safety &amp; Social Safeguards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HSE incidents &amp; near‑misses; inspections &amp; observations; JSA/PTW links.</w:t>
      </w:r>
      <w:r>
        <w:t xml:space="preserve"> </w:t>
      </w:r>
      <w:r>
        <w:t xml:space="preserve">- Community grievances, stakeholder engagement logs, resettlement action plans (RAPs) tracking.</w:t>
      </w:r>
      <w:r>
        <w:t xml:space="preserve"> </w:t>
      </w:r>
      <w:r>
        <w:t xml:space="preserve">- KPIs: LTIFR, TRIR, open CAPAs, grievance resolution time.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HSE Dashboard</w:t>
      </w:r>
      <w:r>
        <w:t xml:space="preserve"> </w:t>
      </w:r>
      <w:r>
        <w:t xml:space="preserve">- Tiles: LTIFR/TRIR, open incidents, CAPAs; trend charts; inspections scheduled.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Grievance Register</w:t>
      </w:r>
      <w:r>
        <w:t xml:space="preserve"> </w:t>
      </w:r>
      <w:r>
        <w:t xml:space="preserve">- Fields: complainant (masked), channel, location, category, severity, actions, status; map view for hotspots.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RAP Tracker</w:t>
      </w:r>
      <w:r>
        <w:t xml:space="preserve"> </w:t>
      </w:r>
      <w:r>
        <w:t xml:space="preserve">- Households/assets affected, compensation status, community consultations, monitoring indicators.</w:t>
      </w:r>
    </w:p>
    <w:p>
      <w:r>
        <w:pict>
          <v:rect style="width:0;height:1.5pt" o:hralign="center" o:hrstd="t" o:hr="t"/>
        </w:pict>
      </w:r>
    </w:p>
    <w:bookmarkEnd w:id="27"/>
    <w:bookmarkStart w:id="28" w:name="data-privacy-consent-dpo"/>
    <w:p>
      <w:pPr>
        <w:pStyle w:val="Heading3"/>
      </w:pPr>
      <w:r>
        <w:t xml:space="preserve">9) Data Privacy &amp; Consent (DPO)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Consent records with purpose, lawful basis, expiry/withdrawal; channel capture logs.</w:t>
      </w:r>
      <w:r>
        <w:t xml:space="preserve"> </w:t>
      </w:r>
      <w:r>
        <w:t xml:space="preserve">- Data retention policies by dataset; deletion &amp; anonymization jobs; hold exceptions for legal cases.</w:t>
      </w:r>
      <w:r>
        <w:t xml:space="preserve"> </w:t>
      </w:r>
      <w:r>
        <w:t xml:space="preserve">- DSAR handling (access/rectify/erase/restrict/portability/objection) with SLAs and evidence.</w:t>
      </w:r>
      <w:r>
        <w:t xml:space="preserve"> </w:t>
      </w:r>
      <w:r>
        <w:t xml:space="preserve">- Privacy incidents &amp; breach notifications workflow.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Registry</w:t>
      </w:r>
      <w:r>
        <w:t xml:space="preserve"> </w:t>
      </w:r>
      <w:r>
        <w:t xml:space="preserve">- Columns: subject_id (hashed), purpose, basis, collected_at, expiry, status; proofs/receipts.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 Schedules</w:t>
      </w:r>
      <w:r>
        <w:t xml:space="preserve"> </w:t>
      </w:r>
      <w:r>
        <w:t xml:space="preserve">- Table by dataset: policy, retention period, action on expiry, last purge date; run purge job.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DSAR Console</w:t>
      </w:r>
      <w:r>
        <w:t xml:space="preserve"> </w:t>
      </w:r>
      <w:r>
        <w:t xml:space="preserve">- Intake form, identity verification checklist, clock timers, response composer, attachments; status timeline.</w:t>
      </w:r>
    </w:p>
    <w:p>
      <w:r>
        <w:pict>
          <v:rect style="width:0;height:1.5pt" o:hralign="center" o:hrstd="t" o:hr="t"/>
        </w:pict>
      </w:r>
    </w:p>
    <w:bookmarkEnd w:id="28"/>
    <w:bookmarkStart w:id="29" w:name="shared-ux-patterns-tech"/>
    <w:p>
      <w:pPr>
        <w:pStyle w:val="Heading3"/>
      </w:pPr>
      <w:r>
        <w:t xml:space="preserve">10) Shared UX Patterns &amp; Tech</w:t>
      </w:r>
    </w:p>
    <w:p>
      <w:pPr>
        <w:pStyle w:val="Compact"/>
        <w:numPr>
          <w:ilvl w:val="0"/>
          <w:numId w:val="1001"/>
        </w:numPr>
      </w:pPr>
      <w:r>
        <w:t xml:space="preserve">Data tables with server‑side pagination, filters, CSV/PDF export.</w:t>
      </w:r>
    </w:p>
    <w:p>
      <w:pPr>
        <w:pStyle w:val="Compact"/>
        <w:numPr>
          <w:ilvl w:val="0"/>
          <w:numId w:val="1001"/>
        </w:numPr>
      </w:pPr>
      <w:r>
        <w:t xml:space="preserve">Leaflet maps for geo‑risks/incidents and RAP progress; VectorGrid for heavy layers.</w:t>
      </w:r>
    </w:p>
    <w:p>
      <w:pPr>
        <w:pStyle w:val="Compact"/>
        <w:numPr>
          <w:ilvl w:val="0"/>
          <w:numId w:val="1001"/>
        </w:numPr>
      </w:pPr>
      <w:r>
        <w:t xml:space="preserve">Forms with react‑hook‑form + Zod; rich‑text editor for SOPs/policies.</w:t>
      </w:r>
    </w:p>
    <w:p>
      <w:pPr>
        <w:pStyle w:val="Compact"/>
        <w:numPr>
          <w:ilvl w:val="0"/>
          <w:numId w:val="1001"/>
        </w:numPr>
      </w:pPr>
      <w:r>
        <w:t xml:space="preserve">Workflow components: status chips, action buttons, comment threads, attachments, audit trail.</w:t>
      </w:r>
    </w:p>
    <w:p>
      <w:pPr>
        <w:pStyle w:val="Compact"/>
        <w:numPr>
          <w:ilvl w:val="0"/>
          <w:numId w:val="1001"/>
        </w:numPr>
      </w:pPr>
      <w:r>
        <w:t xml:space="preserve">Notifications &amp; reminders (email/SMS/WhatsApp) with templates.</w:t>
      </w:r>
    </w:p>
    <w:p>
      <w:pPr>
        <w:pStyle w:val="Compact"/>
        <w:numPr>
          <w:ilvl w:val="0"/>
          <w:numId w:val="1001"/>
        </w:numPr>
      </w:pPr>
      <w:r>
        <w:t xml:space="preserve">Access control via spatie/permission; activity log; evidence immutability (content hashes, signed URLs).</w:t>
      </w:r>
    </w:p>
    <w:p>
      <w:r>
        <w:pict>
          <v:rect style="width:0;height:1.5pt" o:hralign="center" o:hrstd="t" o:hr="t"/>
        </w:pict>
      </w:r>
    </w:p>
    <w:bookmarkEnd w:id="29"/>
    <w:bookmarkStart w:id="30" w:name="kpis-reports"/>
    <w:p>
      <w:pPr>
        <w:pStyle w:val="Heading3"/>
      </w:pPr>
      <w:r>
        <w:t xml:space="preserve">11) KPIs &amp; Reports</w:t>
      </w:r>
    </w:p>
    <w:p>
      <w:pPr>
        <w:pStyle w:val="Compact"/>
        <w:numPr>
          <w:ilvl w:val="0"/>
          <w:numId w:val="1002"/>
        </w:numPr>
      </w:pPr>
      <w:r>
        <w:t xml:space="preserve">Enterprise risk heatmap and trends; control effectiveness score.</w:t>
      </w:r>
    </w:p>
    <w:p>
      <w:pPr>
        <w:pStyle w:val="Compact"/>
        <w:numPr>
          <w:ilvl w:val="0"/>
          <w:numId w:val="1002"/>
        </w:numPr>
      </w:pPr>
      <w:r>
        <w:t xml:space="preserve">Incident SLA compliance, mean time to close, CAPA overdue.</w:t>
      </w:r>
    </w:p>
    <w:p>
      <w:pPr>
        <w:pStyle w:val="Compact"/>
        <w:numPr>
          <w:ilvl w:val="0"/>
          <w:numId w:val="1002"/>
        </w:numPr>
      </w:pPr>
      <w:r>
        <w:t xml:space="preserve">BCP drill coverage %, open actions, AAR completion.</w:t>
      </w:r>
    </w:p>
    <w:p>
      <w:pPr>
        <w:pStyle w:val="Compact"/>
        <w:numPr>
          <w:ilvl w:val="0"/>
          <w:numId w:val="1002"/>
        </w:numPr>
      </w:pPr>
      <w:r>
        <w:t xml:space="preserve">Regulatory returns on‑time %, validation pass rate, change logs.</w:t>
      </w:r>
    </w:p>
    <w:p>
      <w:pPr>
        <w:pStyle w:val="Compact"/>
        <w:numPr>
          <w:ilvl w:val="0"/>
          <w:numId w:val="1002"/>
        </w:numPr>
      </w:pPr>
      <w:r>
        <w:t xml:space="preserve">Policy attestation completion rate; audit findings aging; grievance resolution time.</w:t>
      </w:r>
    </w:p>
    <w:p>
      <w:r>
        <w:pict>
          <v:rect style="width:0;height:1.5pt" o:hralign="center" o:hrstd="t" o:hr="t"/>
        </w:pict>
      </w:r>
    </w:p>
    <w:bookmarkEnd w:id="30"/>
    <w:bookmarkStart w:id="31" w:name="acceptance-governance"/>
    <w:p>
      <w:pPr>
        <w:pStyle w:val="Heading3"/>
      </w:pPr>
      <w:r>
        <w:t xml:space="preserve">12) Acceptance &amp; Governance</w:t>
      </w:r>
    </w:p>
    <w:p>
      <w:pPr>
        <w:pStyle w:val="Compact"/>
        <w:numPr>
          <w:ilvl w:val="0"/>
          <w:numId w:val="1003"/>
        </w:numPr>
      </w:pPr>
      <w:r>
        <w:t xml:space="preserve">Risk scoring change requires reason + approver; versioned history.</w:t>
      </w:r>
    </w:p>
    <w:p>
      <w:pPr>
        <w:pStyle w:val="Compact"/>
        <w:numPr>
          <w:ilvl w:val="0"/>
          <w:numId w:val="1003"/>
        </w:numPr>
      </w:pPr>
      <w:r>
        <w:t xml:space="preserve">Incidents &amp; CAPAs fully traceable; SLA timers enforced; reminders for overdue.</w:t>
      </w:r>
    </w:p>
    <w:p>
      <w:pPr>
        <w:pStyle w:val="Compact"/>
        <w:numPr>
          <w:ilvl w:val="0"/>
          <w:numId w:val="1003"/>
        </w:numPr>
      </w:pPr>
      <w:r>
        <w:t xml:space="preserve">Regulatory returns validated before submission; immutable audit trail.</w:t>
      </w:r>
    </w:p>
    <w:p>
      <w:pPr>
        <w:pStyle w:val="Compact"/>
        <w:numPr>
          <w:ilvl w:val="0"/>
          <w:numId w:val="1003"/>
        </w:numPr>
      </w:pPr>
      <w:r>
        <w:t xml:space="preserve">Policy publication triggers attestation campaign; evidence exportable.</w:t>
      </w:r>
    </w:p>
    <w:p>
      <w:pPr>
        <w:pStyle w:val="Compact"/>
        <w:numPr>
          <w:ilvl w:val="0"/>
          <w:numId w:val="1003"/>
        </w:numPr>
      </w:pPr>
      <w:r>
        <w:t xml:space="preserve">DSAR deadlines enforced (e.g., 30 days); privacy incidents escalated; purge jobs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Risk, Compliance &amp; Governance Module Specification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2025-10-16T09:19:04Z</dcterms:created>
  <dcterms:modified xsi:type="dcterms:W3CDTF">2025-10-16T09:19:04Z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