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c731bb9aa7f394350bc375fc19019d79bd1f1d"/>
    <w:p>
      <w:pPr>
        <w:pStyle w:val="Heading2"/>
      </w:pPr>
      <w:r>
        <w:t xml:space="preserve">Community &amp; Stakeholder Module — Functional Specification &amp; UX/UI Guide</w:t>
      </w:r>
    </w:p>
    <w:bookmarkStart w:id="20" w:name="purpose-scope"/>
    <w:p>
      <w:pPr>
        <w:pStyle w:val="Heading3"/>
      </w:pPr>
      <w:r>
        <w:t xml:space="preserve">1) Purpose &amp; Scope</w:t>
      </w:r>
    </w:p>
    <w:p>
      <w:pPr>
        <w:pStyle w:val="FirstParagraph"/>
      </w:pPr>
      <w:r>
        <w:t xml:space="preserve">A world‑class module that empowers</w:t>
      </w:r>
      <w:r>
        <w:t xml:space="preserve"> </w:t>
      </w:r>
      <w:r>
        <w:rPr>
          <w:b/>
          <w:bCs/>
        </w:rPr>
        <w:t xml:space="preserve">rural and urban communities, vendors/partners, civil society, regulators, and public audiences</w:t>
      </w:r>
      <w:r>
        <w:t xml:space="preserve"> </w:t>
      </w:r>
      <w:r>
        <w:t xml:space="preserve">to engage transparently with the water utility. Anchored on inclusive governance (RWSS committees), accountable workflows (GRM), and</w:t>
      </w:r>
      <w:r>
        <w:t xml:space="preserve"> </w:t>
      </w:r>
      <w:r>
        <w:rPr>
          <w:b/>
          <w:bCs/>
        </w:rPr>
        <w:t xml:space="preserve">open data</w:t>
      </w:r>
      <w:r>
        <w:t xml:space="preserve"> </w:t>
      </w:r>
      <w:r>
        <w:t xml:space="preserve">while protecting privacy.</w:t>
      </w:r>
    </w:p>
    <w:p>
      <w:pPr>
        <w:pStyle w:val="BodyText"/>
      </w:pPr>
      <w:r>
        <w:t xml:space="preserve">Roles: CommunityOfficer, SocialSafeguardsLead, RWSSChair/Secretary/Treasurer, ProcurementLiaison, VendorUser, PartnerNGO, WardAdmin, TransparencyPublisher, Admin.</w:t>
      </w:r>
    </w:p>
    <w:p>
      <w:r>
        <w:pict>
          <v:rect style="width:0;height:1.5pt" o:hralign="center" o:hrstd="t" o:hr="t"/>
        </w:pict>
      </w:r>
    </w:p>
    <w:bookmarkEnd w:id="20"/>
    <w:bookmarkStart w:id="21" w:name="community-water-committees-rwss"/>
    <w:p>
      <w:pPr>
        <w:pStyle w:val="Heading3"/>
      </w:pPr>
      <w:r>
        <w:t xml:space="preserve">2) Community Water Committees (RWSS)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Committee registry per scheme/community: roles (Chair/Secretary/Treasurer/Auditor/Member), terms, elections, and compliance (gender/inclusion quotas).</w:t>
      </w:r>
      <w:r>
        <w:t xml:space="preserve"> </w:t>
      </w:r>
      <w:r>
        <w:t xml:space="preserve">- Meeting management: agendas, attendance, minutes, resolutions, action items with owners &amp; due dates.</w:t>
      </w:r>
      <w:r>
        <w:t xml:space="preserve"> </w:t>
      </w:r>
      <w:r>
        <w:t xml:space="preserve">- Community finances: cashbook (receipts/payments), tariffs/levies, petty cash, bank reconciliations, audits.</w:t>
      </w:r>
      <w:r>
        <w:t xml:space="preserve"> </w:t>
      </w:r>
      <w:r>
        <w:t xml:space="preserve">- Asset &amp; O&amp;M linkage: small scheme assets, WOs raised by committees, service downtime logs.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Committee Directory</w:t>
      </w:r>
      <w:r>
        <w:t xml:space="preserve"> </w:t>
      </w:r>
      <w:r>
        <w:t xml:space="preserve">(table)</w:t>
      </w:r>
      <w:r>
        <w:t xml:space="preserve"> </w:t>
      </w:r>
      <w:r>
        <w:t xml:space="preserve">- Columns: community/scheme, members count, term period, last election, compliance flags (gender %, quorum), risk level.</w:t>
      </w:r>
      <w:r>
        <w:t xml:space="preserve"> </w:t>
      </w:r>
      <w:r>
        <w:t xml:space="preserve">- Filters: county/sub‑county/ward, status (active/inactive), election due.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Committee Profile Page</w:t>
      </w:r>
      <w:r>
        <w:t xml:space="preserve"> </w:t>
      </w:r>
      <w:r>
        <w:t xml:space="preserve">- Tabs: Overview | Members | Meetings | Actions | Finance | Audits | Documents.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</w:t>
      </w:r>
      <w:r>
        <w:t xml:space="preserve">: add/edit (name, contact, role, term start/end, ID), photo upload, role history.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Meetings</w:t>
      </w:r>
      <w:r>
        <w:t xml:space="preserve">: planner (date/time/venue), agenda builder, attendance (checklist), minutes editor (rich text), resolutions (chips), action items (table: action, owner, due, status) with reminders.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</w:t>
      </w:r>
      <w:r>
        <w:t xml:space="preserve">: cashbook entries (date, ref, description, receipt/payment, amount, fund source, ledger), bank reconciliation (statement import CSV), monthly summary and variance vs. budget.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Audits</w:t>
      </w:r>
      <w:r>
        <w:t xml:space="preserve">: audit plan, findings (severity chips), recommendations &amp; CAPA tracking; upload evidence.</w:t>
      </w:r>
    </w:p>
    <w:p>
      <w:r>
        <w:pict>
          <v:rect style="width:0;height:1.5pt" o:hralign="center" o:hrstd="t" o:hr="t"/>
        </w:pict>
      </w:r>
    </w:p>
    <w:bookmarkEnd w:id="21"/>
    <w:bookmarkStart w:id="22" w:name="vendor-partner-portal"/>
    <w:p>
      <w:pPr>
        <w:pStyle w:val="Heading3"/>
      </w:pPr>
      <w:r>
        <w:t xml:space="preserve">3) Vendor &amp; Partner Portal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External portal for vendors &amp; partners: registration, KYC, capability profile;</w:t>
      </w:r>
      <w:r>
        <w:t xml:space="preserve"> </w:t>
      </w:r>
      <w:r>
        <w:rPr>
          <w:b/>
          <w:bCs/>
        </w:rPr>
        <w:t xml:space="preserve">bid submission</w:t>
      </w:r>
      <w:r>
        <w:t xml:space="preserve"> </w:t>
      </w:r>
      <w:r>
        <w:t xml:space="preserve">against RFQs;</w:t>
      </w:r>
      <w:r>
        <w:t xml:space="preserve"> </w:t>
      </w:r>
      <w:r>
        <w:rPr>
          <w:b/>
          <w:bCs/>
        </w:rPr>
        <w:t xml:space="preserve">delivery notes</w:t>
      </w:r>
      <w:r>
        <w:t xml:space="preserve"> </w:t>
      </w:r>
      <w:r>
        <w:t xml:space="preserve">&amp; service confirmations; view</w:t>
      </w:r>
      <w:r>
        <w:t xml:space="preserve"> </w:t>
      </w:r>
      <w:r>
        <w:rPr>
          <w:b/>
          <w:bCs/>
        </w:rPr>
        <w:t xml:space="preserve">payment status</w:t>
      </w:r>
      <w:r>
        <w:t xml:space="preserve">; provide</w:t>
      </w:r>
      <w:r>
        <w:t xml:space="preserve"> </w:t>
      </w:r>
      <w:r>
        <w:rPr>
          <w:b/>
          <w:bCs/>
        </w:rPr>
        <w:t xml:space="preserve">performance feedback</w:t>
      </w:r>
      <w:r>
        <w:t xml:space="preserve">.</w:t>
      </w:r>
      <w:r>
        <w:t xml:space="preserve"> </w:t>
      </w:r>
      <w:r>
        <w:t xml:space="preserve">- Messaging &amp; clarifications per RFQ; document templates; electronic signatures.</w:t>
      </w:r>
      <w:r>
        <w:t xml:space="preserve"> </w:t>
      </w:r>
      <w:r>
        <w:t xml:space="preserve">- Performance scorecards: OTIF, quality, responsiveness; dispute/appeal workflow.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Onboarding Wizard</w:t>
      </w:r>
      <w:r>
        <w:t xml:space="preserve"> </w:t>
      </w:r>
      <w:r>
        <w:t xml:space="preserve">- Steps: Company details, contacts, certifications (uploads), categories, bank/KRA info, declarations, e‑signature.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 Center</w:t>
      </w:r>
      <w:r>
        <w:t xml:space="preserve"> </w:t>
      </w:r>
      <w:r>
        <w:t xml:space="preserve">- RFQ list with status; detail view with lots/items; Q&amp;A tab; submit bid (price table, lead times, attachments). Validation for completeness; lock at closing.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Deliveries &amp; Invoices</w:t>
      </w:r>
      <w:r>
        <w:t xml:space="preserve"> </w:t>
      </w:r>
      <w:r>
        <w:t xml:space="preserve">- Create Delivery Note (PO/LPO reference, items, quantities, GRN file/photo); submit invoice (PDF) with metadata; track approval stages.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- Card/table: invoice status (submitted/verified/approved/paid), expected date, amount, reconciliation reference.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Scorecards</w:t>
      </w:r>
      <w:r>
        <w:t xml:space="preserve"> </w:t>
      </w:r>
      <w:r>
        <w:t xml:space="preserve">- Charts: OTIF %, defects/returns, average response time; feedback form (rating + comments + files).</w:t>
      </w:r>
    </w:p>
    <w:p>
      <w:r>
        <w:pict>
          <v:rect style="width:0;height:1.5pt" o:hralign="center" o:hrstd="t" o:hr="t"/>
        </w:pict>
      </w:r>
    </w:p>
    <w:bookmarkEnd w:id="22"/>
    <w:bookmarkStart w:id="23" w:name="X5108067fd5c42d961e9b907cf170e5eccb2a14a"/>
    <w:p>
      <w:pPr>
        <w:pStyle w:val="Heading3"/>
      </w:pPr>
      <w:r>
        <w:t xml:space="preserve">4) Stakeholder Engagement &amp; GRM (Grievance Redress Mechanism)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Stakeholder mapping: groups (community, NGO, CBO, county gov’t, regulators, vulnerable populations), influence/interest grid.</w:t>
      </w:r>
      <w:r>
        <w:t xml:space="preserve"> </w:t>
      </w:r>
      <w:r>
        <w:t xml:space="preserve">- Engagement plans: objectives, activities, audiences, channels, KPIs; event calendaring and attendance.</w:t>
      </w:r>
      <w:r>
        <w:t xml:space="preserve"> </w:t>
      </w:r>
      <w:r>
        <w:t xml:space="preserve">- Grievances: intake (multi‑channel — portal, WhatsApp/SMS/USSD, call center), classification, routing, SLA timers, escalation;</w:t>
      </w:r>
      <w:r>
        <w:t xml:space="preserve"> </w:t>
      </w:r>
      <w:r>
        <w:rPr>
          <w:b/>
          <w:bCs/>
        </w:rPr>
        <w:t xml:space="preserve">resolution workflow</w:t>
      </w:r>
      <w:r>
        <w:t xml:space="preserve"> </w:t>
      </w:r>
      <w:r>
        <w:t xml:space="preserve">with evidence and community sign‑off.</w:t>
      </w:r>
      <w:r>
        <w:t xml:space="preserve"> </w:t>
      </w:r>
      <w:r>
        <w:t xml:space="preserve">- Transparency boards: planned works, outage schedules, budgets spent, service levels; local language support.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Stakeholder Map</w:t>
      </w:r>
      <w:r>
        <w:t xml:space="preserve"> </w:t>
      </w:r>
      <w:r>
        <w:t xml:space="preserve">- Directory with tags; contact &amp; consent flags; influence vs interest scatterplot.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Planner</w:t>
      </w:r>
      <w:r>
        <w:t xml:space="preserve"> </w:t>
      </w:r>
      <w:r>
        <w:t xml:space="preserve">- Calendar; activity form (title, audience, channel, location map, date/time, objective, materials); attendance capture with QR check‑in; post‑event outcomes.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GRM Console</w:t>
      </w:r>
      <w:r>
        <w:t xml:space="preserve"> </w:t>
      </w:r>
      <w:r>
        <w:t xml:space="preserve">(Kanban)</w:t>
      </w:r>
      <w:r>
        <w:t xml:space="preserve"> </w:t>
      </w:r>
      <w:r>
        <w:t xml:space="preserve">- Columns: New | Triaged | Assigned | In Progress | Awaiting Community | Resolved | Closed.</w:t>
      </w:r>
      <w:r>
        <w:t xml:space="preserve"> </w:t>
      </w:r>
      <w:r>
        <w:t xml:space="preserve">- Ticket form: category (water quality/billing/service/land/resettlement/other), severity, location (map), description, attachments, reporter details (PII masked), channel; SLA chips; action buttons (assign, request info, propose resolution, close).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Community Sign‑off Modal</w:t>
      </w:r>
      <w:r>
        <w:t xml:space="preserve">: resolution summary, photos, signature capture, SMS one‑time 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Transparency Boards</w:t>
      </w:r>
      <w:r>
        <w:t xml:space="preserve"> </w:t>
      </w:r>
      <w:r>
        <w:t xml:space="preserve">- Public‑facing pages/cards: projects progress, outages calendar, budgets vs spend, KPIs; downloadable datasets.</w:t>
      </w:r>
    </w:p>
    <w:p>
      <w:r>
        <w:pict>
          <v:rect style="width:0;height:1.5pt" o:hralign="center" o:hrstd="t" o:hr="t"/>
        </w:pict>
      </w:r>
    </w:p>
    <w:bookmarkEnd w:id="23"/>
    <w:bookmarkStart w:id="24" w:name="open-data-transparency"/>
    <w:p>
      <w:pPr>
        <w:pStyle w:val="Heading3"/>
      </w:pPr>
      <w:r>
        <w:t xml:space="preserve">5) Open Data &amp; Transparency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Shareable datasets with licenses (ODC‑BY/CC BY 4.0); API keys for public developers.</w:t>
      </w:r>
      <w:r>
        <w:t xml:space="preserve"> </w:t>
      </w:r>
      <w:r>
        <w:t xml:space="preserve">- Dataset builder with field selection, privacy filters (anonymization/aggregation), refresh cadence.</w:t>
      </w:r>
      <w:r>
        <w:t xml:space="preserve"> </w:t>
      </w:r>
      <w:r>
        <w:t xml:space="preserve">- Public maps (MVT/vector tiles) and charts; data stories (narratives with charts/maps/images).</w:t>
      </w:r>
      <w:r>
        <w:t xml:space="preserve"> </w:t>
      </w:r>
      <w:r>
        <w:t xml:space="preserve">- FoI/Access‑to‑information request workflow.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 Data Catalog</w:t>
      </w:r>
      <w:r>
        <w:t xml:space="preserve"> </w:t>
      </w:r>
      <w:r>
        <w:t xml:space="preserve">- Search; filters: topic (operations/finance/quality/projects), license, freshness; dataset detail: schema, sample rows, API endpoints, terms.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 Builder</w:t>
      </w:r>
      <w:r>
        <w:t xml:space="preserve"> </w:t>
      </w:r>
      <w:r>
        <w:t xml:space="preserve">- Pick source tables/views, transformations (group, aggregate, hash, redact), validation preview; schedule refresh.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Maps</w:t>
      </w:r>
      <w:r>
        <w:t xml:space="preserve"> </w:t>
      </w:r>
      <w:r>
        <w:t xml:space="preserve">- Layers: coverage, outages, projects, kiosks; legend, download GeoJSON/CSV; embed code generator.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Stories</w:t>
      </w:r>
      <w:r>
        <w:t xml:space="preserve"> </w:t>
      </w:r>
      <w:r>
        <w:t xml:space="preserve">- Editor with blocks (text, chart, map, image, quote); publish with share link.</w:t>
      </w:r>
    </w:p>
    <w:p>
      <w:r>
        <w:pict>
          <v:rect style="width:0;height:1.5pt" o:hralign="center" o:hrstd="t" o:hr="t"/>
        </w:pict>
      </w:r>
    </w:p>
    <w:bookmarkEnd w:id="24"/>
    <w:bookmarkStart w:id="25" w:name="data-model-highlevel"/>
    <w:p>
      <w:pPr>
        <w:pStyle w:val="Heading3"/>
      </w:pPr>
      <w:r>
        <w:t xml:space="preserve">6) Data Model (high‑level)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committees</w:t>
      </w:r>
      <w:r>
        <w:t xml:space="preserve">(scheme_id, name, bylaws_json, term_start, term_end, quotas_json)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committee_members</w:t>
      </w:r>
      <w:r>
        <w:t xml:space="preserve">(committee_id, person_json, role, term_start, term_end, contact_json)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meetings</w:t>
      </w:r>
      <w:r>
        <w:t xml:space="preserve">(committee_id, scheduled_at, venue, agenda_json, minutes_richtext, attendance_json, resolutions_json)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cashbook_entries</w:t>
      </w:r>
      <w:r>
        <w:t xml:space="preserve">(committee_id, date, ref_no, particulars, type:receipt/payment, amount, fund_source, ledger, attachment_key)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audits</w:t>
      </w:r>
      <w:r>
        <w:t xml:space="preserve">(committee_id, period, findings_json, recommendations_json, 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vendors</w:t>
      </w:r>
      <w:r>
        <w:t xml:space="preserve">(profile_json, kyc_json, categories[], bank_json, scorecard_json)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bids</w:t>
      </w:r>
      <w:r>
        <w:t xml:space="preserve">(rfq_id, vendor_id, items_json, price_total, 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deliveries</w:t>
      </w:r>
      <w:r>
        <w:t xml:space="preserve">(po_id, vendor_id, items_json, docs[], status)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invoices</w:t>
      </w:r>
      <w:r>
        <w:t xml:space="preserve">(vendor_id, po_id, amount, currency, status, approvals_json)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stakeholders</w:t>
      </w:r>
      <w:r>
        <w:t xml:space="preserve">(type, contact_json, consent_flags_json, influence, interest, tags[])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engagements</w:t>
      </w:r>
      <w:r>
        <w:t xml:space="preserve">(title, audience[], channel, location_geom, scheduled_at, outcomes_json)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grievances</w:t>
      </w:r>
      <w:r>
        <w:t xml:space="preserve">(category, severity, status, location_geom, reporter_json(masked), details_richtext, sla_due_at, resolution_json, evidence_json, signoff_json)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datasets</w:t>
      </w:r>
      <w:r>
        <w:t xml:space="preserve">(title, description, license, source_ref, transform_json, refresh_cron, visibility, api_slug)</w:t>
      </w:r>
    </w:p>
    <w:p>
      <w:pPr>
        <w:pStyle w:val="FirstParagraph"/>
      </w:pPr>
      <w:r>
        <w:t xml:space="preserve">(Spatial columns with PostGIS SRID=4326; media via S3 keys.)</w:t>
      </w:r>
    </w:p>
    <w:p>
      <w:r>
        <w:pict>
          <v:rect style="width:0;height:1.5pt" o:hralign="center" o:hrstd="t" o:hr="t"/>
        </w:pict>
      </w:r>
    </w:p>
    <w:bookmarkEnd w:id="25"/>
    <w:bookmarkStart w:id="26" w:name="apis-illustrative"/>
    <w:p>
      <w:pPr>
        <w:pStyle w:val="Heading3"/>
      </w:pPr>
      <w:r>
        <w:t xml:space="preserve">7) APIs (illustrative)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/api/community/committees</w:t>
      </w:r>
      <w:r>
        <w:t xml:space="preserve"> </w:t>
      </w:r>
      <w:r>
        <w:t xml:space="preserve">(CRUD + elections, meetings)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/api/community/finance/cashbook</w:t>
      </w:r>
      <w:r>
        <w:t xml:space="preserve"> </w:t>
      </w:r>
      <w:r>
        <w:t xml:space="preserve">(CRUD + import CSV)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/api/partner/vendors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/api/partner/bids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/api/partner/deliveries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/api/partner/invoices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/api/stakeholders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/api/engagements</w:t>
      </w:r>
      <w:r>
        <w:t xml:space="preserve"> </w:t>
      </w:r>
      <w:r>
        <w:t xml:space="preserve">(calendar) |</w:t>
      </w:r>
      <w:r>
        <w:t xml:space="preserve"> </w:t>
      </w:r>
      <w:r>
        <w:rPr>
          <w:rStyle w:val="VerbatimChar"/>
        </w:rPr>
        <w:t xml:space="preserve">/api/grm/tickets</w:t>
      </w:r>
      <w:r>
        <w:t xml:space="preserve"> </w:t>
      </w:r>
      <w:r>
        <w:t xml:space="preserve">(CRUD + transitions + sign‑off)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/api/open-data/catalog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/api/open-data/datasets</w:t>
      </w:r>
      <w:r>
        <w:t xml:space="preserve"> </w:t>
      </w:r>
      <w:r>
        <w:t xml:space="preserve">(builder, publish) |</w:t>
      </w:r>
      <w:r>
        <w:t xml:space="preserve"> </w:t>
      </w:r>
      <w:r>
        <w:rPr>
          <w:rStyle w:val="VerbatimChar"/>
        </w:rPr>
        <w:t xml:space="preserve">/api/open-data/tiles/{layer}/{z}/{x}/{y}.mvt</w:t>
      </w:r>
    </w:p>
    <w:p>
      <w:pPr>
        <w:pStyle w:val="Compact"/>
        <w:numPr>
          <w:ilvl w:val="0"/>
          <w:numId w:val="1002"/>
        </w:numPr>
      </w:pPr>
      <w:r>
        <w:t xml:space="preserve">Public endpoints with API keys &amp; rate limits; PII‑safe views for open data.</w:t>
      </w:r>
    </w:p>
    <w:p>
      <w:r>
        <w:pict>
          <v:rect style="width:0;height:1.5pt" o:hralign="center" o:hrstd="t" o:hr="t"/>
        </w:pict>
      </w:r>
    </w:p>
    <w:bookmarkEnd w:id="26"/>
    <w:bookmarkStart w:id="27" w:name="ux-rules-components"/>
    <w:p>
      <w:pPr>
        <w:pStyle w:val="Heading3"/>
      </w:pPr>
      <w:r>
        <w:t xml:space="preserve">8) UX Rules &amp; Components</w:t>
      </w:r>
    </w:p>
    <w:p>
      <w:pPr>
        <w:pStyle w:val="Compact"/>
        <w:numPr>
          <w:ilvl w:val="0"/>
          <w:numId w:val="1003"/>
        </w:numPr>
      </w:pPr>
      <w:r>
        <w:t xml:space="preserve">DataTables (server‑side), filters, CSV/PDF export; role‑aware actions.</w:t>
      </w:r>
    </w:p>
    <w:p>
      <w:pPr>
        <w:pStyle w:val="Compact"/>
        <w:numPr>
          <w:ilvl w:val="0"/>
          <w:numId w:val="1003"/>
        </w:numPr>
      </w:pPr>
      <w:r>
        <w:t xml:space="preserve">Forms: react‑hook‑form + Zod; signature pad &amp; QR check‑in; phone/email validators.</w:t>
      </w:r>
    </w:p>
    <w:p>
      <w:pPr>
        <w:pStyle w:val="Compact"/>
        <w:numPr>
          <w:ilvl w:val="0"/>
          <w:numId w:val="1003"/>
        </w:numPr>
      </w:pPr>
      <w:r>
        <w:t xml:space="preserve">Maps: Leaflet VectorGrid for public layers; bbox filters; mobile‑friendly public pages.</w:t>
      </w:r>
    </w:p>
    <w:p>
      <w:pPr>
        <w:pStyle w:val="Compact"/>
        <w:numPr>
          <w:ilvl w:val="0"/>
          <w:numId w:val="1003"/>
        </w:numPr>
      </w:pPr>
      <w:r>
        <w:t xml:space="preserve">Notifications: email/SMS/WhatsApp templates for meeting invites, bid status, grievance updates.</w:t>
      </w:r>
    </w:p>
    <w:p>
      <w:pPr>
        <w:pStyle w:val="Compact"/>
        <w:numPr>
          <w:ilvl w:val="0"/>
          <w:numId w:val="1003"/>
        </w:numPr>
      </w:pPr>
      <w:r>
        <w:t xml:space="preserve">Accessibility: WCAG 2.1 AA; multilingual (en/ki‑KE) with right‑to‑left readiness.</w:t>
      </w:r>
    </w:p>
    <w:p>
      <w:r>
        <w:pict>
          <v:rect style="width:0;height:1.5pt" o:hralign="center" o:hrstd="t" o:hr="t"/>
        </w:pict>
      </w:r>
    </w:p>
    <w:bookmarkEnd w:id="27"/>
    <w:bookmarkStart w:id="28" w:name="governance-safeguards"/>
    <w:p>
      <w:pPr>
        <w:pStyle w:val="Heading3"/>
      </w:pPr>
      <w:r>
        <w:t xml:space="preserve">9) Governance &amp; Safeguards</w:t>
      </w:r>
    </w:p>
    <w:p>
      <w:pPr>
        <w:pStyle w:val="Compact"/>
        <w:numPr>
          <w:ilvl w:val="0"/>
          <w:numId w:val="1004"/>
        </w:numPr>
      </w:pPr>
      <w:r>
        <w:t xml:space="preserve">Elections: audit trail of nominations/votes; term limits; diversity flags.</w:t>
      </w:r>
    </w:p>
    <w:p>
      <w:pPr>
        <w:pStyle w:val="Compact"/>
        <w:numPr>
          <w:ilvl w:val="0"/>
          <w:numId w:val="1004"/>
        </w:numPr>
      </w:pPr>
      <w:r>
        <w:t xml:space="preserve">Finance: double‑entry checks in cashbook; attachment hashes; anti‑fraud alerts.</w:t>
      </w:r>
    </w:p>
    <w:p>
      <w:pPr>
        <w:pStyle w:val="Compact"/>
        <w:numPr>
          <w:ilvl w:val="0"/>
          <w:numId w:val="1004"/>
        </w:numPr>
      </w:pPr>
      <w:r>
        <w:t xml:space="preserve">GRM: SLA timers; privacy masking; community sign‑off required before closure for specific categories.</w:t>
      </w:r>
    </w:p>
    <w:p>
      <w:pPr>
        <w:pStyle w:val="Compact"/>
        <w:numPr>
          <w:ilvl w:val="0"/>
          <w:numId w:val="1004"/>
        </w:numPr>
      </w:pPr>
      <w:r>
        <w:t xml:space="preserve">Open data: de‑identification rules; license compliance; takedown process.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s-kpis"/>
    <w:p>
      <w:pPr>
        <w:pStyle w:val="Heading3"/>
      </w:pPr>
      <w:r>
        <w:t xml:space="preserve">10) Dashboards &amp; KPIs</w:t>
      </w:r>
    </w:p>
    <w:p>
      <w:pPr>
        <w:pStyle w:val="Compact"/>
        <w:numPr>
          <w:ilvl w:val="0"/>
          <w:numId w:val="1005"/>
        </w:numPr>
      </w:pPr>
      <w:r>
        <w:t xml:space="preserve">RWSS governance score, meeting compliance %, action closure rate.</w:t>
      </w:r>
    </w:p>
    <w:p>
      <w:pPr>
        <w:pStyle w:val="Compact"/>
        <w:numPr>
          <w:ilvl w:val="0"/>
          <w:numId w:val="1005"/>
        </w:numPr>
      </w:pPr>
      <w:r>
        <w:t xml:space="preserve">Vendor OTIF %, average payment lead time, dispute rate.</w:t>
      </w:r>
    </w:p>
    <w:p>
      <w:pPr>
        <w:pStyle w:val="Compact"/>
        <w:numPr>
          <w:ilvl w:val="0"/>
          <w:numId w:val="1005"/>
        </w:numPr>
      </w:pPr>
      <w:r>
        <w:t xml:space="preserve">GRM intake vs resolved, SLA compliance, repeat grievances rate, geo‑hotspots.</w:t>
      </w:r>
    </w:p>
    <w:p>
      <w:pPr>
        <w:pStyle w:val="Compact"/>
        <w:numPr>
          <w:ilvl w:val="0"/>
          <w:numId w:val="1005"/>
        </w:numPr>
      </w:pPr>
      <w:r>
        <w:t xml:space="preserve">Open data downloads, API calls, freshness, dataset rating.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Community &amp; Stakeholder Module Specification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2025-10-16T12:11:13Z</dcterms:created>
  <dcterms:modified xsi:type="dcterms:W3CDTF">2025-10-16T12:11:13Z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