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bb76c92c58e51e57f2208313f6b4dd469f08cb"/>
    <w:p>
      <w:pPr>
        <w:pStyle w:val="Heading2"/>
      </w:pPr>
      <w:r>
        <w:t xml:space="preserve">Finance, Costing &amp; Energy Module — Functional Specification &amp; UX/UI Guide</w:t>
      </w:r>
    </w:p>
    <w:bookmarkStart w:id="20" w:name="overview"/>
    <w:p>
      <w:pPr>
        <w:pStyle w:val="Heading3"/>
      </w:pPr>
      <w:r>
        <w:t xml:space="preserve">1) Overview</w:t>
      </w:r>
    </w:p>
    <w:p>
      <w:pPr>
        <w:pStyle w:val="FirstParagraph"/>
      </w:pPr>
      <w:r>
        <w:t xml:space="preserve">A unified module for cost accounting, budgeting &amp; forecasts, revenue assurance, energy management, and procurement/e‑sourcing. Integrates with Projects, Assets, CoreOps (schemes/DMAs/meters), and Customer/CRM. Designed for auditability, bulk imports, analytics, and workflow approvals.</w:t>
      </w:r>
    </w:p>
    <w:p>
      <w:r>
        <w:pict>
          <v:rect style="width:0;height:1.5pt" o:hralign="center" o:hrstd="t" o:hr="t"/>
        </w:pict>
      </w:r>
    </w:p>
    <w:bookmarkEnd w:id="20"/>
    <w:bookmarkStart w:id="21" w:name="cost-accounting-costtoserve"/>
    <w:p>
      <w:pPr>
        <w:pStyle w:val="Heading3"/>
      </w:pPr>
      <w:r>
        <w:t xml:space="preserve">2) Cost Accounting &amp; Cost‑to‑Serve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Define cost centers and cost pools (Opex/Capex) with GL mapping.</w:t>
      </w:r>
      <w:r>
        <w:t xml:space="preserve"> </w:t>
      </w:r>
      <w:r>
        <w:t xml:space="preserve">- Cost drivers: volume, energy, labor hours, connections, customer counts.</w:t>
      </w:r>
      <w:r>
        <w:t xml:space="preserve"> </w:t>
      </w:r>
      <w:r>
        <w:t xml:space="preserve">- Activity‑Based Costing (ABC) allocations to</w:t>
      </w:r>
      <w:r>
        <w:t xml:space="preserve"> </w:t>
      </w:r>
      <w:r>
        <w:rPr>
          <w:b/>
          <w:bCs/>
        </w:rPr>
        <w:t xml:space="preserve">schemes</w:t>
      </w:r>
      <w:r>
        <w:t xml:space="preserve">,</w:t>
      </w:r>
      <w:r>
        <w:t xml:space="preserve"> </w:t>
      </w:r>
      <w:r>
        <w:rPr>
          <w:b/>
          <w:bCs/>
        </w:rPr>
        <w:t xml:space="preserve">DMAs</w:t>
      </w:r>
      <w:r>
        <w:t xml:space="preserve">,</w:t>
      </w:r>
      <w:r>
        <w:t xml:space="preserve"> </w:t>
      </w:r>
      <w:r>
        <w:rPr>
          <w:b/>
          <w:bCs/>
        </w:rPr>
        <w:t xml:space="preserve">customer classes/segments</w:t>
      </w:r>
      <w:r>
        <w:t xml:space="preserve">.</w:t>
      </w:r>
      <w:r>
        <w:t xml:space="preserve"> </w:t>
      </w:r>
      <w:r>
        <w:t xml:space="preserve">- Period closes with locked allocations and versioning.</w:t>
      </w:r>
      <w:r>
        <w:t xml:space="preserve"> </w:t>
      </w:r>
      <w:r>
        <w:t xml:space="preserve">- KPIs: cost per m³ (production &amp; delivered), cost‑to‑serve by class/segment.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Centers &amp; Drivers</w:t>
      </w:r>
      <w:r>
        <w:t xml:space="preserve"> </w:t>
      </w:r>
      <w:r>
        <w:t xml:space="preserve">(registry table + forms)</w:t>
      </w:r>
      <w:r>
        <w:t xml:space="preserve"> </w:t>
      </w:r>
      <w:r>
        <w:t xml:space="preserve">- Fields: code, name, type (Opex/Capex), GL account(s), driver (dropdown), unit, notes.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Wizard</w:t>
      </w:r>
      <w:r>
        <w:t xml:space="preserve"> </w:t>
      </w:r>
      <w:r>
        <w:t xml:space="preserve">(multi‑step)</w:t>
      </w:r>
      <w:r>
        <w:t xml:space="preserve"> </w:t>
      </w:r>
      <w:r>
        <w:t xml:space="preserve">- Step 1: Period (month/year), currency.</w:t>
      </w:r>
      <w:r>
        <w:t xml:space="preserve"> </w:t>
      </w:r>
      <w:r>
        <w:t xml:space="preserve">- Step 2: Select cost pools (multi‑select) + import actuals (CSV/Excel).</w:t>
      </w:r>
      <w:r>
        <w:t xml:space="preserve"> </w:t>
      </w:r>
      <w:r>
        <w:t xml:space="preserve">- Step 3: Assign drivers &amp; weights (table with editable cells and validation).</w:t>
      </w:r>
      <w:r>
        <w:t xml:space="preserve"> </w:t>
      </w:r>
      <w:r>
        <w:t xml:space="preserve">- Step 4: Preview allocations (matrix view scheme/DMA/class) + assumptions memo.</w:t>
      </w:r>
      <w:r>
        <w:t xml:space="preserve"> </w:t>
      </w:r>
      <w:r>
        <w:t xml:space="preserve">- Step 5: Generate Allocation Batch → lock/approve (role‑guarded).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- Cost Allocation Summary (DataTable with server pagination + CSV/XLSX export).</w:t>
      </w:r>
      <w:r>
        <w:t xml:space="preserve"> </w:t>
      </w:r>
      <w:r>
        <w:t xml:space="preserve">- Cost‑to‑Serve Heatmap (Recharts heatmap) by DMA × class.</w:t>
      </w:r>
      <w:r>
        <w:t xml:space="preserve"> </w:t>
      </w:r>
      <w:r>
        <w:t xml:space="preserve">- Trend Lines: unit cost over time, variance vs. tariff.</w:t>
      </w:r>
    </w:p>
    <w:p>
      <w:r>
        <w:pict>
          <v:rect style="width:0;height:1.5pt" o:hralign="center" o:hrstd="t" o:hr="t"/>
        </w:pict>
      </w:r>
    </w:p>
    <w:bookmarkEnd w:id="21"/>
    <w:bookmarkStart w:id="22" w:name="budgeting-forecasts"/>
    <w:p>
      <w:pPr>
        <w:pStyle w:val="Heading3"/>
      </w:pPr>
      <w:r>
        <w:t xml:space="preserve">3) Budgeting &amp; Forecasts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Annual</w:t>
      </w:r>
      <w:r>
        <w:t xml:space="preserve"> </w:t>
      </w:r>
      <w:r>
        <w:rPr>
          <w:b/>
          <w:bCs/>
        </w:rPr>
        <w:t xml:space="preserve">Opex/Capex</w:t>
      </w:r>
      <w:r>
        <w:t xml:space="preserve"> </w:t>
      </w:r>
      <w:r>
        <w:t xml:space="preserve">budgets by department/program, with line items.</w:t>
      </w:r>
      <w:r>
        <w:t xml:space="preserve"> </w:t>
      </w:r>
      <w:r>
        <w:t xml:space="preserve">- Revisions (v1, v2, …) with reason codes; approvals workflow.</w:t>
      </w:r>
      <w:r>
        <w:t xml:space="preserve"> </w:t>
      </w:r>
      <w:r>
        <w:t xml:space="preserve">- Rolling forecasts (monthly) and variance analytics vs. actuals.</w:t>
      </w:r>
      <w:r>
        <w:t xml:space="preserve"> </w:t>
      </w:r>
      <w:r>
        <w:t xml:space="preserve">- Links to Projects &amp; Procurement (commitments, LPOs, accruals).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Editor</w:t>
      </w:r>
      <w:r>
        <w:t xml:space="preserve"> </w:t>
      </w:r>
      <w:r>
        <w:t xml:space="preserve">- Fields: FY (dropdown), department (dropdown), item (textbox), category (dropdown), amount (number), funding source (dropdown), notes.</w:t>
      </w:r>
      <w:r>
        <w:t xml:space="preserve"> </w:t>
      </w:r>
      <w:r>
        <w:t xml:space="preserve">- Bulk import (CSV) &amp; validation preview.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Revision Modal</w:t>
      </w:r>
      <w:r>
        <w:t xml:space="preserve"> </w:t>
      </w:r>
      <w:r>
        <w:t xml:space="preserve">- Previous amount (readonly), revised amount, reason code (dropdown), comment (textarea).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Forecast Dashboard</w:t>
      </w:r>
      <w:r>
        <w:t xml:space="preserve"> </w:t>
      </w:r>
      <w:r>
        <w:t xml:space="preserve">- Line chart: monthly forecast vs. actuals; controls for scenario (base/optimistic/conservative).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Analysis</w:t>
      </w:r>
      <w:r>
        <w:t xml:space="preserve"> </w:t>
      </w:r>
      <w:r>
        <w:t xml:space="preserve">- Table: item, budget, actual, variance KES, variance %, status (chip: green/yellow/red thresholds).</w:t>
      </w:r>
    </w:p>
    <w:p>
      <w:r>
        <w:pict>
          <v:rect style="width:0;height:1.5pt" o:hralign="center" o:hrstd="t" o:hr="t"/>
        </w:pict>
      </w:r>
    </w:p>
    <w:bookmarkEnd w:id="22"/>
    <w:bookmarkStart w:id="23" w:name="revenue-assurance"/>
    <w:p>
      <w:pPr>
        <w:pStyle w:val="Heading3"/>
      </w:pPr>
      <w:r>
        <w:t xml:space="preserve">4) Revenue Assurance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Detect high‑risk accounts: tamper flags, zero/negative/constant consumption, billed‑estimate patterns, sudden jumps.</w:t>
      </w:r>
      <w:r>
        <w:t xml:space="preserve"> </w:t>
      </w:r>
      <w:r>
        <w:t xml:space="preserve">- Exception lifecycle: New → Assigned → Investigating → Resolved (with outcomes: correction/penalty/write‑off).</w:t>
      </w:r>
      <w:r>
        <w:t xml:space="preserve"> </w:t>
      </w:r>
      <w:r>
        <w:t xml:space="preserve">- Integrates with CIS/Metering/AMI for reads and photos; links to field investigations.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High‑Risk Accounts Table</w:t>
      </w:r>
      <w:r>
        <w:t xml:space="preserve"> </w:t>
      </w:r>
      <w:r>
        <w:t xml:space="preserve">- Columns: account_no, customer, risk_score, pattern (chip), last_read, arrears, segment, actions.</w:t>
      </w:r>
      <w:r>
        <w:t xml:space="preserve"> </w:t>
      </w:r>
      <w:r>
        <w:t xml:space="preserve">- Filters: pattern type, risk score slider, DMA/segment, last bill date.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Detail Drawer</w:t>
      </w:r>
      <w:r>
        <w:t xml:space="preserve"> </w:t>
      </w:r>
      <w:r>
        <w:t xml:space="preserve">- Tabs: Overview, Evidence (reads/photos), Actions, History.</w:t>
      </w:r>
      <w:r>
        <w:t xml:space="preserve"> </w:t>
      </w:r>
      <w:r>
        <w:t xml:space="preserve">- Actions: Assign (typeahead), Create Field Task, Apply Adjustment, Close (required resolution notes).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- Chart: Revenue Loss by Category (stacked bars), Exceptions by Outcome, DSO trend overlay.</w:t>
      </w:r>
    </w:p>
    <w:p>
      <w:r>
        <w:pict>
          <v:rect style="width:0;height:1.5pt" o:hralign="center" o:hrstd="t" o:hr="t"/>
        </w:pict>
      </w:r>
    </w:p>
    <w:bookmarkEnd w:id="23"/>
    <w:bookmarkStart w:id="24" w:name="energy-management"/>
    <w:p>
      <w:pPr>
        <w:pStyle w:val="Heading3"/>
      </w:pPr>
      <w:r>
        <w:t xml:space="preserve">5) Energy Management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Energy tariffs library: utility, tariff type (flat/time‑of‑use), rate bands, demand charges, taxes.</w:t>
      </w:r>
      <w:r>
        <w:t xml:space="preserve"> </w:t>
      </w:r>
      <w:r>
        <w:t xml:space="preserve">- Import energy readings from SCADA/IoT/CSV; associate with schemes/pumps.</w:t>
      </w:r>
      <w:r>
        <w:t xml:space="preserve"> </w:t>
      </w:r>
      <w:r>
        <w:t xml:space="preserve">- Compute</w:t>
      </w:r>
      <w:r>
        <w:t xml:space="preserve"> </w:t>
      </w:r>
      <w:r>
        <w:rPr>
          <w:b/>
          <w:bCs/>
        </w:rPr>
        <w:t xml:space="preserve">specific energy (kWh/m³)</w:t>
      </w:r>
      <w:r>
        <w:t xml:space="preserve">, peak shaving opportunities, cost per m³.</w:t>
      </w:r>
      <w:r>
        <w:t xml:space="preserve"> </w:t>
      </w:r>
      <w:r>
        <w:t xml:space="preserve">- Opportunity Finder: recommendations (e.g., shift runtime to off‑peak) with estimated savings.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Tariff Setup</w:t>
      </w:r>
      <w:r>
        <w:t xml:space="preserve"> </w:t>
      </w:r>
      <w:r>
        <w:t xml:space="preserve">- Fields: utility, tariff_name, effective_from, bands (table: start_time, end_time, rate/kWh), demand_charges, taxes.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Readings Console</w:t>
      </w:r>
      <w:r>
        <w:t xml:space="preserve"> </w:t>
      </w:r>
      <w:r>
        <w:t xml:space="preserve">- Upload CSV (timestamp, kWh, kVA, flow m³, pump_id) with mapping wizard.</w:t>
      </w:r>
      <w:r>
        <w:t xml:space="preserve"> </w:t>
      </w:r>
      <w:r>
        <w:t xml:space="preserve">- Table: scheme, asset, kWh, m³, kWh/m³, cost; Filters by period, scheme, asset.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Dashboards &amp; Charts</w:t>
      </w:r>
      <w:r>
        <w:t xml:space="preserve"> </w:t>
      </w:r>
      <w:r>
        <w:t xml:space="preserve">- Energy Cost per Scheme (bar), Specific Energy vs. Flow (scatter), Peak Load Curve (line 24h), Tariff Benchmark (comparative bars).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 Finder</w:t>
      </w:r>
      <w:r>
        <w:t xml:space="preserve"> </w:t>
      </w:r>
      <w:r>
        <w:t xml:space="preserve">(cards)</w:t>
      </w:r>
      <w:r>
        <w:t xml:space="preserve"> </w:t>
      </w:r>
      <w:r>
        <w:t xml:space="preserve">- Card fields: issue summary, method, expected saving %, KES/month, required action; button:</w:t>
      </w:r>
      <w:r>
        <w:t xml:space="preserve"> </w:t>
      </w:r>
      <w:r>
        <w:t xml:space="preserve">“Create Optimization Plan/WO”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ocurement-esourcing"/>
    <w:p>
      <w:pPr>
        <w:pStyle w:val="Heading3"/>
      </w:pPr>
      <w:r>
        <w:t xml:space="preserve">6) Procurement &amp; e‑Sourcing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Requisitions → RFQs → Evaluations → LPOs → Deliveries → Close (GRN/Invoice).</w:t>
      </w:r>
      <w:r>
        <w:t xml:space="preserve"> </w:t>
      </w:r>
      <w:r>
        <w:t xml:space="preserve">- Vendor performance tracking (delivery time, quality, responsiveness).</w:t>
      </w:r>
      <w:r>
        <w:t xml:space="preserve"> </w:t>
      </w:r>
      <w:r>
        <w:t xml:space="preserve">- Budget checks &amp; commitments; links to Projects/Inventory.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Requisition Form</w:t>
      </w:r>
      <w:r>
        <w:t xml:space="preserve"> </w:t>
      </w:r>
      <w:r>
        <w:t xml:space="preserve">- Fields: requester (auto), department, item(s) table (description, qty, est cost, account), justification, attachments.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RFQ Builder</w:t>
      </w:r>
      <w:r>
        <w:t xml:space="preserve"> </w:t>
      </w:r>
      <w:r>
        <w:t xml:space="preserve">- Invite vendors (multi‑select), closing date, items, terms; publish.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 Matrix</w:t>
      </w:r>
      <w:r>
        <w:t xml:space="preserve"> </w:t>
      </w:r>
      <w:r>
        <w:t xml:space="preserve">- Criteria (weight), vendor scores (0–100), auto‑weighted totals; attach minutes.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LPO Form</w:t>
      </w:r>
      <w:r>
        <w:t xml:space="preserve"> </w:t>
      </w:r>
      <w:r>
        <w:t xml:space="preserve">- Auto‑fill from RFQ winner; delivery terms, budget line, approvals, vendor.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Performance Dashboard</w:t>
      </w:r>
      <w:r>
        <w:t xml:space="preserve"> </w:t>
      </w:r>
      <w:r>
        <w:t xml:space="preserve">- Charts: OTIF (On‑Time In‑Full), quality rating, lead time distribution; vendor scorecards.</w:t>
      </w:r>
    </w:p>
    <w:p>
      <w:r>
        <w:pict>
          <v:rect style="width:0;height:1.5pt" o:hralign="center" o:hrstd="t" o:hr="t"/>
        </w:pict>
      </w:r>
    </w:p>
    <w:bookmarkEnd w:id="25"/>
    <w:bookmarkStart w:id="26" w:name="shared-ux-patterns-components"/>
    <w:p>
      <w:pPr>
        <w:pStyle w:val="Heading3"/>
      </w:pPr>
      <w:r>
        <w:t xml:space="preserve">7) Shared UX Patterns &amp;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Tables</w:t>
      </w:r>
      <w:r>
        <w:t xml:space="preserve">: server‑side pagination, column filters, quick search, CSV/XLSX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Forms</w:t>
      </w:r>
      <w:r>
        <w:t xml:space="preserve">: react‑hook‑form + Zod; inline validation; role‑aware fields.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Charts</w:t>
      </w:r>
      <w:r>
        <w:t xml:space="preserve">: Recharts (bar/line/scatter/heatmap); threshold bands for variance.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Maps (optional)</w:t>
      </w:r>
      <w:r>
        <w:t xml:space="preserve">: Leaflet for linking energy/cost overlays to schemes/DMAs.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Uploads</w:t>
      </w:r>
      <w:r>
        <w:t xml:space="preserve">: Uppy drag‑drop with presigned S3 URLs.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</w:t>
      </w:r>
      <w:r>
        <w:t xml:space="preserve">: status chips; action buttons; comment + attachment on transitions; audit log timeline.</w:t>
      </w:r>
    </w:p>
    <w:p>
      <w:r>
        <w:pict>
          <v:rect style="width:0;height:1.5pt" o:hralign="center" o:hrstd="t" o:hr="t"/>
        </w:pict>
      </w:r>
    </w:p>
    <w:bookmarkEnd w:id="26"/>
    <w:bookmarkStart w:id="27" w:name="roles-permissions"/>
    <w:p>
      <w:pPr>
        <w:pStyle w:val="Heading3"/>
      </w:pPr>
      <w:r>
        <w:t xml:space="preserve">8)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FinanceOfficer</w:t>
            </w:r>
          </w:p>
        </w:tc>
        <w:tc>
          <w:tcPr/>
          <w:p>
            <w:pPr>
              <w:pStyle w:val="Compact"/>
            </w:pPr>
            <w:r>
              <w:t xml:space="preserve">Manage budgets, allocations, variance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EnergyAnalyst</w:t>
            </w:r>
          </w:p>
        </w:tc>
        <w:tc>
          <w:tcPr/>
          <w:p>
            <w:pPr>
              <w:pStyle w:val="Compact"/>
            </w:pPr>
            <w:r>
              <w:t xml:space="preserve">Manage tariffs, readings,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ProcurementOfficer</w:t>
            </w:r>
          </w:p>
        </w:tc>
        <w:tc>
          <w:tcPr/>
          <w:p>
            <w:pPr>
              <w:pStyle w:val="Compact"/>
            </w:pPr>
            <w:r>
              <w:t xml:space="preserve">Requisitions, RFQs, evaluations, LPOs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CollectionsOfficer</w:t>
            </w:r>
          </w:p>
        </w:tc>
        <w:tc>
          <w:tcPr/>
          <w:p>
            <w:pPr>
              <w:pStyle w:val="Compact"/>
            </w:pPr>
            <w:r>
              <w:t xml:space="preserve">Reconciliations, exceptions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Approvals (budgets, revisions, LPOs),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 + configuration,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ports-exports"/>
    <w:p>
      <w:pPr>
        <w:pStyle w:val="Heading3"/>
      </w:pPr>
      <w:r>
        <w:t xml:space="preserve">9) Reports &amp; Exports</w:t>
      </w:r>
    </w:p>
    <w:p>
      <w:pPr>
        <w:pStyle w:val="Compact"/>
        <w:numPr>
          <w:ilvl w:val="0"/>
          <w:numId w:val="1002"/>
        </w:numPr>
      </w:pPr>
      <w:r>
        <w:t xml:space="preserve">Cost Allocation Summary (period) — PDF/Excel.</w:t>
      </w:r>
    </w:p>
    <w:p>
      <w:pPr>
        <w:pStyle w:val="Compact"/>
        <w:numPr>
          <w:ilvl w:val="0"/>
          <w:numId w:val="1002"/>
        </w:numPr>
      </w:pPr>
      <w:r>
        <w:t xml:space="preserve">Cost‑to‑Serve by DMA/segment — heatmap + CSV.</w:t>
      </w:r>
    </w:p>
    <w:p>
      <w:pPr>
        <w:pStyle w:val="Compact"/>
        <w:numPr>
          <w:ilvl w:val="0"/>
          <w:numId w:val="1002"/>
        </w:numPr>
      </w:pPr>
      <w:r>
        <w:t xml:space="preserve">Budget vs Actual Variance — table + sparkline trend.</w:t>
      </w:r>
    </w:p>
    <w:p>
      <w:pPr>
        <w:pStyle w:val="Compact"/>
        <w:numPr>
          <w:ilvl w:val="0"/>
          <w:numId w:val="1002"/>
        </w:numPr>
      </w:pPr>
      <w:r>
        <w:t xml:space="preserve">Revenue Exception Tracker — detail &amp; outcomes.</w:t>
      </w:r>
    </w:p>
    <w:p>
      <w:pPr>
        <w:pStyle w:val="Compact"/>
        <w:numPr>
          <w:ilvl w:val="0"/>
          <w:numId w:val="1002"/>
        </w:numPr>
      </w:pPr>
      <w:r>
        <w:t xml:space="preserve">Energy Performance — scheme ranking, specific energy trends.</w:t>
      </w:r>
    </w:p>
    <w:p>
      <w:pPr>
        <w:pStyle w:val="Compact"/>
        <w:numPr>
          <w:ilvl w:val="0"/>
          <w:numId w:val="1002"/>
        </w:numPr>
      </w:pPr>
      <w:r>
        <w:t xml:space="preserve">Procurement Status Tracker — requisition→LPO→delivery funnel.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s"/>
    <w:p>
      <w:pPr>
        <w:pStyle w:val="Heading3"/>
      </w:pPr>
      <w:r>
        <w:t xml:space="preserve">10) Integrations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GL/ERP</w:t>
      </w:r>
      <w:r>
        <w:t xml:space="preserve"> </w:t>
      </w:r>
      <w:r>
        <w:t xml:space="preserve">(export journals, cost centers).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CIS &amp; AMI</w:t>
      </w:r>
      <w:r>
        <w:t xml:space="preserve"> </w:t>
      </w:r>
      <w:r>
        <w:t xml:space="preserve">(customer classes, reads for assurance).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CoreOps</w:t>
      </w:r>
      <w:r>
        <w:t xml:space="preserve"> </w:t>
      </w:r>
      <w:r>
        <w:t xml:space="preserve">(schemes/DMAs/pumps for energy &amp; costing drivers).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Inventory &amp; Projects</w:t>
      </w:r>
      <w:r>
        <w:t xml:space="preserve"> </w:t>
      </w:r>
      <w:r>
        <w:t xml:space="preserve">(commitments, deliveries, capex links).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(channels for collections reconciliation).</w:t>
      </w:r>
    </w:p>
    <w:p>
      <w:r>
        <w:pict>
          <v:rect style="width:0;height:1.5pt" o:hralign="center" o:hrstd="t" o:hr="t"/>
        </w:pict>
      </w:r>
    </w:p>
    <w:bookmarkEnd w:id="29"/>
    <w:bookmarkStart w:id="30" w:name="nonfunctional-governance"/>
    <w:p>
      <w:pPr>
        <w:pStyle w:val="Heading3"/>
      </w:pPr>
      <w:r>
        <w:t xml:space="preserve">11) Non‑Functional &amp; Governance</w:t>
      </w:r>
    </w:p>
    <w:p>
      <w:pPr>
        <w:pStyle w:val="Compact"/>
        <w:numPr>
          <w:ilvl w:val="0"/>
          <w:numId w:val="1004"/>
        </w:numPr>
      </w:pPr>
      <w:r>
        <w:t xml:space="preserve">Audit trails on all workflows; reason codes on approvals.</w:t>
      </w:r>
    </w:p>
    <w:p>
      <w:pPr>
        <w:pStyle w:val="Compact"/>
        <w:numPr>
          <w:ilvl w:val="0"/>
          <w:numId w:val="1004"/>
        </w:numPr>
      </w:pPr>
      <w:r>
        <w:t xml:space="preserve">Idempotent imports; validations with row‑level error feedback.</w:t>
      </w:r>
    </w:p>
    <w:p>
      <w:pPr>
        <w:pStyle w:val="Compact"/>
        <w:numPr>
          <w:ilvl w:val="0"/>
          <w:numId w:val="1004"/>
        </w:numPr>
      </w:pPr>
      <w:r>
        <w:t xml:space="preserve">Role‑scoped data access; encryption for sensitive financial data.</w:t>
      </w:r>
    </w:p>
    <w:p>
      <w:pPr>
        <w:pStyle w:val="Compact"/>
        <w:numPr>
          <w:ilvl w:val="0"/>
          <w:numId w:val="1004"/>
        </w:numPr>
      </w:pPr>
      <w:r>
        <w:t xml:space="preserve">Performance: background jobs for allocation, reconciliation, and imports.</w:t>
      </w:r>
    </w:p>
    <w:p>
      <w:pPr>
        <w:pStyle w:val="Compact"/>
        <w:numPr>
          <w:ilvl w:val="0"/>
          <w:numId w:val="1004"/>
        </w:numPr>
      </w:pPr>
      <w:r>
        <w:t xml:space="preserve">Localization (en/ki‑KE), accessibility (WCAG 2.1).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Finance, Costing &amp; Energy Module Specification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2025-10-16T08:40:09Z</dcterms:created>
  <dcterms:modified xsi:type="dcterms:W3CDTF">2025-10-16T08:40:09Z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