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60" w:before="0"/>
        <w:jc w:val="center"/>
      </w:pPr>
      <w:r>
        <w:rPr>
          <w:rFonts w:ascii="Arial" w:cs="Arial" w:eastAsia="Arial" w:hAnsi="Arial"/>
          <w:b/>
          <w:bCs/>
          <w:color w:val="1F3864"/>
          <w:sz w:val="52"/>
          <w:szCs w:val="52"/>
        </w:rPr>
        <w:t xml:space="preserve">ALZHEIMER'S DISEASE</w:t>
      </w:r>
    </w:p>
    <w:p>
      <w:pPr>
        <w:spacing w:after="80" w:before="0"/>
        <w:jc w:val="center"/>
      </w:pPr>
      <w:r>
        <w:rPr>
          <w:rFonts w:ascii="Arial" w:cs="Arial" w:eastAsia="Arial" w:hAnsi="Arial"/>
          <w:b/>
          <w:bCs/>
          <w:color w:val="1F3864"/>
          <w:sz w:val="52"/>
          <w:szCs w:val="52"/>
        </w:rPr>
        <w:t xml:space="preserve">PROGRESSION PREDICTION</w:t>
      </w:r>
    </w:p>
    <w:p>
      <w:pPr>
        <w:pBdr>
          <w:bottom w:val="single" w:color="1E6B6B" w:sz="12" w:space="12"/>
        </w:pBdr>
        <w:spacing w:after="160" w:before="0"/>
        <w:jc w:val="center"/>
      </w:pPr>
      <w:r>
        <w:rPr>
          <w:rFonts w:ascii="Arial" w:cs="Arial" w:eastAsia="Arial" w:hAnsi="Arial"/>
          <w:i/>
          <w:iCs/>
          <w:color w:val="2E5FA3"/>
          <w:sz w:val="28"/>
          <w:szCs w:val="28"/>
        </w:rPr>
        <w:t xml:space="preserve">Project Report — Phase 1 &amp; 2</w:t>
      </w:r>
    </w:p>
    <w:p>
      <w:pPr>
        <w:spacing w:after="0" w:before="100"/>
        <w:jc w:val="center"/>
      </w:pPr>
      <w:r>
        <w:rPr>
          <w:rFonts w:ascii="Arial" w:cs="Arial" w:eastAsia="Arial" w:hAnsi="Arial"/>
          <w:color w:val="555555"/>
          <w:sz w:val="24"/>
          <w:szCs w:val="24"/>
        </w:rPr>
        <w:t xml:space="preserve">ADNI Dataset  |  Machine Learning for Early Detection</w:t>
      </w:r>
    </w:p>
    <w:p>
      <w:pPr>
        <w:spacing w:after="80" w:before="400"/>
        <w:jc w:val="center"/>
      </w:pPr>
      <w:r>
        <w:rPr>
          <w:rFonts w:ascii="Arial" w:cs="Arial" w:eastAsia="Arial" w:hAnsi="Arial"/>
          <w:b/>
          <w:bCs/>
          <w:color w:val="1F3864"/>
          <w:sz w:val="24"/>
          <w:szCs w:val="24"/>
        </w:rPr>
        <w:t xml:space="preserve">Team Members</w:t>
      </w:r>
    </w:p>
    <w:p>
      <w:pPr>
        <w:spacing w:after="40" w:before="40"/>
        <w:jc w:val="center"/>
      </w:pPr>
      <w:r>
        <w:rPr>
          <w:rFonts w:ascii="Arial" w:cs="Arial" w:eastAsia="Arial" w:hAnsi="Arial"/>
          <w:b/>
          <w:bCs/>
          <w:color w:val="000000"/>
          <w:sz w:val="24"/>
          <w:szCs w:val="24"/>
        </w:rPr>
        <w:t xml:space="preserve">Ahmed Fahmy</w:t>
      </w:r>
      <w:r>
        <w:rPr>
          <w:rFonts w:ascii="Arial" w:cs="Arial" w:eastAsia="Arial" w:hAnsi="Arial"/>
          <w:color w:val="555555"/>
          <w:sz w:val="22"/>
          <w:szCs w:val="22"/>
        </w:rPr>
        <w:t xml:space="preserve">   —   231000587</w:t>
      </w:r>
    </w:p>
    <w:p>
      <w:pPr>
        <w:spacing w:after="40" w:before="40"/>
        <w:jc w:val="center"/>
      </w:pPr>
      <w:r>
        <w:rPr>
          <w:rFonts w:ascii="Arial" w:cs="Arial" w:eastAsia="Arial" w:hAnsi="Arial"/>
          <w:b/>
          <w:bCs/>
          <w:color w:val="000000"/>
          <w:sz w:val="24"/>
          <w:szCs w:val="24"/>
        </w:rPr>
        <w:t xml:space="preserve">Myar Sadek</w:t>
      </w:r>
      <w:r>
        <w:rPr>
          <w:rFonts w:ascii="Arial" w:cs="Arial" w:eastAsia="Arial" w:hAnsi="Arial"/>
          <w:color w:val="555555"/>
          <w:sz w:val="22"/>
          <w:szCs w:val="22"/>
        </w:rPr>
        <w:t xml:space="preserve">   —   231000687</w:t>
      </w:r>
    </w:p>
    <w:p>
      <w:pPr>
        <w:spacing w:after="40" w:before="40"/>
        <w:jc w:val="center"/>
      </w:pPr>
      <w:r>
        <w:rPr>
          <w:rFonts w:ascii="Arial" w:cs="Arial" w:eastAsia="Arial" w:hAnsi="Arial"/>
          <w:b/>
          <w:bCs/>
          <w:color w:val="000000"/>
          <w:sz w:val="24"/>
          <w:szCs w:val="24"/>
        </w:rPr>
        <w:t xml:space="preserve">Nadeem Shokry</w:t>
      </w:r>
      <w:r>
        <w:rPr>
          <w:rFonts w:ascii="Arial" w:cs="Arial" w:eastAsia="Arial" w:hAnsi="Arial"/>
          <w:color w:val="555555"/>
          <w:sz w:val="22"/>
          <w:szCs w:val="22"/>
        </w:rPr>
        <w:t xml:space="preserve">   —   231000857</w:t>
      </w:r>
    </w:p>
    <w:p>
      <w:pPr>
        <w:spacing w:after="40" w:before="40"/>
        <w:jc w:val="center"/>
      </w:pPr>
      <w:r>
        <w:rPr>
          <w:rFonts w:ascii="Arial" w:cs="Arial" w:eastAsia="Arial" w:hAnsi="Arial"/>
          <w:b/>
          <w:bCs/>
          <w:color w:val="000000"/>
          <w:sz w:val="24"/>
          <w:szCs w:val="24"/>
        </w:rPr>
        <w:t xml:space="preserve">Omar Isleem</w:t>
      </w:r>
      <w:r>
        <w:rPr>
          <w:rFonts w:ascii="Arial" w:cs="Arial" w:eastAsia="Arial" w:hAnsi="Arial"/>
          <w:color w:val="555555"/>
          <w:sz w:val="22"/>
          <w:szCs w:val="22"/>
        </w:rPr>
        <w:t xml:space="preserve">   —   231000674</w:t>
      </w:r>
    </w:p>
    <w:p>
      <w:pPr>
        <w:spacing w:after="60" w:before="300"/>
        <w:jc w:val="center"/>
      </w:pPr>
      <w:r>
        <w:rPr>
          <w:rFonts w:ascii="Arial" w:cs="Arial" w:eastAsia="Arial" w:hAnsi="Arial"/>
          <w:b/>
          <w:bCs/>
          <w:color w:val="2E5FA3"/>
          <w:sz w:val="22"/>
          <w:szCs w:val="22"/>
        </w:rPr>
        <w:t xml:space="preserve">Dataset:</w:t>
      </w:r>
      <w:r>
        <w:rPr>
          <w:rFonts w:ascii="Arial" w:cs="Arial" w:eastAsia="Arial" w:hAnsi="Arial"/>
          <w:sz w:val="22"/>
          <w:szCs w:val="22"/>
        </w:rPr>
        <w:t xml:space="preserve">  Alzheimer's Disease Neuroimaging Initiative (ADNI)</w:t>
      </w:r>
    </w:p>
    <w:p>
      <w:pPr>
        <w:spacing w:after="60" w:before="0"/>
        <w:jc w:val="center"/>
      </w:pPr>
      <w:r>
        <w:rPr>
          <w:rFonts w:ascii="Arial" w:cs="Arial" w:eastAsia="Arial" w:hAnsi="Arial"/>
          <w:b/>
          <w:bCs/>
          <w:color w:val="2E5FA3"/>
          <w:sz w:val="22"/>
          <w:szCs w:val="22"/>
        </w:rPr>
        <w:t xml:space="preserve">Participants:</w:t>
      </w:r>
      <w:r>
        <w:rPr>
          <w:rFonts w:ascii="Arial" w:cs="Arial" w:eastAsia="Arial" w:hAnsi="Arial"/>
          <w:sz w:val="22"/>
          <w:szCs w:val="22"/>
        </w:rPr>
        <w:t xml:space="preserve">  2,968 baseline participants</w:t>
      </w:r>
    </w:p>
    <w:p>
      <w:pPr>
        <w:spacing w:after="60" w:before="0"/>
        <w:jc w:val="center"/>
      </w:pPr>
      <w:r>
        <w:rPr>
          <w:rFonts w:ascii="Arial" w:cs="Arial" w:eastAsia="Arial" w:hAnsi="Arial"/>
          <w:b/>
          <w:bCs/>
          <w:color w:val="2E5FA3"/>
          <w:sz w:val="22"/>
          <w:szCs w:val="22"/>
        </w:rPr>
        <w:t xml:space="preserve">Models:</w:t>
      </w:r>
      <w:r>
        <w:rPr>
          <w:rFonts w:ascii="Arial" w:cs="Arial" w:eastAsia="Arial" w:hAnsi="Arial"/>
          <w:sz w:val="22"/>
          <w:szCs w:val="22"/>
        </w:rPr>
        <w:t xml:space="preserve">  Logistic Regression · SVM · Random Forest · XGBoost · Neural Network</w:t>
      </w:r>
    </w:p>
    <w:p>
      <w:pPr>
        <w:spacing w:after="60" w:before="0"/>
        <w:jc w:val="center"/>
      </w:pPr>
      <w:r>
        <w:rPr>
          <w:rFonts w:ascii="Arial" w:cs="Arial" w:eastAsia="Arial" w:hAnsi="Arial"/>
          <w:b/>
          <w:bCs/>
          <w:color w:val="2E5FA3"/>
          <w:sz w:val="22"/>
          <w:szCs w:val="22"/>
        </w:rPr>
        <w:t xml:space="preserve">Evaluation:</w:t>
      </w:r>
      <w:r>
        <w:rPr>
          <w:rFonts w:ascii="Arial" w:cs="Arial" w:eastAsia="Arial" w:hAnsi="Arial"/>
          <w:sz w:val="22"/>
          <w:szCs w:val="22"/>
        </w:rPr>
        <w:t xml:space="preserve">  AUC-ROC · F1-Score · Recall</w:t>
      </w:r>
    </w:p>
    <w:p>
      <w:r>
        <w:br w:type="page"/>
      </w:r>
    </w:p>
    <w:p>
      <w:pPr>
        <w:pStyle w:val="Heading1"/>
        <w:pBdr>
          <w:bottom w:val="single" w:color="1F3864" w:sz="6" w:space="6"/>
        </w:pBdr>
        <w:spacing w:after="180" w:before="360"/>
      </w:pPr>
      <w:r>
        <w:rPr>
          <w:rFonts w:ascii="Arial" w:cs="Arial" w:eastAsia="Arial" w:hAnsi="Arial"/>
          <w:b/>
          <w:bCs/>
          <w:color w:val="1F3864"/>
          <w:sz w:val="30"/>
          <w:szCs w:val="30"/>
        </w:rPr>
        <w:t xml:space="preserve">1. Introduction</w:t>
      </w:r>
    </w:p>
    <w:p>
      <w:pPr>
        <w:spacing w:after="120" w:before="60" w:line="276"/>
        <w:jc w:val="both"/>
      </w:pPr>
      <w:r>
        <w:rPr>
          <w:rFonts w:ascii="Arial" w:cs="Arial" w:eastAsia="Arial" w:hAnsi="Arial"/>
          <w:color w:val="000000"/>
          <w:sz w:val="22"/>
          <w:szCs w:val="22"/>
        </w:rPr>
        <w:t xml:space="preserve">Alzheimer's disease (AD) is a progressive neurodegenerative disorder and the leading cause of dementia worldwide, responsible for approximately 70% of all dementia cases. It is characterised by the gradual accumulation of amyloid-beta plaques and neurofibrillary tau tangles, a pathological process that begins silently 15 to 20 years before any clinical symptom appears. By the time a patient receives a formal diagnosis, irreversible neuronal damage has already occurred across the hippocampus, entorhinal cortex, and prefrontal cortex.</w:t>
      </w:r>
    </w:p>
    <w:p>
      <w:pPr>
        <w:spacing w:after="120" w:before="60" w:line="276"/>
        <w:jc w:val="both"/>
      </w:pPr>
      <w:r>
        <w:rPr>
          <w:rFonts w:ascii="Arial" w:cs="Arial" w:eastAsia="Arial" w:hAnsi="Arial"/>
          <w:color w:val="000000"/>
          <w:sz w:val="22"/>
          <w:szCs w:val="22"/>
        </w:rPr>
        <w:t xml:space="preserve">Approximately 55 million people worldwide currently live with dementia, with AD accounting for the majority of cases. This number is projected to nearly triple by 2050. The economic burden exceeds 1.3 trillion USD annually, and no cure currently exists — available medications only manage symptoms without altering the disease trajectory.</w:t>
      </w:r>
    </w:p>
    <w:p>
      <w:pPr>
        <w:spacing w:after="120" w:before="60" w:line="276"/>
        <w:jc w:val="both"/>
      </w:pPr>
      <w:r>
        <w:rPr>
          <w:rFonts w:ascii="Arial" w:cs="Arial" w:eastAsia="Arial" w:hAnsi="Arial"/>
          <w:color w:val="000000"/>
          <w:sz w:val="22"/>
          <w:szCs w:val="22"/>
        </w:rPr>
        <w:t xml:space="preserve">The most critical window for intervention lies at the pre-symptomatic and Mild Cognitive Impairment (MCI) stage. A significant proportion of MCI patients will progress to full Alzheimer's dementia within three to five years. Machine learning offers a transformative approach: by learning patterns from large multimodal datasets combining cognitive scores, MRI measurements, amyloid PET, genetics, and demographics, ML models can identify high-risk individuals years before a clinical diagnosis. This project applies machine learning to this challenge using data from the ADNI.</w:t>
      </w:r>
    </w:p>
    <w:p>
      <w:pPr>
        <w:pStyle w:val="Heading1"/>
        <w:pBdr>
          <w:bottom w:val="single" w:color="1F3864" w:sz="6" w:space="6"/>
        </w:pBdr>
        <w:spacing w:after="180" w:before="360"/>
      </w:pPr>
      <w:r>
        <w:rPr>
          <w:rFonts w:ascii="Arial" w:cs="Arial" w:eastAsia="Arial" w:hAnsi="Arial"/>
          <w:b/>
          <w:bCs/>
          <w:color w:val="1F3864"/>
          <w:sz w:val="30"/>
          <w:szCs w:val="30"/>
        </w:rPr>
        <w:t xml:space="preserve">2. Problem Statement</w:t>
      </w:r>
    </w:p>
    <w:p>
      <w:pPr>
        <w:spacing w:after="120" w:before="60" w:line="276"/>
        <w:jc w:val="both"/>
      </w:pPr>
      <w:r>
        <w:rPr>
          <w:rFonts w:ascii="Arial" w:cs="Arial" w:eastAsia="Arial" w:hAnsi="Arial"/>
          <w:b w:val="false"/>
          <w:bCs w:val="false"/>
          <w:i/>
          <w:iCs/>
          <w:color w:val="000000"/>
          <w:sz w:val="22"/>
          <w:szCs w:val="22"/>
        </w:rPr>
        <w:t xml:space="preserve">Can machine learning predict — at the time of a patient's baseline clinical visit — whether that patient will progress to a worse Alzheimer's diagnosis in the future, using non-invasive and clinically accessible measurements?</w:t>
      </w:r>
    </w:p>
    <w:p>
      <w:pPr>
        <w:pStyle w:val="Heading2"/>
        <w:spacing w:after="120" w:before="260"/>
      </w:pPr>
      <w:r>
        <w:rPr>
          <w:rFonts w:ascii="Arial" w:cs="Arial" w:eastAsia="Arial" w:hAnsi="Arial"/>
          <w:b/>
          <w:bCs/>
          <w:color w:val="2E5FA3"/>
          <w:sz w:val="26"/>
          <w:szCs w:val="26"/>
        </w:rPr>
        <w:t xml:space="preserve">2.1 The Core Challenge</w:t>
      </w:r>
    </w:p>
    <w:p>
      <w:pPr>
        <w:spacing w:after="120" w:before="60" w:line="276"/>
        <w:jc w:val="both"/>
      </w:pPr>
      <w:r>
        <w:rPr>
          <w:rFonts w:ascii="Arial" w:cs="Arial" w:eastAsia="Arial" w:hAnsi="Arial"/>
          <w:color w:val="000000"/>
          <w:sz w:val="22"/>
          <w:szCs w:val="22"/>
        </w:rPr>
        <w:t xml:space="preserve">The fundamental challenge is binary progression prediction: given a participant's data at their baseline visit — cognitive test scores, brain MRI measurements, amyloid PET results if available, APOE4 genetic status, and demographic information — predict whether that participant will progress to a worse diagnosis at any future follow-up visit. This is substantially harder than simple diagnosis classification, as it requires detecting subtle early signals of future deterioration not yet clinically visible.</w:t>
      </w:r>
    </w:p>
    <w:p>
      <w:pPr>
        <w:pStyle w:val="Heading2"/>
        <w:spacing w:after="120" w:before="260"/>
      </w:pPr>
      <w:r>
        <w:rPr>
          <w:rFonts w:ascii="Arial" w:cs="Arial" w:eastAsia="Arial" w:hAnsi="Arial"/>
          <w:b/>
          <w:bCs/>
          <w:color w:val="2E5FA3"/>
          <w:sz w:val="26"/>
          <w:szCs w:val="26"/>
        </w:rPr>
        <w:t xml:space="preserve">2.2 Why This Problem Is Difficult</w:t>
      </w:r>
    </w:p>
    <w:p>
      <w:pPr>
        <w:pStyle w:val="ListParagraph"/>
        <w:numPr>
          <w:ilvl w:val="0"/>
          <w:numId w:val="2"/>
        </w:numPr>
        <w:spacing w:after="40" w:before="40"/>
      </w:pPr>
      <w:r>
        <w:rPr>
          <w:rFonts w:ascii="Arial" w:cs="Arial" w:eastAsia="Arial" w:hAnsi="Arial"/>
          <w:color w:val="000000"/>
          <w:sz w:val="22"/>
          <w:szCs w:val="22"/>
        </w:rPr>
        <w:t xml:space="preserve">The progression signal is subtle — early-stage changes in brain volume, cognitive scores, and amyloid burden overlap heavily between progressors and non-progressors at baseline.</w:t>
      </w:r>
    </w:p>
    <w:p>
      <w:pPr>
        <w:pStyle w:val="ListParagraph"/>
        <w:numPr>
          <w:ilvl w:val="0"/>
          <w:numId w:val="2"/>
        </w:numPr>
        <w:spacing w:after="40" w:before="40"/>
      </w:pPr>
      <w:r>
        <w:rPr>
          <w:rFonts w:ascii="Arial" w:cs="Arial" w:eastAsia="Arial" w:hAnsi="Arial"/>
          <w:color w:val="000000"/>
          <w:sz w:val="22"/>
          <w:szCs w:val="22"/>
        </w:rPr>
        <w:t xml:space="preserve">The dataset is severely class-imbalanced — only approximately 9.8% of participants progress, making accuracy a misleading metric.</w:t>
      </w:r>
    </w:p>
    <w:p>
      <w:pPr>
        <w:pStyle w:val="ListParagraph"/>
        <w:numPr>
          <w:ilvl w:val="0"/>
          <w:numId w:val="2"/>
        </w:numPr>
        <w:spacing w:after="40" w:before="40"/>
      </w:pPr>
      <w:r>
        <w:rPr>
          <w:rFonts w:ascii="Arial" w:cs="Arial" w:eastAsia="Arial" w:hAnsi="Arial"/>
          <w:color w:val="000000"/>
          <w:sz w:val="22"/>
          <w:szCs w:val="22"/>
        </w:rPr>
        <w:t xml:space="preserve">Data is multimodal and heterogeneous — cognitive tests, MRI measurements, PET imaging, and genetics operate on completely different scales.</w:t>
      </w:r>
    </w:p>
    <w:p>
      <w:pPr>
        <w:pStyle w:val="ListParagraph"/>
        <w:numPr>
          <w:ilvl w:val="0"/>
          <w:numId w:val="2"/>
        </w:numPr>
        <w:spacing w:after="40" w:before="40"/>
      </w:pPr>
      <w:r>
        <w:rPr>
          <w:rFonts w:ascii="Arial" w:cs="Arial" w:eastAsia="Arial" w:hAnsi="Arial"/>
          <w:color w:val="000000"/>
          <w:sz w:val="22"/>
          <w:szCs w:val="22"/>
        </w:rPr>
        <w:t xml:space="preserve">Not all participants have all modalities — amyloid PET was collected for only ~39% of participants and MRI volumetrics for ~16%.</w:t>
      </w:r>
    </w:p>
    <w:p>
      <w:pPr>
        <w:pStyle w:val="ListParagraph"/>
        <w:numPr>
          <w:ilvl w:val="0"/>
          <w:numId w:val="2"/>
        </w:numPr>
        <w:spacing w:after="40" w:before="40"/>
      </w:pPr>
      <w:r>
        <w:rPr>
          <w:rFonts w:ascii="Arial" w:cs="Arial" w:eastAsia="Arial" w:hAnsi="Arial"/>
          <w:color w:val="000000"/>
          <w:sz w:val="22"/>
          <w:szCs w:val="22"/>
        </w:rPr>
        <w:t xml:space="preserve">Follow-up data is variable — participants have different numbers of visits over different time horizons, making progression labelling non-trivial.</w:t>
      </w:r>
    </w:p>
    <w:p>
      <w:pPr>
        <w:pStyle w:val="Heading2"/>
        <w:spacing w:after="120" w:before="260"/>
      </w:pPr>
      <w:r>
        <w:rPr>
          <w:rFonts w:ascii="Arial" w:cs="Arial" w:eastAsia="Arial" w:hAnsi="Arial"/>
          <w:b/>
          <w:bCs/>
          <w:color w:val="2E5FA3"/>
          <w:sz w:val="26"/>
          <w:szCs w:val="26"/>
        </w:rPr>
        <w:t xml:space="preserve">2.3 Project Objectives</w:t>
      </w:r>
    </w:p>
    <w:p>
      <w:pPr>
        <w:pStyle w:val="ListParagraph"/>
        <w:numPr>
          <w:ilvl w:val="0"/>
          <w:numId w:val="2"/>
        </w:numPr>
        <w:spacing w:after="40" w:before="40"/>
      </w:pPr>
      <w:r>
        <w:rPr>
          <w:rFonts w:ascii="Arial" w:cs="Arial" w:eastAsia="Arial" w:hAnsi="Arial"/>
          <w:b/>
          <w:bCs/>
          <w:color w:val="2E5FA3"/>
          <w:sz w:val="22"/>
          <w:szCs w:val="22"/>
        </w:rPr>
        <w:t xml:space="preserve">Objective 1: </w:t>
      </w:r>
      <w:r>
        <w:rPr>
          <w:rFonts w:ascii="Arial" w:cs="Arial" w:eastAsia="Arial" w:hAnsi="Arial"/>
          <w:color w:val="000000"/>
          <w:sz w:val="22"/>
          <w:szCs w:val="22"/>
        </w:rPr>
        <w:t xml:space="preserve">Build a clean, analysis-ready dataset from seven raw ADNI CSV files spanning all study phases.</w:t>
      </w:r>
    </w:p>
    <w:p>
      <w:pPr>
        <w:pStyle w:val="ListParagraph"/>
        <w:numPr>
          <w:ilvl w:val="0"/>
          <w:numId w:val="2"/>
        </w:numPr>
        <w:spacing w:after="40" w:before="40"/>
      </w:pPr>
      <w:r>
        <w:rPr>
          <w:rFonts w:ascii="Arial" w:cs="Arial" w:eastAsia="Arial" w:hAnsi="Arial"/>
          <w:b/>
          <w:bCs/>
          <w:color w:val="2E5FA3"/>
          <w:sz w:val="22"/>
          <w:szCs w:val="22"/>
        </w:rPr>
        <w:t xml:space="preserve">Objective 2: </w:t>
      </w:r>
      <w:r>
        <w:rPr>
          <w:rFonts w:ascii="Arial" w:cs="Arial" w:eastAsia="Arial" w:hAnsi="Arial"/>
          <w:color w:val="000000"/>
          <w:sz w:val="22"/>
          <w:szCs w:val="22"/>
        </w:rPr>
        <w:t xml:space="preserve">Train and systematically compare five ML models under identical preprocessing and evaluation conditions.</w:t>
      </w:r>
    </w:p>
    <w:p>
      <w:pPr>
        <w:pStyle w:val="ListParagraph"/>
        <w:numPr>
          <w:ilvl w:val="0"/>
          <w:numId w:val="2"/>
        </w:numPr>
        <w:spacing w:after="40" w:before="40"/>
      </w:pPr>
      <w:r>
        <w:rPr>
          <w:rFonts w:ascii="Arial" w:cs="Arial" w:eastAsia="Arial" w:hAnsi="Arial"/>
          <w:b/>
          <w:bCs/>
          <w:color w:val="2E5FA3"/>
          <w:sz w:val="22"/>
          <w:szCs w:val="22"/>
        </w:rPr>
        <w:t xml:space="preserve">Objective 3: </w:t>
      </w:r>
      <w:r>
        <w:rPr>
          <w:rFonts w:ascii="Arial" w:cs="Arial" w:eastAsia="Arial" w:hAnsi="Arial"/>
          <w:color w:val="000000"/>
          <w:sz w:val="22"/>
          <w:szCs w:val="22"/>
        </w:rPr>
        <w:t xml:space="preserve">Quantify the added predictive value of amyloid PET by comparing models with and without CENTILOIDS as a feature.</w:t>
      </w:r>
    </w:p>
    <w:p>
      <w:r>
        <w:br w:type="page"/>
      </w:r>
    </w:p>
    <w:p>
      <w:pPr>
        <w:pStyle w:val="Heading1"/>
        <w:pBdr>
          <w:bottom w:val="single" w:color="1F3864" w:sz="6" w:space="6"/>
        </w:pBdr>
        <w:spacing w:after="180" w:before="360"/>
      </w:pPr>
      <w:r>
        <w:rPr>
          <w:rFonts w:ascii="Arial" w:cs="Arial" w:eastAsia="Arial" w:hAnsi="Arial"/>
          <w:b/>
          <w:bCs/>
          <w:color w:val="1F3864"/>
          <w:sz w:val="30"/>
          <w:szCs w:val="30"/>
        </w:rPr>
        <w:t xml:space="preserve">3. Dataset Details</w:t>
      </w:r>
    </w:p>
    <w:p>
      <w:pPr>
        <w:pStyle w:val="Heading2"/>
        <w:spacing w:after="120" w:before="260"/>
      </w:pPr>
      <w:r>
        <w:rPr>
          <w:rFonts w:ascii="Arial" w:cs="Arial" w:eastAsia="Arial" w:hAnsi="Arial"/>
          <w:b/>
          <w:bCs/>
          <w:color w:val="2E5FA3"/>
          <w:sz w:val="26"/>
          <w:szCs w:val="26"/>
        </w:rPr>
        <w:t xml:space="preserve">3.1 Data Source</w:t>
      </w:r>
    </w:p>
    <w:p>
      <w:pPr>
        <w:spacing w:after="120" w:before="60" w:line="276"/>
        <w:jc w:val="both"/>
      </w:pPr>
      <w:r>
        <w:rPr>
          <w:rFonts w:ascii="Arial" w:cs="Arial" w:eastAsia="Arial" w:hAnsi="Arial"/>
          <w:color w:val="000000"/>
          <w:sz w:val="22"/>
          <w:szCs w:val="22"/>
        </w:rPr>
        <w:t xml:space="preserve">All data was sourced from the Alzheimer's Disease Neuroimaging Initiative (ADNI), a large-scale longitudinal multi-centre study launched in 2004 and designed to validate biomarkers for early AD detection. ADNI collects serial MRI, PET, biological markers, genetics, and neuropsychological assessments from participants across more than 50 sites in North America. As of 2024, ADNI supports over 5,600 publications and is the definitive benchmark for AD machine learning research.</w:t>
      </w:r>
    </w:p>
    <w:p>
      <w:pPr>
        <w:pStyle w:val="Heading2"/>
        <w:spacing w:after="120" w:before="260"/>
      </w:pPr>
      <w:r>
        <w:rPr>
          <w:rFonts w:ascii="Arial" w:cs="Arial" w:eastAsia="Arial" w:hAnsi="Arial"/>
          <w:b/>
          <w:bCs/>
          <w:color w:val="2E5FA3"/>
          <w:sz w:val="26"/>
          <w:szCs w:val="26"/>
        </w:rPr>
        <w:t xml:space="preserve">3.2 Raw Data Files</w:t>
      </w:r>
    </w:p>
    <w:p>
      <w:pPr>
        <w:spacing w:after="120" w:before="60" w:line="276"/>
        <w:jc w:val="both"/>
      </w:pPr>
      <w:r>
        <w:rPr>
          <w:rFonts w:ascii="Arial" w:cs="Arial" w:eastAsia="Arial" w:hAnsi="Arial"/>
          <w:color w:val="000000"/>
          <w:sz w:val="22"/>
          <w:szCs w:val="22"/>
        </w:rPr>
        <w:t xml:space="preserve">Seven raw CSV files were downloaded from the ADNI IDA (Image and Data Archive) portal, each corresponding to a distinct clinical domain:</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600"/>
        <w:gridCol w:w="1600"/>
      </w:tblGrid>
      <w:tr>
        <w:trPr>
          <w:tblHeader/>
        </w:trPr>
        <w:tc>
          <w:tcPr>
            <w:tcW w:type="dxa" w:w="22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File</w:t>
            </w:r>
          </w:p>
        </w:tc>
        <w:tc>
          <w:tcPr>
            <w:tcW w:type="dxa" w:w="16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Domain</w:t>
            </w:r>
          </w:p>
        </w:tc>
        <w:tc>
          <w:tcPr>
            <w:tcW w:type="dxa" w:w="36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Raw Columns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APOERES.csv</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Genetics</w:t>
            </w:r>
          </w:p>
        </w:tc>
        <w:tc>
          <w:tcPr>
            <w:tcW w:type="dxa" w:w="3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APOE genotype data per participant</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~15</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CDR.csv</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Clinical Rating</w:t>
            </w:r>
          </w:p>
        </w:tc>
        <w:tc>
          <w:tcPr>
            <w:tcW w:type="dxa" w:w="3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Clinical Dementia Rating scale scores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~25</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DXSUM.csv</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Diagnosis</w:t>
            </w:r>
          </w:p>
        </w:tc>
        <w:tc>
          <w:tcPr>
            <w:tcW w:type="dxa" w:w="3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Visit-level diagnosis records; merge anchor</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~30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NEUROBAT.csv</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Neuropsychology</w:t>
            </w:r>
          </w:p>
        </w:tc>
        <w:tc>
          <w:tcPr>
            <w:tcW w:type="dxa" w:w="3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Cognitive battery scores across all domains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~80</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PTDEMOG.csv</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Demographics</w:t>
            </w:r>
          </w:p>
        </w:tc>
        <w:tc>
          <w:tcPr>
            <w:tcW w:type="dxa" w:w="3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Gender, DOB, education, race, marital status</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~40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UCBERKELEY_AMY_6MM.csv</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Amyloid PET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Centiloid values and amyloid status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~25</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UCSFFSX7.csv</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MRI Volumetrics</w:t>
            </w:r>
          </w:p>
        </w:tc>
        <w:tc>
          <w:tcPr>
            <w:tcW w:type="dxa" w:w="3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Structural MRI brain region volumes (FreeSurfer)</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~400+</w:t>
            </w:r>
          </w:p>
        </w:tc>
      </w:tr>
    </w:tbl>
    <w:p>
      <w:pPr>
        <w:spacing w:after="0" w:before="0"/>
      </w:pPr>
      <w:r>
        <w:t xml:space="preserve"/>
      </w:r>
    </w:p>
    <w:p>
      <w:pPr>
        <w:pStyle w:val="Heading2"/>
        <w:spacing w:after="120" w:before="260"/>
      </w:pPr>
      <w:r>
        <w:rPr>
          <w:rFonts w:ascii="Arial" w:cs="Arial" w:eastAsia="Arial" w:hAnsi="Arial"/>
          <w:b/>
          <w:bCs/>
          <w:color w:val="2E5FA3"/>
          <w:sz w:val="26"/>
          <w:szCs w:val="26"/>
        </w:rPr>
        <w:t xml:space="preserve">3.3 Cohort Definition</w:t>
      </w:r>
    </w:p>
    <w:p>
      <w:pPr>
        <w:spacing w:after="120" w:before="60" w:line="276"/>
        <w:jc w:val="both"/>
      </w:pPr>
      <w:r>
        <w:rPr>
          <w:rFonts w:ascii="Arial" w:cs="Arial" w:eastAsia="Arial" w:hAnsi="Arial"/>
          <w:color w:val="000000"/>
          <w:sz w:val="22"/>
          <w:szCs w:val="22"/>
        </w:rPr>
        <w:t xml:space="preserve">The final modeling cohort consists of 2,968 participants at their baseline visit. The cohort was restricted to participants with a baseline diagnosis of Cognitively Unimpaired (CU) or Mild Cognitive Impairment (MCI). Participants already diagnosed with Dementia at baseline were excluded, as the project goal is to predict future progression — not classify those already diagnosed.</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400"/>
      </w:tblGrid>
      <w:tr>
        <w:trPr>
          <w:tblHeader/>
        </w:trPr>
        <w:tc>
          <w:tcPr>
            <w:tcW w:type="dxa" w:w="28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Diagnosis Group</w:t>
            </w:r>
          </w:p>
        </w:tc>
        <w:tc>
          <w:tcPr>
            <w:tcW w:type="dxa" w:w="14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Count</w:t>
            </w:r>
          </w:p>
        </w:tc>
        <w:tc>
          <w:tcPr>
            <w:tcW w:type="dxa" w:w="14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Percentage</w:t>
            </w:r>
          </w:p>
        </w:tc>
        <w:tc>
          <w:tcPr>
            <w:tcW w:type="dxa" w:w="34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Cognitively Unimpaired (CU)</w:t>
            </w:r>
          </w:p>
        </w:tc>
        <w:tc>
          <w:tcPr>
            <w:tcW w:type="dxa" w:w="1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1,516</w:t>
            </w:r>
          </w:p>
        </w:tc>
        <w:tc>
          <w:tcPr>
            <w:tcW w:type="dxa" w:w="1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51.1%</w:t>
            </w:r>
          </w:p>
        </w:tc>
        <w:tc>
          <w:tcPr>
            <w:tcW w:type="dxa" w:w="3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No cognitive impairment at baseline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Mild Cognitive Impairment (MCI)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1,452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48.9%</w:t>
            </w:r>
          </w:p>
        </w:tc>
        <w:tc>
          <w:tcPr>
            <w:tcW w:type="dxa" w:w="3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Cognitive decline, functionally independent</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Total</w:t>
            </w:r>
          </w:p>
        </w:tc>
        <w:tc>
          <w:tcPr>
            <w:tcW w:type="dxa" w:w="1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2,968</w:t>
            </w:r>
          </w:p>
        </w:tc>
        <w:tc>
          <w:tcPr>
            <w:tcW w:type="dxa" w:w="1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100%</w:t>
            </w:r>
          </w:p>
        </w:tc>
        <w:tc>
          <w:tcPr>
            <w:tcW w:type="dxa" w:w="3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Baseline modeling cohort</w:t>
            </w:r>
          </w:p>
        </w:tc>
      </w:tr>
    </w:tbl>
    <w:p>
      <w:pPr>
        <w:spacing w:after="0" w:before="0"/>
      </w:pPr>
      <w:r>
        <w:t xml:space="preserve"/>
      </w:r>
    </w:p>
    <w:p>
      <w:pPr>
        <w:pStyle w:val="Heading2"/>
        <w:spacing w:after="120" w:before="260"/>
      </w:pPr>
      <w:r>
        <w:rPr>
          <w:rFonts w:ascii="Arial" w:cs="Arial" w:eastAsia="Arial" w:hAnsi="Arial"/>
          <w:b/>
          <w:bCs/>
          <w:color w:val="2E5FA3"/>
          <w:sz w:val="26"/>
          <w:szCs w:val="26"/>
        </w:rPr>
        <w:t xml:space="preserve">3.4 Target Variable — PROGRESSOR</w:t>
      </w:r>
    </w:p>
    <w:p>
      <w:pPr>
        <w:spacing w:after="120" w:before="60" w:line="276"/>
        <w:jc w:val="both"/>
      </w:pPr>
      <w:r>
        <w:rPr>
          <w:rFonts w:ascii="Arial" w:cs="Arial" w:eastAsia="Arial" w:hAnsi="Arial"/>
          <w:color w:val="000000"/>
          <w:sz w:val="22"/>
          <w:szCs w:val="22"/>
        </w:rPr>
        <w:t xml:space="preserve">The target variable PROGRESSOR was constructed from longitudinal follow-up data. For each participant, the worst diagnosis observed at any follow-up visit (MONTH &gt; 0) was compared to their baseline diagnosis. If any future visit showed diagnostic worsening — CU to MCI or Dementia, or MCI to Dementia — the participant was labelled as a progressor (PROGRESSOR = 1). Participants with stable or improving trajectories were labelled non-progressors (PROGRESSOR = 0). The resulting class imbalance (90.2% vs 9.8%) is the defining characteristic of this dataset and drives all preprocessing and evaluation choices.</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3800"/>
      </w:tblGrid>
      <w:tr>
        <w:trPr>
          <w:tblHeader/>
        </w:trPr>
        <w:tc>
          <w:tcPr>
            <w:tcW w:type="dxa" w:w="24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Label</w:t>
            </w:r>
          </w:p>
        </w:tc>
        <w:tc>
          <w:tcPr>
            <w:tcW w:type="dxa" w:w="14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Count</w:t>
            </w:r>
          </w:p>
        </w:tc>
        <w:tc>
          <w:tcPr>
            <w:tcW w:type="dxa" w:w="14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Percentage</w:t>
            </w:r>
          </w:p>
        </w:tc>
        <w:tc>
          <w:tcPr>
            <w:tcW w:type="dxa" w:w="38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Clinical Meaning</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Non-Progressor (0)</w:t>
            </w:r>
          </w:p>
        </w:tc>
        <w:tc>
          <w:tcPr>
            <w:tcW w:type="dxa" w:w="1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2,677</w:t>
            </w:r>
          </w:p>
        </w:tc>
        <w:tc>
          <w:tcPr>
            <w:tcW w:type="dxa" w:w="1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90.2%</w:t>
            </w:r>
          </w:p>
        </w:tc>
        <w:tc>
          <w:tcPr>
            <w:tcW w:type="dxa" w:w="3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Diagnosis stable or improved at all follow-up visits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Progressor (1)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291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9.8%</w:t>
            </w:r>
          </w:p>
        </w:tc>
        <w:tc>
          <w:tcPr>
            <w:tcW w:type="dxa" w:w="3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Diagnosed with a worse condition at any future visit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Total</w:t>
            </w:r>
          </w:p>
        </w:tc>
        <w:tc>
          <w:tcPr>
            <w:tcW w:type="dxa" w:w="1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2,968</w:t>
            </w:r>
          </w:p>
        </w:tc>
        <w:tc>
          <w:tcPr>
            <w:tcW w:type="dxa" w:w="1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100%</w:t>
            </w:r>
          </w:p>
        </w:tc>
        <w:tc>
          <w:tcPr>
            <w:tcW w:type="dxa" w:w="3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
            </w:r>
          </w:p>
        </w:tc>
      </w:tr>
    </w:tbl>
    <w:p>
      <w:pPr>
        <w:spacing w:after="0" w:before="0"/>
      </w:pPr>
      <w:r>
        <w:t xml:space="preserve"/>
      </w:r>
    </w:p>
    <w:p>
      <w:pPr>
        <w:pStyle w:val="Heading2"/>
        <w:spacing w:after="120" w:before="260"/>
      </w:pPr>
      <w:r>
        <w:rPr>
          <w:rFonts w:ascii="Arial" w:cs="Arial" w:eastAsia="Arial" w:hAnsi="Arial"/>
          <w:b/>
          <w:bCs/>
          <w:color w:val="2E5FA3"/>
          <w:sz w:val="26"/>
          <w:szCs w:val="26"/>
        </w:rPr>
        <w:t xml:space="preserve">3.5 Feature Set</w:t>
      </w:r>
    </w:p>
    <w:p>
      <w:pPr>
        <w:spacing w:after="120" w:before="60" w:line="276"/>
        <w:jc w:val="both"/>
      </w:pPr>
      <w:r>
        <w:rPr>
          <w:rFonts w:ascii="Arial" w:cs="Arial" w:eastAsia="Arial" w:hAnsi="Arial"/>
          <w:color w:val="000000"/>
          <w:sz w:val="22"/>
          <w:szCs w:val="22"/>
        </w:rPr>
        <w:t xml:space="preserve">The final modeling dataset contains 17 features plus the target variable, reduced from over 590 raw columns across all source files. Feature selection was driven by clinical domain knowledge and published literature on AD biomarkers. Features span five clinical domains:</w:t>
      </w:r>
    </w:p>
    <w:p>
      <w:pPr>
        <w:spacing w:after="0" w:before="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500"/>
        <w:gridCol w:w="1500"/>
      </w:tblGrid>
      <w:tr>
        <w:trPr>
          <w:tblHeader/>
        </w:trPr>
        <w:tc>
          <w:tcPr>
            <w:tcW w:type="dxa" w:w="20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15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Domain</w:t>
            </w:r>
          </w:p>
        </w:tc>
        <w:tc>
          <w:tcPr>
            <w:tcW w:type="dxa" w:w="35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15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Coverage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AGE_AT_VISIT</w:t>
            </w:r>
          </w:p>
        </w:tc>
        <w:tc>
          <w:tcPr>
            <w:tcW w:type="dxa" w:w="1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Demographics</w:t>
            </w:r>
          </w:p>
        </w:tc>
        <w:tc>
          <w:tcPr>
            <w:tcW w:type="dxa" w:w="3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Age at baseline visit (derived from DOB)</w:t>
            </w:r>
          </w:p>
        </w:tc>
        <w:tc>
          <w:tcPr>
            <w:tcW w:type="dxa" w:w="1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99.9%</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PTGENDER</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Demographics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Biological sex (1=Male, 2=Female)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100%</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PTEDUCAT</w:t>
            </w:r>
          </w:p>
        </w:tc>
        <w:tc>
          <w:tcPr>
            <w:tcW w:type="dxa" w:w="1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Demographics</w:t>
            </w:r>
          </w:p>
        </w:tc>
        <w:tc>
          <w:tcPr>
            <w:tcW w:type="dxa" w:w="3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Years of education — cognitive reserve proxy</w:t>
            </w:r>
          </w:p>
        </w:tc>
        <w:tc>
          <w:tcPr>
            <w:tcW w:type="dxa" w:w="1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99.9%</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APOE4_COUNT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Genetics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Number of APOE ε4 alleles (0, 1, or 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75.4%</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LIMMTOTAL</w:t>
            </w:r>
          </w:p>
        </w:tc>
        <w:tc>
          <w:tcPr>
            <w:tcW w:type="dxa" w:w="1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Cognition</w:t>
            </w:r>
          </w:p>
        </w:tc>
        <w:tc>
          <w:tcPr>
            <w:tcW w:type="dxa" w:w="3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Logical Memory Immediate Recall</w:t>
            </w:r>
          </w:p>
        </w:tc>
        <w:tc>
          <w:tcPr>
            <w:tcW w:type="dxa" w:w="1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99.6%</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LDELTOTAL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Cognition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Logical Memory Delayed Recall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99.5%</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AVTOT4</w:t>
            </w:r>
          </w:p>
        </w:tc>
        <w:tc>
          <w:tcPr>
            <w:tcW w:type="dxa" w:w="1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Cognition</w:t>
            </w:r>
          </w:p>
        </w:tc>
        <w:tc>
          <w:tcPr>
            <w:tcW w:type="dxa" w:w="3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RAVLT Trial 4 — verbal learning efficiency</w:t>
            </w:r>
          </w:p>
        </w:tc>
        <w:tc>
          <w:tcPr>
            <w:tcW w:type="dxa" w:w="1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99%+</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AVDEL30MIN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Cognition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RAVLT 30-min Delayed Recall — hippocampal integrity</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99%+</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AVDELTOT</w:t>
            </w:r>
          </w:p>
        </w:tc>
        <w:tc>
          <w:tcPr>
            <w:tcW w:type="dxa" w:w="1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Cognition</w:t>
            </w:r>
          </w:p>
        </w:tc>
        <w:tc>
          <w:tcPr>
            <w:tcW w:type="dxa" w:w="3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RAVLT Recognition Score — encoding efficiency</w:t>
            </w:r>
          </w:p>
        </w:tc>
        <w:tc>
          <w:tcPr>
            <w:tcW w:type="dxa" w:w="1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99%+</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TRAASCOR</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Cognition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Trail Making Test A — processing speed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99%+</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TRABSCOR</w:t>
            </w:r>
          </w:p>
        </w:tc>
        <w:tc>
          <w:tcPr>
            <w:tcW w:type="dxa" w:w="1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Cognition</w:t>
            </w:r>
          </w:p>
        </w:tc>
        <w:tc>
          <w:tcPr>
            <w:tcW w:type="dxa" w:w="3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Trail Making Test B — executive function</w:t>
            </w:r>
          </w:p>
        </w:tc>
        <w:tc>
          <w:tcPr>
            <w:tcW w:type="dxa" w:w="1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99%+</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CATANIMSC</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Cognition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Category Fluency Animals — semantic memory</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99%+</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CATVEGESC</w:t>
            </w:r>
          </w:p>
        </w:tc>
        <w:tc>
          <w:tcPr>
            <w:tcW w:type="dxa" w:w="1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Cognition</w:t>
            </w:r>
          </w:p>
        </w:tc>
        <w:tc>
          <w:tcPr>
            <w:tcW w:type="dxa" w:w="3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Category Fluency Vegetables — semantic memory</w:t>
            </w:r>
          </w:p>
        </w:tc>
        <w:tc>
          <w:tcPr>
            <w:tcW w:type="dxa" w:w="1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99%+</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CENTILOIDS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Amyloid PET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Continuous amyloid burden from PET imaging</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39.3%</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HIPPOCAMPUS_NORM</w:t>
            </w:r>
          </w:p>
        </w:tc>
        <w:tc>
          <w:tcPr>
            <w:tcW w:type="dxa" w:w="1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MRI</w:t>
            </w:r>
          </w:p>
        </w:tc>
        <w:tc>
          <w:tcPr>
            <w:tcW w:type="dxa" w:w="3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Bilateral hippocampal volume, ICV-normalised</w:t>
            </w:r>
          </w:p>
        </w:tc>
        <w:tc>
          <w:tcPr>
            <w:tcW w:type="dxa" w:w="1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15.8%</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ENTORHINAL_NORM</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MRI</w:t>
            </w:r>
          </w:p>
        </w:tc>
        <w:tc>
          <w:tcPr>
            <w:tcW w:type="dxa" w:w="3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Bilateral entorhinal cortex volume, ICV-normalised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15.7%</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VENTRICLES_NORM</w:t>
            </w:r>
          </w:p>
        </w:tc>
        <w:tc>
          <w:tcPr>
            <w:tcW w:type="dxa" w:w="1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MRI</w:t>
            </w:r>
          </w:p>
        </w:tc>
        <w:tc>
          <w:tcPr>
            <w:tcW w:type="dxa" w:w="3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Bilateral lateral ventricle volume, ICV-normalised</w:t>
            </w:r>
          </w:p>
        </w:tc>
        <w:tc>
          <w:tcPr>
            <w:tcW w:type="dxa" w:w="1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15.7%</w:t>
            </w:r>
          </w:p>
        </w:tc>
      </w:tr>
    </w:tbl>
    <w:p>
      <w:pPr>
        <w:spacing w:after="0" w:before="0"/>
      </w:pPr>
      <w:r>
        <w:t xml:space="preserve"/>
      </w:r>
    </w:p>
    <w:p>
      <w:pPr>
        <w:pStyle w:val="Heading2"/>
        <w:spacing w:after="120" w:before="260"/>
      </w:pPr>
      <w:r>
        <w:rPr>
          <w:rFonts w:ascii="Arial" w:cs="Arial" w:eastAsia="Arial" w:hAnsi="Arial"/>
          <w:b/>
          <w:bCs/>
          <w:color w:val="2E5FA3"/>
          <w:sz w:val="26"/>
          <w:szCs w:val="26"/>
        </w:rPr>
        <w:t xml:space="preserve">3.6 Missing Data Strategy</w:t>
      </w:r>
    </w:p>
    <w:p>
      <w:pPr>
        <w:spacing w:after="120" w:before="60" w:line="276"/>
        <w:jc w:val="both"/>
      </w:pPr>
      <w:r>
        <w:rPr>
          <w:rFonts w:ascii="Arial" w:cs="Arial" w:eastAsia="Arial" w:hAnsi="Arial"/>
          <w:color w:val="000000"/>
          <w:sz w:val="22"/>
          <w:szCs w:val="22"/>
        </w:rPr>
        <w:t xml:space="preserve">Missing data was handled differently depending on feature type, reflecting the clinical reality of data collection:</w:t>
      </w:r>
    </w:p>
    <w:p>
      <w:pPr>
        <w:pStyle w:val="ListParagraph"/>
        <w:numPr>
          <w:ilvl w:val="0"/>
          <w:numId w:val="2"/>
        </w:numPr>
        <w:spacing w:after="40" w:before="40"/>
      </w:pPr>
      <w:r>
        <w:rPr>
          <w:rFonts w:ascii="Arial" w:cs="Arial" w:eastAsia="Arial" w:hAnsi="Arial"/>
          <w:b/>
          <w:bCs/>
          <w:color w:val="2E5FA3"/>
          <w:sz w:val="22"/>
          <w:szCs w:val="22"/>
        </w:rPr>
        <w:t xml:space="preserve">Imputed features: </w:t>
      </w:r>
      <w:r>
        <w:rPr>
          <w:rFonts w:ascii="Arial" w:cs="Arial" w:eastAsia="Arial" w:hAnsi="Arial"/>
          <w:color w:val="000000"/>
          <w:sz w:val="22"/>
          <w:szCs w:val="22"/>
        </w:rPr>
        <w:t xml:space="preserve">Non-imaging features (cognitive tests, demographics, APOE4): Multiple Imputation by Chained Equations (MICE) was applied using scikit-learn's IterativeImputer with BayesianRidge as the estimator and 10 iterations. MICE preserves correlation structure between features rather than biasing toward the mean.</w:t>
      </w:r>
    </w:p>
    <w:p>
      <w:pPr>
        <w:pStyle w:val="ListParagraph"/>
        <w:numPr>
          <w:ilvl w:val="0"/>
          <w:numId w:val="2"/>
        </w:numPr>
        <w:spacing w:after="40" w:before="40"/>
      </w:pPr>
      <w:r>
        <w:rPr>
          <w:rFonts w:ascii="Arial" w:cs="Arial" w:eastAsia="Arial" w:hAnsi="Arial"/>
          <w:b/>
          <w:bCs/>
          <w:color w:val="2E5FA3"/>
          <w:sz w:val="22"/>
          <w:szCs w:val="22"/>
        </w:rPr>
        <w:t xml:space="preserve">Non-imputed features: </w:t>
      </w:r>
      <w:r>
        <w:rPr>
          <w:rFonts w:ascii="Arial" w:cs="Arial" w:eastAsia="Arial" w:hAnsi="Arial"/>
          <w:color w:val="000000"/>
          <w:sz w:val="22"/>
          <w:szCs w:val="22"/>
        </w:rPr>
        <w:t xml:space="preserve">Imaging features (HIPPOCAMPUS_NORM, ENTORHINAL_NORM, VENTRICLES_NORM, CENTILOIDS): Deliberate non-imputation was applied. These features are absent because the scans were simply not collected — fabricating imaging biomarkers for patients who never underwent MRI or PET scanning would be clinically misleading. These features remain as NaN for participants without imaging data.</w:t>
      </w:r>
    </w:p>
    <w:p>
      <w:pPr>
        <w:pStyle w:val="Heading2"/>
        <w:spacing w:after="120" w:before="260"/>
      </w:pPr>
      <w:r>
        <w:rPr>
          <w:rFonts w:ascii="Arial" w:cs="Arial" w:eastAsia="Arial" w:hAnsi="Arial"/>
          <w:b/>
          <w:bCs/>
          <w:color w:val="2E5FA3"/>
          <w:sz w:val="26"/>
          <w:szCs w:val="26"/>
        </w:rPr>
        <w:t xml:space="preserve">3.7 Key Preprocessing Steps</w:t>
      </w:r>
    </w:p>
    <w:p>
      <w:pPr>
        <w:pStyle w:val="ListParagraph"/>
        <w:numPr>
          <w:ilvl w:val="0"/>
          <w:numId w:val="2"/>
        </w:numPr>
        <w:spacing w:after="40" w:before="40"/>
      </w:pPr>
      <w:r>
        <w:rPr>
          <w:rFonts w:ascii="Arial" w:cs="Arial" w:eastAsia="Arial" w:hAnsi="Arial"/>
          <w:color w:val="000000"/>
          <w:sz w:val="22"/>
          <w:szCs w:val="22"/>
        </w:rPr>
        <w:t xml:space="preserve">VISCODE standardisation: All ADNI visit codes across phases mapped to a unified numeric MONTH field representing months since baseline.</w:t>
      </w:r>
    </w:p>
    <w:p>
      <w:pPr>
        <w:pStyle w:val="ListParagraph"/>
        <w:numPr>
          <w:ilvl w:val="0"/>
          <w:numId w:val="2"/>
        </w:numPr>
        <w:spacing w:after="40" w:before="40"/>
      </w:pPr>
      <w:r>
        <w:rPr>
          <w:rFonts w:ascii="Arial" w:cs="Arial" w:eastAsia="Arial" w:hAnsi="Arial"/>
          <w:color w:val="000000"/>
          <w:sz w:val="22"/>
          <w:szCs w:val="22"/>
        </w:rPr>
        <w:t xml:space="preserve">Nearest-neighbour temporal merge: MRI and PET scans matched to clinical visits within a 6-month tolerance window, maximising imaging data utilisation.</w:t>
      </w:r>
    </w:p>
    <w:p>
      <w:pPr>
        <w:pStyle w:val="ListParagraph"/>
        <w:numPr>
          <w:ilvl w:val="0"/>
          <w:numId w:val="2"/>
        </w:numPr>
        <w:spacing w:after="40" w:before="40"/>
      </w:pPr>
      <w:r>
        <w:rPr>
          <w:rFonts w:ascii="Arial" w:cs="Arial" w:eastAsia="Arial" w:hAnsi="Arial"/>
          <w:color w:val="000000"/>
          <w:sz w:val="22"/>
          <w:szCs w:val="22"/>
        </w:rPr>
        <w:t xml:space="preserve">Smart MRI QC filter: Pass and region-specific Partial scans retained; only outright Fail scans excluded.</w:t>
      </w:r>
    </w:p>
    <w:p>
      <w:pPr>
        <w:pStyle w:val="ListParagraph"/>
        <w:numPr>
          <w:ilvl w:val="0"/>
          <w:numId w:val="2"/>
        </w:numPr>
        <w:spacing w:after="40" w:before="40"/>
      </w:pPr>
      <w:r>
        <w:rPr>
          <w:rFonts w:ascii="Arial" w:cs="Arial" w:eastAsia="Arial" w:hAnsi="Arial"/>
          <w:color w:val="000000"/>
          <w:sz w:val="22"/>
          <w:szCs w:val="22"/>
        </w:rPr>
        <w:t xml:space="preserve">ICV normalisation: All MRI volumes normalised by intracranial volume to remove brain-size confound.</w:t>
      </w:r>
    </w:p>
    <w:p>
      <w:pPr>
        <w:pStyle w:val="ListParagraph"/>
        <w:numPr>
          <w:ilvl w:val="0"/>
          <w:numId w:val="2"/>
        </w:numPr>
        <w:spacing w:after="40" w:before="40"/>
      </w:pPr>
      <w:r>
        <w:rPr>
          <w:rFonts w:ascii="Arial" w:cs="Arial" w:eastAsia="Arial" w:hAnsi="Arial"/>
          <w:color w:val="000000"/>
          <w:sz w:val="22"/>
          <w:szCs w:val="22"/>
        </w:rPr>
        <w:t xml:space="preserve">APOE4_COUNT engineering: Raw genotype strings (e.g. '3/4') converted to integer allele counts (0, 1, 2).</w:t>
      </w:r>
    </w:p>
    <w:p>
      <w:pPr>
        <w:pStyle w:val="ListParagraph"/>
        <w:numPr>
          <w:ilvl w:val="0"/>
          <w:numId w:val="2"/>
        </w:numPr>
        <w:spacing w:after="40" w:before="40"/>
      </w:pPr>
      <w:r>
        <w:rPr>
          <w:rFonts w:ascii="Arial" w:cs="Arial" w:eastAsia="Arial" w:hAnsi="Arial"/>
          <w:color w:val="000000"/>
          <w:sz w:val="22"/>
          <w:szCs w:val="22"/>
        </w:rPr>
        <w:t xml:space="preserve">AGE_AT_VISIT engineering: Derived from date of birth and visit date; raw date columns dropped.</w:t>
      </w:r>
    </w:p>
    <w:p>
      <w:pPr>
        <w:pStyle w:val="ListParagraph"/>
        <w:numPr>
          <w:ilvl w:val="0"/>
          <w:numId w:val="2"/>
        </w:numPr>
        <w:spacing w:after="40" w:before="40"/>
      </w:pPr>
      <w:r>
        <w:rPr>
          <w:rFonts w:ascii="Arial" w:cs="Arial" w:eastAsia="Arial" w:hAnsi="Arial"/>
          <w:color w:val="000000"/>
          <w:sz w:val="22"/>
          <w:szCs w:val="22"/>
        </w:rPr>
        <w:t xml:space="preserve">IQR winsorisation: Applied to all continuous cognitive and imaging features to cap outliers without discarding data points.</w:t>
      </w:r>
    </w:p>
    <w:p>
      <w:pPr>
        <w:pStyle w:val="ListParagraph"/>
        <w:numPr>
          <w:ilvl w:val="0"/>
          <w:numId w:val="2"/>
        </w:numPr>
        <w:spacing w:after="40" w:before="40"/>
      </w:pPr>
      <w:r>
        <w:rPr>
          <w:rFonts w:ascii="Arial" w:cs="Arial" w:eastAsia="Arial" w:hAnsi="Arial"/>
          <w:color w:val="000000"/>
          <w:sz w:val="22"/>
          <w:szCs w:val="22"/>
        </w:rPr>
        <w:t xml:space="preserve">CENTILOIDS clipped to clinically validated PET range: [-39, 201].</w:t>
      </w:r>
    </w:p>
    <w:p>
      <w:r>
        <w:br w:type="page"/>
      </w:r>
    </w:p>
    <w:p>
      <w:pPr>
        <w:pStyle w:val="Heading1"/>
        <w:pBdr>
          <w:bottom w:val="single" w:color="1F3864" w:sz="6" w:space="6"/>
        </w:pBdr>
        <w:spacing w:after="180" w:before="360"/>
      </w:pPr>
      <w:r>
        <w:rPr>
          <w:rFonts w:ascii="Arial" w:cs="Arial" w:eastAsia="Arial" w:hAnsi="Arial"/>
          <w:b/>
          <w:bCs/>
          <w:color w:val="1F3864"/>
          <w:sz w:val="30"/>
          <w:szCs w:val="30"/>
        </w:rPr>
        <w:t xml:space="preserve">4. Exploratory Data Analysis</w:t>
      </w:r>
    </w:p>
    <w:p>
      <w:pPr>
        <w:pStyle w:val="Heading2"/>
        <w:spacing w:after="120" w:before="260"/>
      </w:pPr>
      <w:r>
        <w:rPr>
          <w:rFonts w:ascii="Arial" w:cs="Arial" w:eastAsia="Arial" w:hAnsi="Arial"/>
          <w:b/>
          <w:bCs/>
          <w:color w:val="2E5FA3"/>
          <w:sz w:val="26"/>
          <w:szCs w:val="26"/>
        </w:rPr>
        <w:t xml:space="preserve">4.1 Target Distribution</w:t>
      </w:r>
    </w:p>
    <w:p>
      <w:pPr>
        <w:spacing w:after="120" w:before="60" w:line="276"/>
        <w:jc w:val="both"/>
      </w:pPr>
      <w:r>
        <w:rPr>
          <w:rFonts w:ascii="Arial" w:cs="Arial" w:eastAsia="Arial" w:hAnsi="Arial"/>
          <w:color w:val="000000"/>
          <w:sz w:val="22"/>
          <w:szCs w:val="22"/>
        </w:rPr>
        <w:t xml:space="preserve">The PROGRESSOR distribution revealed severe class imbalance: 2,677 non-progressors (90.2%) versus 291 progressors (9.8%). This immediately ruled out accuracy as a useful evaluation metric — a trivial classifier predicting no progression would achieve 90.2% accuracy. AUC-ROC, F1-score, and Recall were adopted as primary metrics, consistent with all published ADNI progression studies.</w:t>
      </w:r>
    </w:p>
    <w:p>
      <w:pPr>
        <w:pStyle w:val="Heading2"/>
        <w:spacing w:after="120" w:before="260"/>
      </w:pPr>
      <w:r>
        <w:rPr>
          <w:rFonts w:ascii="Arial" w:cs="Arial" w:eastAsia="Arial" w:hAnsi="Arial"/>
          <w:b/>
          <w:bCs/>
          <w:color w:val="2E5FA3"/>
          <w:sz w:val="26"/>
          <w:szCs w:val="26"/>
        </w:rPr>
        <w:t xml:space="preserve">4.2 Diagnosis Breakdown</w:t>
      </w:r>
    </w:p>
    <w:p>
      <w:pPr>
        <w:spacing w:after="120" w:before="60" w:line="276"/>
        <w:jc w:val="both"/>
      </w:pPr>
      <w:r>
        <w:rPr>
          <w:rFonts w:ascii="Arial" w:cs="Arial" w:eastAsia="Arial" w:hAnsi="Arial"/>
          <w:color w:val="000000"/>
          <w:sz w:val="22"/>
          <w:szCs w:val="22"/>
        </w:rPr>
        <w:t xml:space="preserve">Among the 2,968 baseline participants, 1,516 were Cognitively Unimpaired (51.1%) and 1,452 had Mild Cognitive Impairment (48.9%). Progression rates differ sharply between groups: MCI patients progress at a substantially higher rate than CU patients, validating the inclusion of DIAGNOSIS as a covariate and confirming that the dataset captures a genuine clinical gradient from healthy to pre-dementia to early dementia.</w:t>
      </w:r>
    </w:p>
    <w:p>
      <w:pPr>
        <w:pStyle w:val="Heading2"/>
        <w:spacing w:after="120" w:before="260"/>
      </w:pPr>
      <w:r>
        <w:rPr>
          <w:rFonts w:ascii="Arial" w:cs="Arial" w:eastAsia="Arial" w:hAnsi="Arial"/>
          <w:b/>
          <w:bCs/>
          <w:color w:val="2E5FA3"/>
          <w:sz w:val="26"/>
          <w:szCs w:val="26"/>
        </w:rPr>
        <w:t xml:space="preserve">4.3 APOE4 Analysis</w:t>
      </w:r>
    </w:p>
    <w:p>
      <w:pPr>
        <w:spacing w:after="120" w:before="60" w:line="276"/>
        <w:jc w:val="both"/>
      </w:pPr>
      <w:r>
        <w:rPr>
          <w:rFonts w:ascii="Arial" w:cs="Arial" w:eastAsia="Arial" w:hAnsi="Arial"/>
          <w:color w:val="000000"/>
          <w:sz w:val="22"/>
          <w:szCs w:val="22"/>
        </w:rPr>
        <w:t xml:space="preserve">APOE4 allele count shows a clear dose-response relationship with progression probability. Patients with 2 APOE4 copies (homozygous) show the highest progression rate, followed by heterozygous (1 copy) patients, with APOE4-negative patients at the lowest rate. This dose-response pattern is consistent with the established genetic literature and confirms APOE4_COUNT is a strong, ordered predictor.</w:t>
      </w:r>
    </w:p>
    <w:p>
      <w:pPr>
        <w:pStyle w:val="Heading2"/>
        <w:spacing w:after="120" w:before="260"/>
      </w:pPr>
      <w:r>
        <w:rPr>
          <w:rFonts w:ascii="Arial" w:cs="Arial" w:eastAsia="Arial" w:hAnsi="Arial"/>
          <w:b/>
          <w:bCs/>
          <w:color w:val="2E5FA3"/>
          <w:sz w:val="26"/>
          <w:szCs w:val="26"/>
        </w:rPr>
        <w:t xml:space="preserve">4.4 Statistical Feature Significance</w:t>
      </w:r>
    </w:p>
    <w:p>
      <w:pPr>
        <w:spacing w:after="120" w:before="60" w:line="276"/>
        <w:jc w:val="both"/>
      </w:pPr>
      <w:r>
        <w:rPr>
          <w:rFonts w:ascii="Arial" w:cs="Arial" w:eastAsia="Arial" w:hAnsi="Arial"/>
          <w:color w:val="000000"/>
          <w:sz w:val="22"/>
          <w:szCs w:val="22"/>
        </w:rPr>
        <w:t xml:space="preserve">Mann-Whitney U tests and Cohen's d effect sizes were computed for all features against the PROGRESSOR target. This non-parametric approach was chosen over Pearson correlation because most features are not normally distributed. Key findings:</w:t>
      </w:r>
    </w:p>
    <w:p>
      <w:pPr>
        <w:pStyle w:val="ListParagraph"/>
        <w:numPr>
          <w:ilvl w:val="0"/>
          <w:numId w:val="2"/>
        </w:numPr>
        <w:spacing w:after="40" w:before="40"/>
      </w:pPr>
      <w:r>
        <w:rPr>
          <w:rFonts w:ascii="Arial" w:cs="Arial" w:eastAsia="Arial" w:hAnsi="Arial"/>
          <w:color w:val="000000"/>
          <w:sz w:val="22"/>
          <w:szCs w:val="22"/>
        </w:rPr>
        <w:t xml:space="preserve">Large effect sizes (|d| &gt;= 0.8): Memory measures, particularly RAVLT delayed recall and Logical Memory delayed recall, emerged as the strongest single-feature discriminators.</w:t>
      </w:r>
    </w:p>
    <w:p>
      <w:pPr>
        <w:pStyle w:val="ListParagraph"/>
        <w:numPr>
          <w:ilvl w:val="0"/>
          <w:numId w:val="2"/>
        </w:numPr>
        <w:spacing w:after="40" w:before="40"/>
      </w:pPr>
      <w:r>
        <w:rPr>
          <w:rFonts w:ascii="Arial" w:cs="Arial" w:eastAsia="Arial" w:hAnsi="Arial"/>
          <w:color w:val="000000"/>
          <w:sz w:val="22"/>
          <w:szCs w:val="22"/>
        </w:rPr>
        <w:t xml:space="preserve">Medium effect sizes (|d| &gt;= 0.5): CDRSB, FAQTOTAL, MMSCORE, and ADAS-Cog scores showed meaningful separation between progressors and non-progressors.</w:t>
      </w:r>
    </w:p>
    <w:p>
      <w:pPr>
        <w:pStyle w:val="ListParagraph"/>
        <w:numPr>
          <w:ilvl w:val="0"/>
          <w:numId w:val="2"/>
        </w:numPr>
        <w:spacing w:after="40" w:before="40"/>
      </w:pPr>
      <w:r>
        <w:rPr>
          <w:rFonts w:ascii="Arial" w:cs="Arial" w:eastAsia="Arial" w:hAnsi="Arial"/>
          <w:color w:val="000000"/>
          <w:sz w:val="22"/>
          <w:szCs w:val="22"/>
        </w:rPr>
        <w:t xml:space="preserve">Small but significant: APOE4_COUNT, age, and brain volume features were statistically significant but with smaller effect sizes, supporting inclusion in multivariate models where they contribute incrementally.</w:t>
      </w:r>
    </w:p>
    <w:p>
      <w:pPr>
        <w:pStyle w:val="Heading2"/>
        <w:spacing w:after="120" w:before="260"/>
      </w:pPr>
      <w:r>
        <w:rPr>
          <w:rFonts w:ascii="Arial" w:cs="Arial" w:eastAsia="Arial" w:hAnsi="Arial"/>
          <w:b/>
          <w:bCs/>
          <w:color w:val="2E5FA3"/>
          <w:sz w:val="26"/>
          <w:szCs w:val="26"/>
        </w:rPr>
        <w:t xml:space="preserve">4.5 Skewness and Distribution Analysis</w:t>
      </w:r>
    </w:p>
    <w:p>
      <w:pPr>
        <w:spacing w:after="120" w:before="60" w:line="276"/>
        <w:jc w:val="both"/>
      </w:pPr>
      <w:r>
        <w:rPr>
          <w:rFonts w:ascii="Arial" w:cs="Arial" w:eastAsia="Arial" w:hAnsi="Arial"/>
          <w:color w:val="000000"/>
          <w:sz w:val="22"/>
          <w:szCs w:val="22"/>
        </w:rPr>
        <w:t xml:space="preserve">Several cognitive score distributions showed high positive skew, including CDRSB and FAQTOTAL — reflecting floor effects where most cognitively healthy participants cluster near zero. IQR-based winsorisation was applied post-imputation to compress extreme tails without distorting the core distribution shape, as validated through before-and-after KDE overlay plots.</w:t>
      </w:r>
    </w:p>
    <w:p>
      <w:pPr>
        <w:pStyle w:val="Heading2"/>
        <w:spacing w:after="120" w:before="260"/>
      </w:pPr>
      <w:r>
        <w:rPr>
          <w:rFonts w:ascii="Arial" w:cs="Arial" w:eastAsia="Arial" w:hAnsi="Arial"/>
          <w:b/>
          <w:bCs/>
          <w:color w:val="2E5FA3"/>
          <w:sz w:val="26"/>
          <w:szCs w:val="26"/>
        </w:rPr>
        <w:t xml:space="preserve">4.6 Missing Data Patterns</w:t>
      </w:r>
    </w:p>
    <w:p>
      <w:pPr>
        <w:spacing w:after="120" w:before="60" w:line="276"/>
        <w:jc w:val="both"/>
      </w:pPr>
      <w:r>
        <w:rPr>
          <w:rFonts w:ascii="Arial" w:cs="Arial" w:eastAsia="Arial" w:hAnsi="Arial"/>
          <w:color w:val="000000"/>
          <w:sz w:val="22"/>
          <w:szCs w:val="22"/>
        </w:rPr>
        <w:t xml:space="preserve">Missingness analysis using missingno visualisations revealed that imaging features are missing in structured blocks — participants who did not undergo PET scanning have all CENTILOIDS-related fields missing together, and those without MRI have all volumetric fields missing together. This non-random missingness pattern (Missing Not at Random) reinforces the decision not to impute these features, as any imputed values would not represent actual measured biomarkers.</w:t>
      </w:r>
    </w:p>
    <w:p>
      <w:pPr>
        <w:pStyle w:val="Heading2"/>
        <w:spacing w:after="120" w:before="260"/>
      </w:pPr>
      <w:r>
        <w:rPr>
          <w:rFonts w:ascii="Arial" w:cs="Arial" w:eastAsia="Arial" w:hAnsi="Arial"/>
          <w:b/>
          <w:bCs/>
          <w:color w:val="2E5FA3"/>
          <w:sz w:val="26"/>
          <w:szCs w:val="26"/>
        </w:rPr>
        <w:t xml:space="preserve">4.7 Imputation Validation</w:t>
      </w:r>
    </w:p>
    <w:p>
      <w:pPr>
        <w:spacing w:after="120" w:before="60" w:line="276"/>
        <w:jc w:val="both"/>
      </w:pPr>
      <w:r>
        <w:rPr>
          <w:rFonts w:ascii="Arial" w:cs="Arial" w:eastAsia="Arial" w:hAnsi="Arial"/>
          <w:color w:val="000000"/>
          <w:sz w:val="22"/>
          <w:szCs w:val="22"/>
        </w:rPr>
        <w:t xml:space="preserve">Post-imputation KDE overlay plots were generated for all 25 imputed features, comparing original non-null distributions with post-imputation full-sample distributions. Distributions showed strong agreement across all features, confirming that MICE with BayesianRidge preserved the underlying statistical structure without introducing systematic bias.</w:t>
      </w:r>
    </w:p>
    <w:p>
      <w:r>
        <w:br w:type="page"/>
      </w:r>
    </w:p>
    <w:p>
      <w:pPr>
        <w:pStyle w:val="Heading1"/>
        <w:pBdr>
          <w:bottom w:val="single" w:color="1F3864" w:sz="6" w:space="6"/>
        </w:pBdr>
        <w:spacing w:after="180" w:before="360"/>
      </w:pPr>
      <w:r>
        <w:rPr>
          <w:rFonts w:ascii="Arial" w:cs="Arial" w:eastAsia="Arial" w:hAnsi="Arial"/>
          <w:b/>
          <w:bCs/>
          <w:color w:val="1F3864"/>
          <w:sz w:val="30"/>
          <w:szCs w:val="30"/>
        </w:rPr>
        <w:t xml:space="preserve">5. Modelling Approach</w:t>
      </w:r>
    </w:p>
    <w:p>
      <w:pPr>
        <w:pStyle w:val="Heading2"/>
        <w:spacing w:after="120" w:before="260"/>
      </w:pPr>
      <w:r>
        <w:rPr>
          <w:rFonts w:ascii="Arial" w:cs="Arial" w:eastAsia="Arial" w:hAnsi="Arial"/>
          <w:b/>
          <w:bCs/>
          <w:color w:val="2E5FA3"/>
          <w:sz w:val="26"/>
          <w:szCs w:val="26"/>
        </w:rPr>
        <w:t xml:space="preserve">5.1 Evaluation Framework</w:t>
      </w:r>
    </w:p>
    <w:p>
      <w:pPr>
        <w:spacing w:after="120" w:before="60" w:line="276"/>
        <w:jc w:val="both"/>
      </w:pPr>
      <w:r>
        <w:rPr>
          <w:rFonts w:ascii="Arial" w:cs="Arial" w:eastAsia="Arial" w:hAnsi="Arial"/>
          <w:color w:val="000000"/>
          <w:sz w:val="22"/>
          <w:szCs w:val="22"/>
        </w:rPr>
        <w:t xml:space="preserve">All five models were evaluated under a consistent framework to enable fair comparison:</w:t>
      </w:r>
    </w:p>
    <w:p>
      <w:pPr>
        <w:pStyle w:val="ListParagraph"/>
        <w:numPr>
          <w:ilvl w:val="0"/>
          <w:numId w:val="2"/>
        </w:numPr>
        <w:spacing w:after="40" w:before="40"/>
      </w:pPr>
      <w:r>
        <w:rPr>
          <w:rFonts w:ascii="Arial" w:cs="Arial" w:eastAsia="Arial" w:hAnsi="Arial"/>
          <w:color w:val="000000"/>
          <w:sz w:val="22"/>
          <w:szCs w:val="22"/>
        </w:rPr>
        <w:t xml:space="preserve">5-fold Stratified K-Fold cross-validation, preserving the 9.8% / 90.2% class ratio in every fold.</w:t>
      </w:r>
    </w:p>
    <w:p>
      <w:pPr>
        <w:pStyle w:val="ListParagraph"/>
        <w:numPr>
          <w:ilvl w:val="0"/>
          <w:numId w:val="2"/>
        </w:numPr>
        <w:spacing w:after="40" w:before="40"/>
      </w:pPr>
      <w:r>
        <w:rPr>
          <w:rFonts w:ascii="Arial" w:cs="Arial" w:eastAsia="Arial" w:hAnsi="Arial"/>
          <w:color w:val="000000"/>
          <w:sz w:val="22"/>
          <w:szCs w:val="22"/>
        </w:rPr>
        <w:t xml:space="preserve">Per-fold train/validation diagnostics including a fit-health check (train-to-val gap) to detect overfitting or underfitting automatically.</w:t>
      </w:r>
    </w:p>
    <w:p>
      <w:pPr>
        <w:pStyle w:val="ListParagraph"/>
        <w:numPr>
          <w:ilvl w:val="0"/>
          <w:numId w:val="2"/>
        </w:numPr>
        <w:spacing w:after="40" w:before="40"/>
      </w:pPr>
      <w:r>
        <w:rPr>
          <w:rFonts w:ascii="Arial" w:cs="Arial" w:eastAsia="Arial" w:hAnsi="Arial"/>
          <w:color w:val="000000"/>
          <w:sz w:val="22"/>
          <w:szCs w:val="22"/>
        </w:rPr>
        <w:t xml:space="preserve">Per-fold ROC and Precision-Recall curves plotted across all folds to visualise stability.</w:t>
      </w:r>
    </w:p>
    <w:p>
      <w:pPr>
        <w:pStyle w:val="ListParagraph"/>
        <w:numPr>
          <w:ilvl w:val="0"/>
          <w:numId w:val="2"/>
        </w:numPr>
        <w:spacing w:after="40" w:before="40"/>
      </w:pPr>
      <w:r>
        <w:rPr>
          <w:rFonts w:ascii="Arial" w:cs="Arial" w:eastAsia="Arial" w:hAnsi="Arial"/>
          <w:color w:val="000000"/>
          <w:sz w:val="22"/>
          <w:szCs w:val="22"/>
        </w:rPr>
        <w:t xml:space="preserve">Primary metrics: AUC-ROC (discrimination ability), F1-Score (harmonic mean of precision and recall), and Recall (sensitivity to progressors).</w:t>
      </w:r>
    </w:p>
    <w:p>
      <w:pPr>
        <w:pStyle w:val="ListParagraph"/>
        <w:numPr>
          <w:ilvl w:val="0"/>
          <w:numId w:val="2"/>
        </w:numPr>
        <w:spacing w:after="40" w:before="40"/>
      </w:pPr>
      <w:r>
        <w:rPr>
          <w:rFonts w:ascii="Arial" w:cs="Arial" w:eastAsia="Arial" w:hAnsi="Arial"/>
          <w:color w:val="000000"/>
          <w:sz w:val="22"/>
          <w:szCs w:val="22"/>
        </w:rPr>
        <w:t xml:space="preserve">Accuracy excluded as a primary metric due to severe class imbalance.</w:t>
      </w:r>
    </w:p>
    <w:p>
      <w:pPr>
        <w:pStyle w:val="Heading2"/>
        <w:spacing w:after="120" w:before="260"/>
      </w:pPr>
      <w:r>
        <w:rPr>
          <w:rFonts w:ascii="Arial" w:cs="Arial" w:eastAsia="Arial" w:hAnsi="Arial"/>
          <w:b/>
          <w:bCs/>
          <w:color w:val="2E5FA3"/>
          <w:sz w:val="26"/>
          <w:szCs w:val="26"/>
        </w:rPr>
        <w:t xml:space="preserve">5.2 Class Imbalance Handling</w:t>
      </w:r>
    </w:p>
    <w:p>
      <w:pPr>
        <w:spacing w:after="120" w:before="60" w:line="276"/>
        <w:jc w:val="both"/>
      </w:pPr>
      <w:r>
        <w:rPr>
          <w:rFonts w:ascii="Arial" w:cs="Arial" w:eastAsia="Arial" w:hAnsi="Arial"/>
          <w:color w:val="000000"/>
          <w:sz w:val="22"/>
          <w:szCs w:val="22"/>
        </w:rPr>
        <w:t xml:space="preserve">Class imbalance was addressed through class-weight adjustment (class_weight='balanced') across all models. This approach penalises misclassification of the minority class (progressors) proportionally to its underrepresentation, without generating synthetic data points. This strategy was preferred over SMOTE because: (a) it does not alter the training distribution by introducing synthetic patients, (b) it is more interpretable and defensible in a clinical context, and (c) it avoids the risk of SMOTE-induced overfitting to interpolated minority samples.</w:t>
      </w:r>
    </w:p>
    <w:p>
      <w:pPr>
        <w:pStyle w:val="Heading2"/>
        <w:spacing w:after="120" w:before="260"/>
      </w:pPr>
      <w:r>
        <w:rPr>
          <w:rFonts w:ascii="Arial" w:cs="Arial" w:eastAsia="Arial" w:hAnsi="Arial"/>
          <w:b/>
          <w:bCs/>
          <w:color w:val="2E5FA3"/>
          <w:sz w:val="26"/>
          <w:szCs w:val="26"/>
        </w:rPr>
        <w:t xml:space="preserve">5.3 Feature Scaling</w:t>
      </w:r>
    </w:p>
    <w:p>
      <w:pPr>
        <w:spacing w:after="120" w:before="60" w:line="276"/>
        <w:jc w:val="both"/>
      </w:pPr>
      <w:r>
        <w:rPr>
          <w:rFonts w:ascii="Arial" w:cs="Arial" w:eastAsia="Arial" w:hAnsi="Arial"/>
          <w:color w:val="000000"/>
          <w:sz w:val="22"/>
          <w:szCs w:val="22"/>
        </w:rPr>
        <w:t xml:space="preserve">StandardScaler was applied within each cross-validation fold — fit only on the training split and applied to the validation split — to prevent data leakage. Scaling was applied to all continuous features. PTGENDER (binary categorical) was excluded from scaling to preserve its binary nature.</w:t>
      </w:r>
    </w:p>
    <w:p>
      <w:pPr>
        <w:pStyle w:val="Heading2"/>
        <w:spacing w:after="120" w:before="260"/>
      </w:pPr>
      <w:r>
        <w:rPr>
          <w:rFonts w:ascii="Arial" w:cs="Arial" w:eastAsia="Arial" w:hAnsi="Arial"/>
          <w:b/>
          <w:bCs/>
          <w:color w:val="2E5FA3"/>
          <w:sz w:val="26"/>
          <w:szCs w:val="26"/>
        </w:rPr>
        <w:t xml:space="preserve">5.4 Model Configurations</w:t>
      </w:r>
    </w:p>
    <w:p>
      <w:pPr>
        <w:pStyle w:val="Heading3"/>
        <w:spacing w:after="80" w:before="200"/>
      </w:pPr>
      <w:r>
        <w:rPr>
          <w:rFonts w:ascii="Arial" w:cs="Arial" w:eastAsia="Arial" w:hAnsi="Arial"/>
          <w:b/>
          <w:bCs/>
          <w:color w:val="1E6B6B"/>
          <w:sz w:val="24"/>
          <w:szCs w:val="24"/>
        </w:rPr>
        <w:t xml:space="preserve">5.4.1 Logistic Regression</w:t>
      </w:r>
    </w:p>
    <w:p>
      <w:pPr>
        <w:spacing w:after="120" w:before="60" w:line="276"/>
        <w:jc w:val="both"/>
      </w:pPr>
      <w:r>
        <w:rPr>
          <w:rFonts w:ascii="Arial" w:cs="Arial" w:eastAsia="Arial" w:hAnsi="Arial"/>
          <w:color w:val="000000"/>
          <w:sz w:val="22"/>
          <w:szCs w:val="22"/>
        </w:rPr>
        <w:t xml:space="preserve">Logistic Regression with L1 (Lasso) regularisation was selected as the primary interpretable baseline. L1 regularisation was chosen over L2 because it induces sparsity — automatically zeroing out uninformative coefficients — making the resulting model more interpretable for clinical audiences. The SAGA solver enables L1 penalty at scale.</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00"/>
      </w:tblGrid>
      <w:tr>
        <w:trPr>
          <w:tblHeader/>
        </w:trPr>
        <w:tc>
          <w:tcPr>
            <w:tcW w:type="dxa" w:w="25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18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c>
          <w:tcPr>
            <w:tcW w:type="dxa" w:w="47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Rationale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penalty</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L1</w:t>
            </w:r>
          </w:p>
        </w:tc>
        <w:tc>
          <w:tcPr>
            <w:tcW w:type="dxa" w:w="47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Sparse solution; zero out uninformative features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0.577</w:t>
            </w:r>
          </w:p>
        </w:tc>
        <w:tc>
          <w:tcPr>
            <w:tcW w:type="dxa" w:w="4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Regularisation strength — tuned via cross-validation</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solver</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SAGA</w:t>
            </w:r>
          </w:p>
        </w:tc>
        <w:tc>
          <w:tcPr>
            <w:tcW w:type="dxa" w:w="47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Required for L1 at this dataset size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class_weight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balanced</w:t>
            </w:r>
          </w:p>
        </w:tc>
        <w:tc>
          <w:tcPr>
            <w:tcW w:type="dxa" w:w="4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Compensates for 9.8% minority class</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max_iter</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1,000</w:t>
            </w:r>
          </w:p>
        </w:tc>
        <w:tc>
          <w:tcPr>
            <w:tcW w:type="dxa" w:w="47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Ensures convergence on high-dimensional feature space</w:t>
            </w:r>
          </w:p>
        </w:tc>
      </w:tr>
    </w:tbl>
    <w:p>
      <w:pPr>
        <w:spacing w:after="0" w:before="0"/>
      </w:pPr>
      <w:r>
        <w:t xml:space="preserve"/>
      </w:r>
    </w:p>
    <w:p>
      <w:pPr>
        <w:pStyle w:val="Heading3"/>
        <w:spacing w:after="80" w:before="200"/>
      </w:pPr>
      <w:r>
        <w:rPr>
          <w:rFonts w:ascii="Arial" w:cs="Arial" w:eastAsia="Arial" w:hAnsi="Arial"/>
          <w:b/>
          <w:bCs/>
          <w:color w:val="1E6B6B"/>
          <w:sz w:val="24"/>
          <w:szCs w:val="24"/>
        </w:rPr>
        <w:t xml:space="preserve">5.4.2 Support Vector Machine</w:t>
      </w:r>
    </w:p>
    <w:p>
      <w:pPr>
        <w:spacing w:after="120" w:before="60" w:line="276"/>
        <w:jc w:val="both"/>
      </w:pPr>
      <w:r>
        <w:rPr>
          <w:rFonts w:ascii="Arial" w:cs="Arial" w:eastAsia="Arial" w:hAnsi="Arial"/>
          <w:color w:val="000000"/>
          <w:sz w:val="22"/>
          <w:szCs w:val="22"/>
        </w:rPr>
        <w:t xml:space="preserve">A linear-kernel SVM was selected based on published literature consistently showing strong SVM performance on clinical tabular biomarker data. The linear kernel is appropriate given the relatively moderate dimensionality (17 features) and avoids the computational cost and overfitting risk of RBF kernels on tabular medical data. A lowered decision threshold (0.25) was applied to prioritise recall over precision — clinically appropriate since failing to identify a future progressor carries a higher cost than a false positive.</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00"/>
      </w:tblGrid>
      <w:tr>
        <w:trPr>
          <w:tblHeader/>
        </w:trPr>
        <w:tc>
          <w:tcPr>
            <w:tcW w:type="dxa" w:w="25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18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c>
          <w:tcPr>
            <w:tcW w:type="dxa" w:w="47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Rationale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kernel</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linear</w:t>
            </w:r>
          </w:p>
        </w:tc>
        <w:tc>
          <w:tcPr>
            <w:tcW w:type="dxa" w:w="47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Appropriate for tabular clinical data</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3</w:t>
            </w:r>
          </w:p>
        </w:tc>
        <w:tc>
          <w:tcPr>
            <w:tcW w:type="dxa" w:w="4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Moderate regularisation allowing some misclassification</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class_weight</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balanced</w:t>
            </w:r>
          </w:p>
        </w:tc>
        <w:tc>
          <w:tcPr>
            <w:tcW w:type="dxa" w:w="47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Compensates for class imbalance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probability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True</w:t>
            </w:r>
          </w:p>
        </w:tc>
        <w:tc>
          <w:tcPr>
            <w:tcW w:type="dxa" w:w="4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Required for threshold tuning and ROC curves</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Decision threshold</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0.25</w:t>
            </w:r>
          </w:p>
        </w:tc>
        <w:tc>
          <w:tcPr>
            <w:tcW w:type="dxa" w:w="47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Prioritises recall over precision for clinical safety</w:t>
            </w:r>
          </w:p>
        </w:tc>
      </w:tr>
    </w:tbl>
    <w:p>
      <w:pPr>
        <w:spacing w:after="0" w:before="0"/>
      </w:pPr>
      <w:r>
        <w:t xml:space="preserve"/>
      </w:r>
    </w:p>
    <w:p>
      <w:pPr>
        <w:pStyle w:val="Heading3"/>
        <w:spacing w:after="80" w:before="200"/>
      </w:pPr>
      <w:r>
        <w:rPr>
          <w:rFonts w:ascii="Arial" w:cs="Arial" w:eastAsia="Arial" w:hAnsi="Arial"/>
          <w:b/>
          <w:bCs/>
          <w:color w:val="1E6B6B"/>
          <w:sz w:val="24"/>
          <w:szCs w:val="24"/>
        </w:rPr>
        <w:t xml:space="preserve">5.4.3 XGBoost</w:t>
      </w:r>
    </w:p>
    <w:p>
      <w:pPr>
        <w:spacing w:after="120" w:before="60" w:line="276"/>
        <w:jc w:val="both"/>
      </w:pPr>
      <w:r>
        <w:rPr>
          <w:rFonts w:ascii="Arial" w:cs="Arial" w:eastAsia="Arial" w:hAnsi="Arial"/>
          <w:color w:val="000000"/>
          <w:sz w:val="22"/>
          <w:szCs w:val="22"/>
        </w:rPr>
        <w:t xml:space="preserve">XGBoost was configured as a gradient-boosted linear model using a coordinate descent updater. This variant applies the XGBoost boosting framework to linear base learners with L1 and L2 regularisation, combining the ensemble stability of boosting with linear interpretability. The threshold was raised above 0.5 to reduce false positives in this configuration, where the linear decision boundary is less capable of capturing complex progression signals.</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00"/>
      </w:tblGrid>
      <w:tr>
        <w:trPr>
          <w:tblHeader/>
        </w:trPr>
        <w:tc>
          <w:tcPr>
            <w:tcW w:type="dxa" w:w="25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18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c>
          <w:tcPr>
            <w:tcW w:type="dxa" w:w="47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Rationale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booster</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gblinear</w:t>
            </w:r>
          </w:p>
        </w:tc>
        <w:tc>
          <w:tcPr>
            <w:tcW w:type="dxa" w:w="47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Linear base learner with boosting</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scale_pos_weight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11.25</w:t>
            </w:r>
          </w:p>
        </w:tc>
        <w:tc>
          <w:tcPr>
            <w:tcW w:type="dxa" w:w="4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Ratio of negatives to positives for imbalance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reg_alpha (L1)</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0.004</w:t>
            </w:r>
          </w:p>
        </w:tc>
        <w:tc>
          <w:tcPr>
            <w:tcW w:type="dxa" w:w="47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Feature sparsity regularisation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reg_lambda (L2)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0.023</w:t>
            </w:r>
          </w:p>
        </w:tc>
        <w:tc>
          <w:tcPr>
            <w:tcW w:type="dxa" w:w="4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Weight decay regularisation</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learning_rate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0.169</w:t>
            </w:r>
          </w:p>
        </w:tc>
        <w:tc>
          <w:tcPr>
            <w:tcW w:type="dxa" w:w="47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Tuned step size for coordinate descent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n_estimators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529</w:t>
            </w:r>
          </w:p>
        </w:tc>
        <w:tc>
          <w:tcPr>
            <w:tcW w:type="dxa" w:w="4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Boosting rounds — tuned via cross-validation</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Decision threshold</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0.55</w:t>
            </w:r>
          </w:p>
        </w:tc>
        <w:tc>
          <w:tcPr>
            <w:tcW w:type="dxa" w:w="47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Calibrated for precision-recall balance</w:t>
            </w:r>
          </w:p>
        </w:tc>
      </w:tr>
    </w:tbl>
    <w:p>
      <w:pPr>
        <w:spacing w:after="0" w:before="0"/>
      </w:pPr>
      <w:r>
        <w:t xml:space="preserve"/>
      </w:r>
    </w:p>
    <w:p>
      <w:pPr>
        <w:pStyle w:val="Heading3"/>
        <w:spacing w:after="80" w:before="200"/>
      </w:pPr>
      <w:r>
        <w:rPr>
          <w:rFonts w:ascii="Arial" w:cs="Arial" w:eastAsia="Arial" w:hAnsi="Arial"/>
          <w:b/>
          <w:bCs/>
          <w:color w:val="1E6B6B"/>
          <w:sz w:val="24"/>
          <w:szCs w:val="24"/>
        </w:rPr>
        <w:t xml:space="preserve">5.4.4 Random Forest</w:t>
      </w:r>
    </w:p>
    <w:p>
      <w:pPr>
        <w:spacing w:after="120" w:before="60" w:line="276"/>
        <w:jc w:val="both"/>
      </w:pPr>
      <w:r>
        <w:rPr>
          <w:rFonts w:ascii="Arial" w:cs="Arial" w:eastAsia="Arial" w:hAnsi="Arial"/>
          <w:color w:val="000000"/>
          <w:sz w:val="22"/>
          <w:szCs w:val="22"/>
        </w:rPr>
        <w:t xml:space="preserve">Random Forest was configured with strong regularisation to prevent the overfitting typical of unrestricted forests on moderately sized medical datasets. Key regularisation choices: maximum tree depth of 8, minimum 10 samples per leaf, minimum 20 samples to split a node, and row subsampling (80% of training data per tree). These constraints ensure each tree learns stable, generalisable patterns rather than memorising training noise.</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00"/>
      </w:tblGrid>
      <w:tr>
        <w:trPr>
          <w:tblHeader/>
        </w:trPr>
        <w:tc>
          <w:tcPr>
            <w:tcW w:type="dxa" w:w="25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18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c>
          <w:tcPr>
            <w:tcW w:type="dxa" w:w="47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Rationale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n_estimators</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300</w:t>
            </w:r>
          </w:p>
        </w:tc>
        <w:tc>
          <w:tcPr>
            <w:tcW w:type="dxa" w:w="47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Stable ensemble without excessive computation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max_depth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8</w:t>
            </w:r>
          </w:p>
        </w:tc>
        <w:tc>
          <w:tcPr>
            <w:tcW w:type="dxa" w:w="4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Hard cap prevents memorisation of noise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min_samples_leaf</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10</w:t>
            </w:r>
          </w:p>
        </w:tc>
        <w:tc>
          <w:tcPr>
            <w:tcW w:type="dxa" w:w="47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Each leaf covers at least 10 patients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min_samples_split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20</w:t>
            </w:r>
          </w:p>
        </w:tc>
        <w:tc>
          <w:tcPr>
            <w:tcW w:type="dxa" w:w="4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Node must have 20+ samples before splitting</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max_features</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sqrt</w:t>
            </w:r>
          </w:p>
        </w:tc>
        <w:tc>
          <w:tcPr>
            <w:tcW w:type="dxa" w:w="47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Standard classifier default — reduces correlation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max_samples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0.8</w:t>
            </w:r>
          </w:p>
        </w:tc>
        <w:tc>
          <w:tcPr>
            <w:tcW w:type="dxa" w:w="4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80% row subsampling per tree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class_weight</w:t>
            </w:r>
          </w:p>
        </w:tc>
        <w:tc>
          <w:tcPr>
            <w:tcW w:type="dxa" w:w="1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balanced</w:t>
            </w:r>
          </w:p>
        </w:tc>
        <w:tc>
          <w:tcPr>
            <w:tcW w:type="dxa" w:w="47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Compensates for class imbalance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Decision threshold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0.30</w:t>
            </w:r>
          </w:p>
        </w:tc>
        <w:tc>
          <w:tcPr>
            <w:tcW w:type="dxa" w:w="4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Tuned to boost recall of minority class</w:t>
            </w:r>
          </w:p>
        </w:tc>
      </w:tr>
    </w:tbl>
    <w:p>
      <w:pPr>
        <w:spacing w:after="0" w:before="0"/>
      </w:pPr>
      <w:r>
        <w:t xml:space="preserve"/>
      </w:r>
    </w:p>
    <w:p>
      <w:pPr>
        <w:pStyle w:val="Heading3"/>
        <w:spacing w:after="80" w:before="200"/>
      </w:pPr>
      <w:r>
        <w:rPr>
          <w:rFonts w:ascii="Arial" w:cs="Arial" w:eastAsia="Arial" w:hAnsi="Arial"/>
          <w:b/>
          <w:bCs/>
          <w:color w:val="1E6B6B"/>
          <w:sz w:val="24"/>
          <w:szCs w:val="24"/>
        </w:rPr>
        <w:t xml:space="preserve">5.4.5 Neural Network (MLP)</w:t>
      </w:r>
    </w:p>
    <w:p>
      <w:pPr>
        <w:spacing w:after="120" w:before="60" w:line="276"/>
        <w:jc w:val="both"/>
      </w:pPr>
      <w:r>
        <w:rPr>
          <w:rFonts w:ascii="Arial" w:cs="Arial" w:eastAsia="Arial" w:hAnsi="Arial"/>
          <w:color w:val="000000"/>
          <w:sz w:val="22"/>
          <w:szCs w:val="22"/>
        </w:rPr>
        <w:t xml:space="preserve">A Multilayer Perceptron was implemented in Keras with a three-layer architecture incorporating Batch Normalisation, Dropout regularisation, and L2 weight decay at every layer. This combination prevents co-adaptation of neurons, stabilises gradient flow, and controls weight magnitude — all critical for generalisation on a dataset of 2,968 samples. Early Stopping (patience = 20) and ReduceLROnPlateau prevent over-training without requiring a fixed epoch budget.</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25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25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Configuration</w:t>
            </w:r>
          </w:p>
        </w:tc>
        <w:tc>
          <w:tcPr>
            <w:tcW w:type="dxa" w:w="40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Architecture</w:t>
            </w:r>
          </w:p>
        </w:tc>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Input → 128 → 64 → 32 → 1</w:t>
            </w:r>
          </w:p>
        </w:tc>
        <w:tc>
          <w:tcPr>
            <w:tcW w:type="dxa" w:w="4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Graduated compression of feature space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Batch Normalisation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After each Dense layer</w:t>
            </w:r>
          </w:p>
        </w:tc>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Stabilises gradient flow, enables higher LR</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Dropout</w:t>
            </w:r>
          </w:p>
        </w:tc>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0.4 / 0.3 / 0.2 (decreasing)</w:t>
            </w:r>
          </w:p>
        </w:tc>
        <w:tc>
          <w:tcPr>
            <w:tcW w:type="dxa" w:w="4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Prevents co-adaptation; higher early layers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L2 Regularisation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1e-4 per layer</w:t>
            </w:r>
          </w:p>
        </w:tc>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Controls weight magnitude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Optimiser</w:t>
            </w:r>
          </w:p>
        </w:tc>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Adam (LR = 0.001)</w:t>
            </w:r>
          </w:p>
        </w:tc>
        <w:tc>
          <w:tcPr>
            <w:tcW w:type="dxa" w:w="4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Adaptive gradient descent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Loss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Binary crossentropy</w:t>
            </w:r>
          </w:p>
        </w:tc>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Standard binary classification objective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Early Stopping</w:t>
            </w:r>
          </w:p>
        </w:tc>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patience=20, val_loss</w:t>
            </w:r>
          </w:p>
        </w:tc>
        <w:tc>
          <w:tcPr>
            <w:tcW w:type="dxa" w:w="4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Prevents over-training</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ReduceLROnPlateau</w:t>
            </w:r>
          </w:p>
        </w:tc>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factor=0.5, patience=10</w:t>
            </w:r>
          </w:p>
        </w:tc>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Escapes learning plateaus</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Class weight</w:t>
            </w:r>
          </w:p>
        </w:tc>
        <w:tc>
          <w:tcPr>
            <w:tcW w:type="dxa" w:w="25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neg/pos ratio × 1.3</w:t>
            </w:r>
          </w:p>
        </w:tc>
        <w:tc>
          <w:tcPr>
            <w:tcW w:type="dxa" w:w="4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Penalises progressor misclassification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Batch size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8</w:t>
            </w:r>
          </w:p>
        </w:tc>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Small batches for stable gradient on imbalanced data</w:t>
            </w:r>
          </w:p>
        </w:tc>
      </w:tr>
    </w:tbl>
    <w:p>
      <w:pPr>
        <w:spacing w:after="0" w:before="0"/>
      </w:pPr>
      <w:r>
        <w:t xml:space="preserve"/>
      </w:r>
    </w:p>
    <w:p>
      <w:r>
        <w:br w:type="page"/>
      </w:r>
    </w:p>
    <w:p>
      <w:pPr>
        <w:pStyle w:val="Heading1"/>
        <w:pBdr>
          <w:bottom w:val="single" w:color="1F3864" w:sz="6" w:space="6"/>
        </w:pBdr>
        <w:spacing w:after="180" w:before="360"/>
      </w:pPr>
      <w:r>
        <w:rPr>
          <w:rFonts w:ascii="Arial" w:cs="Arial" w:eastAsia="Arial" w:hAnsi="Arial"/>
          <w:b/>
          <w:bCs/>
          <w:color w:val="1F3864"/>
          <w:sz w:val="30"/>
          <w:szCs w:val="30"/>
        </w:rPr>
        <w:t xml:space="preserve">6. Literature Review</w:t>
      </w:r>
    </w:p>
    <w:p>
      <w:pPr>
        <w:pStyle w:val="Heading2"/>
        <w:spacing w:after="120" w:before="260"/>
      </w:pPr>
      <w:r>
        <w:rPr>
          <w:rFonts w:ascii="Arial" w:cs="Arial" w:eastAsia="Arial" w:hAnsi="Arial"/>
          <w:b/>
          <w:bCs/>
          <w:color w:val="2E5FA3"/>
          <w:sz w:val="26"/>
          <w:szCs w:val="26"/>
        </w:rPr>
        <w:t xml:space="preserve">6.1 The ADNI Dataset as the Research Benchmark</w:t>
      </w:r>
    </w:p>
    <w:p>
      <w:pPr>
        <w:spacing w:after="120" w:before="60" w:line="276"/>
        <w:jc w:val="both"/>
      </w:pPr>
      <w:r>
        <w:rPr>
          <w:rFonts w:ascii="Arial" w:cs="Arial" w:eastAsia="Arial" w:hAnsi="Arial"/>
          <w:color w:val="000000"/>
          <w:sz w:val="22"/>
          <w:szCs w:val="22"/>
        </w:rPr>
        <w:t xml:space="preserve">The Alzheimer's Disease Neuroimaging Initiative (ADNI) is the most widely used dataset in AD machine learning research globally. As of 2024, ADNI supports over 5,600 publications and contains longitudinal data from over 2,000 participants across multiple phases since 2004. Its standardised multimodal data collection — combining MRI, PET, cognitive tests, genetics, and clinical assessments — makes it the definitive benchmark for AD ML research. The current project uses all ADNI phases combined, yielding 2,968 baseline participants, larger than most published studies that use a single phase with 500–900 participants.</w:t>
      </w:r>
    </w:p>
    <w:p>
      <w:pPr>
        <w:pStyle w:val="Heading2"/>
        <w:spacing w:after="120" w:before="260"/>
      </w:pPr>
      <w:r>
        <w:rPr>
          <w:rFonts w:ascii="Arial" w:cs="Arial" w:eastAsia="Arial" w:hAnsi="Arial"/>
          <w:b/>
          <w:bCs/>
          <w:color w:val="2E5FA3"/>
          <w:sz w:val="26"/>
          <w:szCs w:val="26"/>
        </w:rPr>
        <w:t xml:space="preserve">6.2 The Five Models in the Literature</w:t>
      </w:r>
    </w:p>
    <w:p>
      <w:pPr>
        <w:spacing w:after="120" w:before="60" w:line="276"/>
        <w:jc w:val="both"/>
      </w:pPr>
      <w:r>
        <w:rPr>
          <w:rFonts w:ascii="Arial" w:cs="Arial" w:eastAsia="Arial" w:hAnsi="Arial"/>
          <w:color w:val="000000"/>
          <w:sz w:val="22"/>
          <w:szCs w:val="22"/>
        </w:rPr>
        <w:t xml:space="preserve">Each model used in this project has an established track record in AD research:</w:t>
      </w:r>
    </w:p>
    <w:p>
      <w:pPr>
        <w:pStyle w:val="ListParagraph"/>
        <w:numPr>
          <w:ilvl w:val="0"/>
          <w:numId w:val="2"/>
        </w:numPr>
        <w:spacing w:after="40" w:before="40"/>
      </w:pPr>
      <w:r>
        <w:rPr>
          <w:rFonts w:ascii="Arial" w:cs="Arial" w:eastAsia="Arial" w:hAnsi="Arial"/>
          <w:b/>
          <w:bCs/>
          <w:color w:val="2E5FA3"/>
          <w:sz w:val="22"/>
          <w:szCs w:val="22"/>
        </w:rPr>
        <w:t xml:space="preserve">Logistic Regression: </w:t>
      </w:r>
      <w:r>
        <w:rPr>
          <w:rFonts w:ascii="Arial" w:cs="Arial" w:eastAsia="Arial" w:hAnsi="Arial"/>
          <w:color w:val="000000"/>
          <w:sz w:val="22"/>
          <w:szCs w:val="22"/>
        </w:rPr>
        <w:t xml:space="preserve">Logistic Regression: The most commonly used baseline in AD prediction. Published studies using ADNI consistently achieved AUC values of 0.70–0.75. LR establishes the performance floor that more complex models must exceed and provides transparent feature coefficients for clinical interpretation.</w:t>
      </w:r>
    </w:p>
    <w:p>
      <w:pPr>
        <w:pStyle w:val="ListParagraph"/>
        <w:numPr>
          <w:ilvl w:val="0"/>
          <w:numId w:val="2"/>
        </w:numPr>
        <w:spacing w:after="40" w:before="40"/>
      </w:pPr>
      <w:r>
        <w:rPr>
          <w:rFonts w:ascii="Arial" w:cs="Arial" w:eastAsia="Arial" w:hAnsi="Arial"/>
          <w:b/>
          <w:bCs/>
          <w:color w:val="2E5FA3"/>
          <w:sz w:val="22"/>
          <w:szCs w:val="22"/>
        </w:rPr>
        <w:t xml:space="preserve">SVM: </w:t>
      </w:r>
      <w:r>
        <w:rPr>
          <w:rFonts w:ascii="Arial" w:cs="Arial" w:eastAsia="Arial" w:hAnsi="Arial"/>
          <w:color w:val="000000"/>
          <w:sz w:val="22"/>
          <w:szCs w:val="22"/>
        </w:rPr>
        <w:t xml:space="preserve">SVM: Among the most validated models in AD classification literature. Achieved accuracy of 0.9677 in one ADNI study. A 2024 study by Alatrany et al. on 169,408 records found SVM achieved F1 of 98.9% for binary AD classification. SVM's effectiveness stems from its ability to find optimal decision boundaries in high-dimensional clinical feature spaces.</w:t>
      </w:r>
    </w:p>
    <w:p>
      <w:pPr>
        <w:pStyle w:val="ListParagraph"/>
        <w:numPr>
          <w:ilvl w:val="0"/>
          <w:numId w:val="2"/>
        </w:numPr>
        <w:spacing w:after="40" w:before="40"/>
      </w:pPr>
      <w:r>
        <w:rPr>
          <w:rFonts w:ascii="Arial" w:cs="Arial" w:eastAsia="Arial" w:hAnsi="Arial"/>
          <w:b/>
          <w:bCs/>
          <w:color w:val="2E5FA3"/>
          <w:sz w:val="22"/>
          <w:szCs w:val="22"/>
        </w:rPr>
        <w:t xml:space="preserve">Random Forest: </w:t>
      </w:r>
      <w:r>
        <w:rPr>
          <w:rFonts w:ascii="Arial" w:cs="Arial" w:eastAsia="Arial" w:hAnsi="Arial"/>
          <w:color w:val="000000"/>
          <w:sz w:val="22"/>
          <w:szCs w:val="22"/>
        </w:rPr>
        <w:t xml:space="preserve">Random Forest: Consistently ranks among the top-performing models. In a 2024 comparative study evaluating eight ML models on ADNI, RF ranked second with AUC 0.83. A survival analysis study using RF on ADNI and AIBL datasets achieved concordance index 0.84, confirming cross-dataset consistency.</w:t>
      </w:r>
    </w:p>
    <w:p>
      <w:pPr>
        <w:pStyle w:val="ListParagraph"/>
        <w:numPr>
          <w:ilvl w:val="0"/>
          <w:numId w:val="2"/>
        </w:numPr>
        <w:spacing w:after="40" w:before="40"/>
      </w:pPr>
      <w:r>
        <w:rPr>
          <w:rFonts w:ascii="Arial" w:cs="Arial" w:eastAsia="Arial" w:hAnsi="Arial"/>
          <w:b/>
          <w:bCs/>
          <w:color w:val="2E5FA3"/>
          <w:sz w:val="22"/>
          <w:szCs w:val="22"/>
        </w:rPr>
        <w:t xml:space="preserve">XGBoost: </w:t>
      </w:r>
      <w:r>
        <w:rPr>
          <w:rFonts w:ascii="Arial" w:cs="Arial" w:eastAsia="Arial" w:hAnsi="Arial"/>
          <w:color w:val="000000"/>
          <w:sz w:val="22"/>
          <w:szCs w:val="22"/>
        </w:rPr>
        <w:t xml:space="preserve">XGBoost: The leading model for tabular ADNI data in recent literature. In the 2024 study most directly comparable to this project, XGBoost achieved the highest AUC of 0.84, outperforming KNN, LR, SVM, Decision Trees, RF, Gradient Boosting, and ANNs simultaneously.</w:t>
      </w:r>
    </w:p>
    <w:p>
      <w:pPr>
        <w:pStyle w:val="ListParagraph"/>
        <w:numPr>
          <w:ilvl w:val="0"/>
          <w:numId w:val="2"/>
        </w:numPr>
        <w:spacing w:after="40" w:before="40"/>
      </w:pPr>
      <w:r>
        <w:rPr>
          <w:rFonts w:ascii="Arial" w:cs="Arial" w:eastAsia="Arial" w:hAnsi="Arial"/>
          <w:b/>
          <w:bCs/>
          <w:color w:val="2E5FA3"/>
          <w:sz w:val="22"/>
          <w:szCs w:val="22"/>
        </w:rPr>
        <w:t xml:space="preserve">Neural Network (MLP): </w:t>
      </w:r>
      <w:r>
        <w:rPr>
          <w:rFonts w:ascii="Arial" w:cs="Arial" w:eastAsia="Arial" w:hAnsi="Arial"/>
          <w:color w:val="000000"/>
          <w:sz w:val="22"/>
          <w:szCs w:val="22"/>
        </w:rPr>
        <w:t xml:space="preserve">Neural Network: Strong performance on multimodal AD tasks. A 2025 study using LSTM for temporal dependencies alongside a feedforward network for static features demonstrated improvement over cross-sectional approaches. For this tabular dataset, an MLP captures non-linear feature interactions that linear models miss.</w:t>
      </w:r>
    </w:p>
    <w:p>
      <w:pPr>
        <w:pStyle w:val="Heading2"/>
        <w:spacing w:after="120" w:before="260"/>
      </w:pPr>
      <w:r>
        <w:rPr>
          <w:rFonts w:ascii="Arial" w:cs="Arial" w:eastAsia="Arial" w:hAnsi="Arial"/>
          <w:b/>
          <w:bCs/>
          <w:color w:val="2E5FA3"/>
          <w:sz w:val="26"/>
          <w:szCs w:val="26"/>
        </w:rPr>
        <w:t xml:space="preserve">6.3 Handling Class Imbalance</w:t>
      </w:r>
    </w:p>
    <w:p>
      <w:pPr>
        <w:spacing w:after="120" w:before="60" w:line="276"/>
        <w:jc w:val="both"/>
      </w:pPr>
      <w:r>
        <w:rPr>
          <w:rFonts w:ascii="Arial" w:cs="Arial" w:eastAsia="Arial" w:hAnsi="Arial"/>
          <w:color w:val="000000"/>
          <w:sz w:val="22"/>
          <w:szCs w:val="22"/>
        </w:rPr>
        <w:t xml:space="preserve">Class imbalance is a universal challenge in AD progression studies. Published strategies include SMOTE and class weighting. A direct comparison of four sampling strategies found NEAR-MISS undersampling most effective when combined with XGBoost. This project uses class weighting as it avoids fabricating synthetic patients and is more defensible in a clinical context. Because accuracy is meaningless under severe class imbalance, all reviewed studies adopt AUC-ROC and F1-Score as primary metrics — an approach this project follows.</w:t>
      </w:r>
    </w:p>
    <w:p>
      <w:pPr>
        <w:pStyle w:val="Heading2"/>
        <w:spacing w:after="120" w:before="260"/>
      </w:pPr>
      <w:r>
        <w:rPr>
          <w:rFonts w:ascii="Arial" w:cs="Arial" w:eastAsia="Arial" w:hAnsi="Arial"/>
          <w:b/>
          <w:bCs/>
          <w:color w:val="2E5FA3"/>
          <w:sz w:val="26"/>
          <w:szCs w:val="26"/>
        </w:rPr>
        <w:t xml:space="preserve">6.4 Most Predictive Features</w:t>
      </w:r>
    </w:p>
    <w:p>
      <w:pPr>
        <w:spacing w:after="120" w:before="60" w:line="276"/>
        <w:jc w:val="both"/>
      </w:pPr>
      <w:r>
        <w:rPr>
          <w:rFonts w:ascii="Arial" w:cs="Arial" w:eastAsia="Arial" w:hAnsi="Arial"/>
          <w:color w:val="000000"/>
          <w:sz w:val="22"/>
          <w:szCs w:val="22"/>
        </w:rPr>
        <w:t xml:space="preserve">Across the reviewed literature, a consistent set of features emerges as most predictive of AD progression: RAVLT delayed recall and Logical Memory delayed recall as the strongest cognitive markers of hippocampal decline; hippocampal and entorhinal cortex volumes as the most informative structural MRI features; amyloid Centiloids as the most direct pathological biomarker; APOE4 allele count as the strongest genetic risk factor; and age and education as key demographic covariates. These findings directly informed this project's feature selection strategy.</w:t>
      </w:r>
    </w:p>
    <w:p>
      <w:pPr>
        <w:pStyle w:val="Heading2"/>
        <w:spacing w:after="120" w:before="260"/>
      </w:pPr>
      <w:r>
        <w:rPr>
          <w:rFonts w:ascii="Arial" w:cs="Arial" w:eastAsia="Arial" w:hAnsi="Arial"/>
          <w:b/>
          <w:bCs/>
          <w:color w:val="2E5FA3"/>
          <w:sz w:val="26"/>
          <w:szCs w:val="26"/>
        </w:rPr>
        <w:t xml:space="preserve">6.5 Key Published Studies</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1600"/>
        <w:gridCol w:w="1400"/>
      </w:tblGrid>
      <w:tr>
        <w:trPr>
          <w:tblHeader/>
        </w:trPr>
        <w:tc>
          <w:tcPr>
            <w:tcW w:type="dxa" w:w="24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Study / Year</w:t>
            </w:r>
          </w:p>
        </w:tc>
        <w:tc>
          <w:tcPr>
            <w:tcW w:type="dxa" w:w="16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Dataset</w:t>
            </w:r>
          </w:p>
        </w:tc>
        <w:tc>
          <w:tcPr>
            <w:tcW w:type="dxa" w:w="20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Best Model</w:t>
            </w:r>
          </w:p>
        </w:tc>
        <w:tc>
          <w:tcPr>
            <w:tcW w:type="dxa" w:w="16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Performance</w:t>
            </w:r>
          </w:p>
        </w:tc>
        <w:tc>
          <w:tcPr>
            <w:tcW w:type="dxa" w:w="1400"/>
            <w:tcBorders>
              <w:top w:val="single" w:color="1E6B6B" w:sz="8"/>
              <w:left w:val="single" w:color="1E6B6B" w:sz="8"/>
              <w:bottom w:val="single" w:color="1E6B6B" w:sz="8"/>
              <w:right w:val="single" w:color="1E6B6B" w:sz="8"/>
            </w:tcBorders>
            <w:shd w:fill="1E6B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Task</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Springer Nature, 2024</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ADNI</w:t>
            </w:r>
          </w:p>
        </w:tc>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XGBoost</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AUC 0.84</w:t>
            </w:r>
          </w:p>
        </w:tc>
        <w:tc>
          <w:tcPr>
            <w:tcW w:type="dxa" w:w="1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MCI → AD Progression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Sheng et al., 2023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ADNI + NACC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XGBoost + SHAP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AUC 0.91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CN/MCI/AD Classification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Alatrany et al., 2024</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NACC + ADNI</w:t>
            </w:r>
          </w:p>
        </w:tc>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SVM</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F1 98.9%</w:t>
            </w:r>
          </w:p>
        </w:tc>
        <w:tc>
          <w:tcPr>
            <w:tcW w:type="dxa" w:w="1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Binary NC vs AD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Sci. Reports, 2025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ADNI + AIBL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Random Forest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C-index 0.84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CN → MCI Survival</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Triage Framework, 2024</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ADNI (MCI)</w:t>
            </w:r>
          </w:p>
        </w:tc>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Interpretable ML</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AUROC 0.929</w:t>
            </w:r>
          </w:p>
        </w:tc>
        <w:tc>
          <w:tcPr>
            <w:tcW w:type="dxa" w:w="1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MCI → AD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Li et al., 2024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ADNI</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XGBoost, RF, SVM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Competitive AUC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Early Detection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BMC Med Res, 2025</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ADNI (MCI)</w:t>
            </w:r>
          </w:p>
        </w:tc>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Gradient Boosting</w:t>
            </w:r>
          </w:p>
        </w:tc>
        <w:tc>
          <w:tcPr>
            <w:tcW w:type="dxa" w:w="16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C-index comparison</w:t>
            </w:r>
          </w:p>
        </w:tc>
        <w:tc>
          <w:tcPr>
            <w:tcW w:type="dxa" w:w="14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MCI → AD Survival</w:t>
            </w:r>
          </w:p>
        </w:tc>
      </w:tr>
    </w:tbl>
    <w:p>
      <w:pPr>
        <w:spacing w:after="0" w:before="0"/>
      </w:pPr>
      <w:r>
        <w:t xml:space="preserve"/>
      </w:r>
    </w:p>
    <w:p>
      <w:pPr>
        <w:pStyle w:val="Heading2"/>
        <w:spacing w:after="120" w:before="260"/>
      </w:pPr>
      <w:r>
        <w:rPr>
          <w:rFonts w:ascii="Arial" w:cs="Arial" w:eastAsia="Arial" w:hAnsi="Arial"/>
          <w:b/>
          <w:bCs/>
          <w:color w:val="2E5FA3"/>
          <w:sz w:val="26"/>
          <w:szCs w:val="26"/>
        </w:rPr>
        <w:t xml:space="preserve">6.6 How This Project Advances the Literature</w:t>
      </w:r>
    </w:p>
    <w:p>
      <w:pPr>
        <w:pStyle w:val="ListParagraph"/>
        <w:numPr>
          <w:ilvl w:val="0"/>
          <w:numId w:val="2"/>
        </w:numPr>
        <w:spacing w:after="40" w:before="40"/>
      </w:pPr>
      <w:r>
        <w:rPr>
          <w:rFonts w:ascii="Arial" w:cs="Arial" w:eastAsia="Arial" w:hAnsi="Arial"/>
          <w:color w:val="000000"/>
          <w:sz w:val="22"/>
          <w:szCs w:val="22"/>
        </w:rPr>
        <w:t xml:space="preserve">Largest multimodal ADNI cohort: 2,968 participants combining all phases, versus 500–900 in most published studies.</w:t>
      </w:r>
    </w:p>
    <w:p>
      <w:pPr>
        <w:pStyle w:val="ListParagraph"/>
        <w:numPr>
          <w:ilvl w:val="0"/>
          <w:numId w:val="2"/>
        </w:numPr>
        <w:spacing w:after="40" w:before="40"/>
      </w:pPr>
      <w:r>
        <w:rPr>
          <w:rFonts w:ascii="Arial" w:cs="Arial" w:eastAsia="Arial" w:hAnsi="Arial"/>
          <w:color w:val="000000"/>
          <w:sz w:val="22"/>
          <w:szCs w:val="22"/>
        </w:rPr>
        <w:t xml:space="preserve">Two-model clinical strategy: A PET-free model for general clinics and a PET-enriched model for specialised centres, directly quantifying the value of amyloid imaging.</w:t>
      </w:r>
    </w:p>
    <w:p>
      <w:pPr>
        <w:pStyle w:val="ListParagraph"/>
        <w:numPr>
          <w:ilvl w:val="0"/>
          <w:numId w:val="2"/>
        </w:numPr>
        <w:spacing w:after="40" w:before="40"/>
      </w:pPr>
      <w:r>
        <w:rPr>
          <w:rFonts w:ascii="Arial" w:cs="Arial" w:eastAsia="Arial" w:hAnsi="Arial"/>
          <w:color w:val="000000"/>
          <w:sz w:val="22"/>
          <w:szCs w:val="22"/>
        </w:rPr>
        <w:t xml:space="preserve">Both CU and MCI participants: Enables prediction at the earliest possible stage — before MCI is even diagnosed — a gap most published studies do not address.</w:t>
      </w:r>
    </w:p>
    <w:p>
      <w:pPr>
        <w:pStyle w:val="ListParagraph"/>
        <w:numPr>
          <w:ilvl w:val="0"/>
          <w:numId w:val="2"/>
        </w:numPr>
        <w:spacing w:after="40" w:before="40"/>
      </w:pPr>
      <w:r>
        <w:rPr>
          <w:rFonts w:ascii="Arial" w:cs="Arial" w:eastAsia="Arial" w:hAnsi="Arial"/>
          <w:color w:val="000000"/>
          <w:sz w:val="22"/>
          <w:szCs w:val="22"/>
        </w:rPr>
        <w:t xml:space="preserve">Five-model systematic comparison: LR, SVM, RF, XGBoost, and Neural Network evaluated under identical conditions — a rigorous benchmark most papers do not provide.</w:t>
      </w:r>
    </w:p>
    <w:p>
      <w:r>
        <w:br w:type="page"/>
      </w:r>
    </w:p>
    <w:p>
      <w:pPr>
        <w:pStyle w:val="Heading1"/>
        <w:pBdr>
          <w:bottom w:val="single" w:color="1F3864" w:sz="6" w:space="6"/>
        </w:pBdr>
        <w:spacing w:after="180" w:before="360"/>
      </w:pPr>
      <w:r>
        <w:rPr>
          <w:rFonts w:ascii="Arial" w:cs="Arial" w:eastAsia="Arial" w:hAnsi="Arial"/>
          <w:b/>
          <w:bCs/>
          <w:color w:val="1F3864"/>
          <w:sz w:val="30"/>
          <w:szCs w:val="30"/>
        </w:rPr>
        <w:t xml:space="preserve">7. References</w:t>
      </w:r>
    </w:p>
    <w:p>
      <w:pPr>
        <w:spacing w:after="80" w:before="40"/>
        <w:ind w:left="720" w:hanging="360"/>
      </w:pPr>
      <w:r>
        <w:rPr>
          <w:rFonts w:ascii="Arial" w:cs="Arial" w:eastAsia="Arial" w:hAnsi="Arial"/>
          <w:b/>
          <w:bCs/>
          <w:color w:val="2E5FA3"/>
          <w:sz w:val="20"/>
          <w:szCs w:val="20"/>
        </w:rPr>
        <w:t xml:space="preserve">1. </w:t>
      </w:r>
      <w:r>
        <w:rPr>
          <w:rFonts w:ascii="Arial" w:cs="Arial" w:eastAsia="Arial" w:hAnsi="Arial"/>
          <w:color w:val="000000"/>
          <w:sz w:val="20"/>
          <w:szCs w:val="20"/>
        </w:rPr>
        <w:t xml:space="preserve">Malik, I. et al. (2024). Deep learning for Alzheimer's disease prediction: A comprehensive review. Diagnostics, 14(12), 1281.</w:t>
      </w:r>
    </w:p>
    <w:p>
      <w:pPr>
        <w:spacing w:after="80" w:before="40"/>
        <w:ind w:left="720" w:hanging="360"/>
      </w:pPr>
      <w:r>
        <w:rPr>
          <w:rFonts w:ascii="Arial" w:cs="Arial" w:eastAsia="Arial" w:hAnsi="Arial"/>
          <w:b/>
          <w:bCs/>
          <w:color w:val="2E5FA3"/>
          <w:sz w:val="20"/>
          <w:szCs w:val="20"/>
        </w:rPr>
        <w:t xml:space="preserve">2. </w:t>
      </w:r>
      <w:r>
        <w:rPr>
          <w:rFonts w:ascii="Arial" w:cs="Arial" w:eastAsia="Arial" w:hAnsi="Arial"/>
          <w:color w:val="000000"/>
          <w:sz w:val="20"/>
          <w:szCs w:val="20"/>
        </w:rPr>
        <w:t xml:space="preserve">Springer Nature (2024). Machine learning approaches for predicting progression to Alzheimer's disease in patients with MCI. Journal of Medical and Biological Engineering.</w:t>
      </w:r>
    </w:p>
    <w:p>
      <w:pPr>
        <w:spacing w:after="80" w:before="40"/>
        <w:ind w:left="720" w:hanging="360"/>
      </w:pPr>
      <w:r>
        <w:rPr>
          <w:rFonts w:ascii="Arial" w:cs="Arial" w:eastAsia="Arial" w:hAnsi="Arial"/>
          <w:b/>
          <w:bCs/>
          <w:color w:val="2E5FA3"/>
          <w:sz w:val="20"/>
          <w:szCs w:val="20"/>
        </w:rPr>
        <w:t xml:space="preserve">3. </w:t>
      </w:r>
      <w:r>
        <w:rPr>
          <w:rFonts w:ascii="Arial" w:cs="Arial" w:eastAsia="Arial" w:hAnsi="Arial"/>
          <w:color w:val="000000"/>
          <w:sz w:val="20"/>
          <w:szCs w:val="20"/>
        </w:rPr>
        <w:t xml:space="preserve">Sheng, J. et al. (2023). XGBoost-SHAP-based interpretable diagnostic framework for Alzheimer's disease. PMC / Frontiers.</w:t>
      </w:r>
    </w:p>
    <w:p>
      <w:pPr>
        <w:spacing w:after="80" w:before="40"/>
        <w:ind w:left="720" w:hanging="360"/>
      </w:pPr>
      <w:r>
        <w:rPr>
          <w:rFonts w:ascii="Arial" w:cs="Arial" w:eastAsia="Arial" w:hAnsi="Arial"/>
          <w:b/>
          <w:bCs/>
          <w:color w:val="2E5FA3"/>
          <w:sz w:val="20"/>
          <w:szCs w:val="20"/>
        </w:rPr>
        <w:t xml:space="preserve">4. </w:t>
      </w:r>
      <w:r>
        <w:rPr>
          <w:rFonts w:ascii="Arial" w:cs="Arial" w:eastAsia="Arial" w:hAnsi="Arial"/>
          <w:color w:val="000000"/>
          <w:sz w:val="20"/>
          <w:szCs w:val="20"/>
        </w:rPr>
        <w:t xml:space="preserve">Alatrany, A. S. et al. (2024). An explainable machine learning approach for Alzheimer's disease classification. Scientific Reports, 14(1), 2637.</w:t>
      </w:r>
    </w:p>
    <w:p>
      <w:pPr>
        <w:spacing w:after="80" w:before="40"/>
        <w:ind w:left="720" w:hanging="360"/>
      </w:pPr>
      <w:r>
        <w:rPr>
          <w:rFonts w:ascii="Arial" w:cs="Arial" w:eastAsia="Arial" w:hAnsi="Arial"/>
          <w:b/>
          <w:bCs/>
          <w:color w:val="2E5FA3"/>
          <w:sz w:val="20"/>
          <w:szCs w:val="20"/>
        </w:rPr>
        <w:t xml:space="preserve">5. </w:t>
      </w:r>
      <w:r>
        <w:rPr>
          <w:rFonts w:ascii="Arial" w:cs="Arial" w:eastAsia="Arial" w:hAnsi="Arial"/>
          <w:color w:val="000000"/>
          <w:sz w:val="20"/>
          <w:szCs w:val="20"/>
        </w:rPr>
        <w:t xml:space="preserve">Mirabnahrazam, G. et al. (2025). Alzheimer's disease risk prediction using machine learning for survival analysis. Scientific Reports.</w:t>
      </w:r>
    </w:p>
    <w:p>
      <w:pPr>
        <w:spacing w:after="80" w:before="40"/>
        <w:ind w:left="720" w:hanging="360"/>
      </w:pPr>
      <w:r>
        <w:rPr>
          <w:rFonts w:ascii="Arial" w:cs="Arial" w:eastAsia="Arial" w:hAnsi="Arial"/>
          <w:b/>
          <w:bCs/>
          <w:color w:val="2E5FA3"/>
          <w:sz w:val="20"/>
          <w:szCs w:val="20"/>
        </w:rPr>
        <w:t xml:space="preserve">6. </w:t>
      </w:r>
      <w:r>
        <w:rPr>
          <w:rFonts w:ascii="Arial" w:cs="Arial" w:eastAsia="Arial" w:hAnsi="Arial"/>
          <w:color w:val="000000"/>
          <w:sz w:val="20"/>
          <w:szCs w:val="20"/>
        </w:rPr>
        <w:t xml:space="preserve">Anonymous (2024). An adaptive machine learning triage framework for predicting Alzheimer's disease progression. arXiv:2511.06681.</w:t>
      </w:r>
    </w:p>
    <w:p>
      <w:pPr>
        <w:spacing w:after="80" w:before="40"/>
        <w:ind w:left="720" w:hanging="360"/>
      </w:pPr>
      <w:r>
        <w:rPr>
          <w:rFonts w:ascii="Arial" w:cs="Arial" w:eastAsia="Arial" w:hAnsi="Arial"/>
          <w:b/>
          <w:bCs/>
          <w:color w:val="2E5FA3"/>
          <w:sz w:val="20"/>
          <w:szCs w:val="20"/>
        </w:rPr>
        <w:t xml:space="preserve">7. </w:t>
      </w:r>
      <w:r>
        <w:rPr>
          <w:rFonts w:ascii="Arial" w:cs="Arial" w:eastAsia="Arial" w:hAnsi="Arial"/>
          <w:color w:val="000000"/>
          <w:sz w:val="20"/>
          <w:szCs w:val="20"/>
        </w:rPr>
        <w:t xml:space="preserve">Nguyen, M. et al. (2020). Multimodal deep learning models for early detection of Alzheimer's disease stage. Scientific Reports.</w:t>
      </w:r>
    </w:p>
    <w:p>
      <w:pPr>
        <w:spacing w:after="80" w:before="40"/>
        <w:ind w:left="720" w:hanging="360"/>
      </w:pPr>
      <w:r>
        <w:rPr>
          <w:rFonts w:ascii="Arial" w:cs="Arial" w:eastAsia="Arial" w:hAnsi="Arial"/>
          <w:b/>
          <w:bCs/>
          <w:color w:val="2E5FA3"/>
          <w:sz w:val="20"/>
          <w:szCs w:val="20"/>
        </w:rPr>
        <w:t xml:space="preserve">8. </w:t>
      </w:r>
      <w:r>
        <w:rPr>
          <w:rFonts w:ascii="Arial" w:cs="Arial" w:eastAsia="Arial" w:hAnsi="Arial"/>
          <w:color w:val="000000"/>
          <w:sz w:val="20"/>
          <w:szCs w:val="20"/>
        </w:rPr>
        <w:t xml:space="preserve">Li, M. et al. (2024). Intelligent diagnosis of Alzheimer's disease based on machine learning. arXiv:2402.08539.</w:t>
      </w:r>
    </w:p>
    <w:p>
      <w:pPr>
        <w:spacing w:after="80" w:before="40"/>
        <w:ind w:left="720" w:hanging="360"/>
      </w:pPr>
      <w:r>
        <w:rPr>
          <w:rFonts w:ascii="Arial" w:cs="Arial" w:eastAsia="Arial" w:hAnsi="Arial"/>
          <w:b/>
          <w:bCs/>
          <w:color w:val="2E5FA3"/>
          <w:sz w:val="20"/>
          <w:szCs w:val="20"/>
        </w:rPr>
        <w:t xml:space="preserve">9. </w:t>
      </w:r>
      <w:r>
        <w:rPr>
          <w:rFonts w:ascii="Arial" w:cs="Arial" w:eastAsia="Arial" w:hAnsi="Arial"/>
          <w:color w:val="000000"/>
          <w:sz w:val="20"/>
          <w:szCs w:val="20"/>
        </w:rPr>
        <w:t xml:space="preserve">Evaluation of machine learning models for the prediction of Alzheimer's. PMC, 2025.</w:t>
      </w:r>
    </w:p>
    <w:p>
      <w:pPr>
        <w:spacing w:after="80" w:before="40"/>
        <w:ind w:left="720" w:hanging="360"/>
      </w:pPr>
      <w:r>
        <w:rPr>
          <w:rFonts w:ascii="Arial" w:cs="Arial" w:eastAsia="Arial" w:hAnsi="Arial"/>
          <w:b/>
          <w:bCs/>
          <w:color w:val="2E5FA3"/>
          <w:sz w:val="20"/>
          <w:szCs w:val="20"/>
        </w:rPr>
        <w:t xml:space="preserve">10. </w:t>
      </w:r>
      <w:r>
        <w:rPr>
          <w:rFonts w:ascii="Arial" w:cs="Arial" w:eastAsia="Arial" w:hAnsi="Arial"/>
          <w:color w:val="000000"/>
          <w:sz w:val="20"/>
          <w:szCs w:val="20"/>
        </w:rPr>
        <w:t xml:space="preserve">BMC Medical Research Methodology (2025). Assessing the accuracy of survival ML and statistical models for AD prediction: a study on the ADNI cohort.</w:t>
      </w:r>
    </w:p>
    <w:p>
      <w:pPr>
        <w:spacing w:after="80" w:before="40"/>
        <w:ind w:left="720" w:hanging="360"/>
      </w:pPr>
      <w:r>
        <w:rPr>
          <w:rFonts w:ascii="Arial" w:cs="Arial" w:eastAsia="Arial" w:hAnsi="Arial"/>
          <w:b/>
          <w:bCs/>
          <w:color w:val="2E5FA3"/>
          <w:sz w:val="20"/>
          <w:szCs w:val="20"/>
        </w:rPr>
        <w:t xml:space="preserve">11. </w:t>
      </w:r>
      <w:r>
        <w:rPr>
          <w:rFonts w:ascii="Arial" w:cs="Arial" w:eastAsia="Arial" w:hAnsi="Arial"/>
          <w:color w:val="000000"/>
          <w:sz w:val="20"/>
          <w:szCs w:val="20"/>
        </w:rPr>
        <w:t xml:space="preserve">Tafesse, T. B. et al. (2025). Early detection of Alzheimer's disease using deep learning methods. Alzheimer's &amp; Dementia, Wiley.</w:t>
      </w:r>
    </w:p>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before="80"/>
      <w:jc w:val="center"/>
    </w:pPr>
    <w:r>
      <w:rPr>
        <w:rFonts w:ascii="Arial" w:cs="Arial" w:eastAsia="Arial" w:hAnsi="Arial"/>
        <w:color w:val="555555"/>
        <w:sz w:val="18"/>
        <w:szCs w:val="18"/>
      </w:rPr>
      <w:t xml:space="preserve">Page </w:t>
    </w:r>
    <w:fldSimple w:instr="PAGE"/>
    <w:r>
      <w:rPr>
        <w:rFonts w:ascii="Arial" w:cs="Arial" w:eastAsia="Arial" w:hAnsi="Arial"/>
        <w:color w:val="555555"/>
        <w:sz w:val="18"/>
        <w:szCs w:val="18"/>
      </w:rPr>
      <w:t xml:space="preserve">  |  Alzheimer's Disease Progression Prediction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tabs>
        <w:tab w:val="right" w:pos="8400"/>
      </w:tabs>
      <w:spacing w:after="80"/>
    </w:pPr>
    <w:r>
      <w:rPr>
        <w:rFonts w:ascii="Arial" w:cs="Arial" w:eastAsia="Arial" w:hAnsi="Arial"/>
        <w:color w:val="555555"/>
        <w:sz w:val="18"/>
        <w:szCs w:val="18"/>
      </w:rPr>
      <w:t xml:space="preserve">Alzheimer's Disease Progression Prediction  |  ADNI Dataset</w:t>
    </w:r>
    <w:r>
      <w:rPr>
        <w:rFonts w:ascii="Arial" w:cs="Arial" w:eastAsia="Arial" w:hAnsi="Arial"/>
        <w:sz w:val="18"/>
        <w:szCs w:val="18"/>
      </w:rPr>
      <w:t xml:space="preserve">	</w:t>
    </w:r>
    <w:r>
      <w:rPr>
        <w:rFonts w:ascii="Arial" w:cs="Arial" w:eastAsia="Arial" w:hAnsi="Arial"/>
        <w:color w:val="555555"/>
        <w:sz w:val="18"/>
        <w:szCs w:val="18"/>
      </w:rPr>
      <w:t xml:space="preserve">Team: Ahmed Fahmy · Myar Sadek · Nadeem Shokry · Omar Isleem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2026-05-15T19:09:03.462Z</dcterms:created>
  <dcterms:modified xsi:type="dcterms:W3CDTF">2026-05-15T19:09:03.463Z</dcterms:modified>
</cp:coreProperties>
</file>

<file path=docProps/custom.xml><?xml version="1.0" encoding="utf-8"?>
<Properties xmlns="http://schemas.openxmlformats.org/officeDocument/2006/custom-properties" xmlns:vt="http://schemas.openxmlformats.org/officeDocument/2006/docPropsVTypes"/>
</file>