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B0F0" w:sz="36" w:space="1"/>
        </w:pBdr>
        <w:spacing w:after="0" w:before="0"/>
      </w:pPr>
      <w:r>
        <w:t xml:space="preserve"/>
      </w:r>
    </w:p>
    <w:p>
      <w:pPr>
        <w:spacing w:after="240" w:before="0"/>
      </w:pPr>
      <w:r>
        <w:t xml:space="preserve"/>
      </w:r>
    </w:p>
    <w:p>
      <w:pPr>
        <w:spacing w:after="60" w:before="0"/>
        <w:jc w:val="center"/>
      </w:pPr>
      <w:r>
        <w:rPr>
          <w:rFonts w:ascii="Arial" w:cs="Arial" w:eastAsia="Arial" w:hAnsi="Arial"/>
          <w:b/>
          <w:bCs/>
          <w:color w:val="1F4E79"/>
          <w:sz w:val="52"/>
          <w:szCs w:val="52"/>
        </w:rPr>
        <w:t xml:space="preserve">ALZHEIMER'S DISEASE</w:t>
      </w:r>
    </w:p>
    <w:p>
      <w:pPr>
        <w:spacing w:after="60" w:before="0"/>
        <w:jc w:val="center"/>
      </w:pPr>
      <w:r>
        <w:rPr>
          <w:rFonts w:ascii="Arial" w:cs="Arial" w:eastAsia="Arial" w:hAnsi="Arial"/>
          <w:b/>
          <w:bCs/>
          <w:color w:val="2E75B6"/>
          <w:sz w:val="52"/>
          <w:szCs w:val="52"/>
        </w:rPr>
        <w:t xml:space="preserve">PROGRESSION PREDICTION</w:t>
      </w:r>
    </w:p>
    <w:p>
      <w:pPr>
        <w:spacing w:after="80" w:before="0"/>
      </w:pPr>
      <w:r>
        <w:t xml:space="preserve"/>
      </w:r>
    </w:p>
    <w:p>
      <w:pPr>
        <w:pBdr>
          <w:bottom w:val="single" w:color="00B0F0" w:sz="2" w:space="8"/>
        </w:pBdr>
        <w:spacing w:after="60" w:before="0"/>
        <w:jc w:val="center"/>
      </w:pPr>
      <w:r>
        <w:rPr>
          <w:rFonts w:ascii="Arial" w:cs="Arial" w:eastAsia="Arial" w:hAnsi="Arial"/>
          <w:i/>
          <w:iCs/>
          <w:color w:val="444444"/>
          <w:sz w:val="28"/>
          <w:szCs w:val="28"/>
        </w:rPr>
        <w:t xml:space="preserve">Using Machine Learning on the ADNI Dataset</w:t>
      </w:r>
    </w:p>
    <w:p>
      <w:pPr>
        <w:spacing w:after="160" w:before="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FFFFFF" w:sz="1"/>
              <w:left w:val="single" w:color="FFFFFF" w:sz="1"/>
              <w:bottom w:val="single" w:color="FFFFFF" w:sz="1"/>
              <w:right w:val="single" w:color="FFFFFF" w:sz="1"/>
            </w:tcBorders>
            <w:shd w:fill="DEEAF1" w:val="clear"/>
            <w:tcMar>
              <w:top w:type="dxa" w:w="200"/>
              <w:left w:type="dxa" w:w="400"/>
              <w:bottom w:type="dxa" w:w="200"/>
              <w:right w:type="dxa" w:w="400"/>
            </w:tcMar>
          </w:tcPr>
          <w:p>
            <w:pPr>
              <w:spacing w:after="80"/>
              <w:jc w:val="center"/>
            </w:pPr>
            <w:r>
              <w:rPr>
                <w:rFonts w:ascii="Arial" w:cs="Arial" w:eastAsia="Arial" w:hAnsi="Arial"/>
                <w:b/>
                <w:bCs/>
                <w:color w:val="1F4E79"/>
                <w:sz w:val="28"/>
                <w:szCs w:val="28"/>
              </w:rPr>
              <w:t xml:space="preserve">Project Report</w:t>
            </w:r>
          </w:p>
          <w:p>
            <w:pPr>
              <w:spacing w:after="60"/>
              <w:jc w:val="center"/>
            </w:pPr>
            <w:r>
              <w:rPr>
                <w:rFonts w:ascii="Arial" w:cs="Arial" w:eastAsia="Arial" w:hAnsi="Arial"/>
                <w:color w:val="333333"/>
                <w:sz w:val="22"/>
                <w:szCs w:val="22"/>
              </w:rPr>
              <w:t xml:space="preserve">Ahmed Fahmy   |   Myar Sadek   |   Nadeem Shokry   |   Omar Isleem</w:t>
            </w:r>
          </w:p>
          <w:p>
            <w:pPr>
              <w:spacing w:after="40"/>
              <w:jc w:val="center"/>
            </w:pPr>
            <w:r>
              <w:rPr>
                <w:rFonts w:ascii="Arial" w:cs="Arial" w:eastAsia="Arial" w:hAnsi="Arial"/>
                <w:color w:val="555555"/>
                <w:sz w:val="20"/>
                <w:szCs w:val="20"/>
              </w:rPr>
              <w:t xml:space="preserve">IDs: 231000587  |  231000687  |  231000857  |  231000674</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1"/>
              <w:left w:val="single" w:color="FFFFFF" w:sz="1"/>
              <w:bottom w:val="single" w:color="FFFFFF" w:sz="1"/>
              <w:right w:val="single" w:color="FFFFFF" w:sz="1"/>
            </w:tcBorders>
            <w:shd w:fill="1F4E79" w:val="clear"/>
            <w:tcMar>
              <w:top w:type="dxa" w:w="120"/>
              <w:left w:type="dxa" w:w="100"/>
              <w:bottom w:type="dxa" w:w="120"/>
              <w:right w:type="dxa" w:w="100"/>
            </w:tcMar>
          </w:tcPr>
          <w:p>
            <w:pPr>
              <w:jc w:val="center"/>
            </w:pPr>
            <w:r>
              <w:rPr>
                <w:rFonts w:ascii="Arial" w:cs="Arial" w:eastAsia="Arial" w:hAnsi="Arial"/>
                <w:b/>
                <w:bCs/>
                <w:color w:val="00B0F0"/>
                <w:sz w:val="36"/>
                <w:szCs w:val="36"/>
              </w:rPr>
              <w:t xml:space="preserve">2,968</w:t>
            </w:r>
          </w:p>
          <w:p>
            <w:pPr>
              <w:jc w:val="center"/>
            </w:pPr>
            <w:r>
              <w:rPr>
                <w:rFonts w:ascii="Arial" w:cs="Arial" w:eastAsia="Arial" w:hAnsi="Arial"/>
                <w:color w:val="CCDDEE"/>
                <w:sz w:val="18"/>
                <w:szCs w:val="18"/>
              </w:rPr>
              <w:t xml:space="preserve">Participants</w:t>
            </w:r>
          </w:p>
        </w:tc>
        <w:tc>
          <w:tcPr>
            <w:tcW w:type="dxa" w:w="2340"/>
            <w:tcBorders>
              <w:top w:val="single" w:color="FFFFFF" w:sz="1"/>
              <w:left w:val="single" w:color="FFFFFF" w:sz="1"/>
              <w:bottom w:val="single" w:color="FFFFFF" w:sz="1"/>
              <w:right w:val="single" w:color="FFFFFF" w:sz="1"/>
            </w:tcBorders>
            <w:shd w:fill="1F4E79" w:val="clear"/>
            <w:tcMar>
              <w:top w:type="dxa" w:w="120"/>
              <w:left w:type="dxa" w:w="100"/>
              <w:bottom w:type="dxa" w:w="120"/>
              <w:right w:type="dxa" w:w="100"/>
            </w:tcMar>
          </w:tcPr>
          <w:p>
            <w:pPr>
              <w:jc w:val="center"/>
            </w:pPr>
            <w:r>
              <w:rPr>
                <w:rFonts w:ascii="Arial" w:cs="Arial" w:eastAsia="Arial" w:hAnsi="Arial"/>
                <w:b/>
                <w:bCs/>
                <w:color w:val="00B0F0"/>
                <w:sz w:val="36"/>
                <w:szCs w:val="36"/>
              </w:rPr>
              <w:t xml:space="preserve">5</w:t>
            </w:r>
          </w:p>
          <w:p>
            <w:pPr>
              <w:jc w:val="center"/>
            </w:pPr>
            <w:r>
              <w:rPr>
                <w:rFonts w:ascii="Arial" w:cs="Arial" w:eastAsia="Arial" w:hAnsi="Arial"/>
                <w:color w:val="CCDDEE"/>
                <w:sz w:val="18"/>
                <w:szCs w:val="18"/>
              </w:rPr>
              <w:t xml:space="preserve">ML Models</w:t>
            </w:r>
          </w:p>
        </w:tc>
        <w:tc>
          <w:tcPr>
            <w:tcW w:type="dxa" w:w="2340"/>
            <w:tcBorders>
              <w:top w:val="single" w:color="FFFFFF" w:sz="1"/>
              <w:left w:val="single" w:color="FFFFFF" w:sz="1"/>
              <w:bottom w:val="single" w:color="FFFFFF" w:sz="1"/>
              <w:right w:val="single" w:color="FFFFFF" w:sz="1"/>
            </w:tcBorders>
            <w:shd w:fill="1F4E79" w:val="clear"/>
            <w:tcMar>
              <w:top w:type="dxa" w:w="120"/>
              <w:left w:type="dxa" w:w="100"/>
              <w:bottom w:type="dxa" w:w="120"/>
              <w:right w:type="dxa" w:w="100"/>
            </w:tcMar>
          </w:tcPr>
          <w:p>
            <w:pPr>
              <w:jc w:val="center"/>
            </w:pPr>
            <w:r>
              <w:rPr>
                <w:rFonts w:ascii="Arial" w:cs="Arial" w:eastAsia="Arial" w:hAnsi="Arial"/>
                <w:b/>
                <w:bCs/>
                <w:color w:val="00B0F0"/>
                <w:sz w:val="36"/>
                <w:szCs w:val="36"/>
              </w:rPr>
              <w:t xml:space="preserve">19</w:t>
            </w:r>
          </w:p>
          <w:p>
            <w:pPr>
              <w:jc w:val="center"/>
            </w:pPr>
            <w:r>
              <w:rPr>
                <w:rFonts w:ascii="Arial" w:cs="Arial" w:eastAsia="Arial" w:hAnsi="Arial"/>
                <w:color w:val="CCDDEE"/>
                <w:sz w:val="18"/>
                <w:szCs w:val="18"/>
              </w:rPr>
              <w:t xml:space="preserve">Features</w:t>
            </w:r>
          </w:p>
        </w:tc>
        <w:tc>
          <w:tcPr>
            <w:tcW w:type="dxa" w:w="2340"/>
            <w:tcBorders>
              <w:top w:val="single" w:color="FFFFFF" w:sz="1"/>
              <w:left w:val="single" w:color="FFFFFF" w:sz="1"/>
              <w:bottom w:val="single" w:color="FFFFFF" w:sz="1"/>
              <w:right w:val="single" w:color="FFFFFF" w:sz="1"/>
            </w:tcBorders>
            <w:shd w:fill="1F4E79" w:val="clear"/>
            <w:tcMar>
              <w:top w:type="dxa" w:w="120"/>
              <w:left w:type="dxa" w:w="100"/>
              <w:bottom w:type="dxa" w:w="120"/>
              <w:right w:type="dxa" w:w="100"/>
            </w:tcMar>
          </w:tcPr>
          <w:p>
            <w:pPr>
              <w:jc w:val="center"/>
            </w:pPr>
            <w:r>
              <w:rPr>
                <w:rFonts w:ascii="Arial" w:cs="Arial" w:eastAsia="Arial" w:hAnsi="Arial"/>
                <w:b/>
                <w:bCs/>
                <w:color w:val="00B0F0"/>
                <w:sz w:val="36"/>
                <w:szCs w:val="36"/>
              </w:rPr>
              <w:t xml:space="preserve">9.8%</w:t>
            </w:r>
          </w:p>
          <w:p>
            <w:pPr>
              <w:jc w:val="center"/>
            </w:pPr>
            <w:r>
              <w:rPr>
                <w:rFonts w:ascii="Arial" w:cs="Arial" w:eastAsia="Arial" w:hAnsi="Arial"/>
                <w:color w:val="CCDDEE"/>
                <w:sz w:val="18"/>
                <w:szCs w:val="18"/>
              </w:rPr>
              <w:t xml:space="preserve">Progression Rate</w:t>
            </w:r>
          </w:p>
        </w:tc>
      </w:tr>
    </w:tbl>
    <w:p>
      <w:pPr>
        <w:spacing w:after="240" w:before="0"/>
      </w:pPr>
      <w:r>
        <w:t xml:space="preserve"/>
      </w:r>
    </w:p>
    <w:p>
      <w:pPr>
        <w:pBdr>
          <w:top w:val="single" w:color="00B0F0" w:sz="36" w:space="1"/>
        </w:pBdr>
        <w:spacing w:after="0" w:before="0"/>
        <w:jc w:val="center"/>
      </w:pPr>
      <w:r>
        <w:rPr>
          <w:rFonts w:ascii="Arial" w:cs="Arial" w:eastAsia="Arial" w:hAnsi="Arial"/>
          <w:color w:val="555555"/>
          <w:sz w:val="20"/>
          <w:szCs w:val="20"/>
        </w:rPr>
        <w:t xml:space="preserve">Alzheimer's Disease Neuroimaging Initiative (ADNI)  ·  Machine Learning for Early Detection</w:t>
      </w:r>
    </w:p>
    <w:p>
      <w:r>
        <w:br w:type="page"/>
      </w:r>
    </w:p>
    <w:p>
      <w:pPr>
        <w:sectPr>
          <w:pgSz w:w="12240" w:h="15840" w:orient="portrait"/>
          <w:pgMar w:top="720" w:right="1440" w:bottom="720" w:left="1440" w:header="708" w:footer="708" w:gutter="0"/>
          <w:pgNumType/>
          <w:docGrid w:linePitch="360"/>
        </w:sectPr>
      </w:pPr>
    </w:p>
    <w:p>
      <w:pPr>
        <w:pStyle w:val="Heading1"/>
        <w:pBdr>
          <w:bottom w:val="single" w:color="2E75B6" w:sz="4" w:space="4"/>
        </w:pBdr>
        <w:spacing w:after="180" w:before="360"/>
      </w:pPr>
      <w:r>
        <w:rPr>
          <w:rFonts w:ascii="Arial" w:cs="Arial" w:eastAsia="Arial" w:hAnsi="Arial"/>
          <w:b/>
          <w:bCs/>
          <w:color w:val="1F4E79"/>
          <w:sz w:val="32"/>
          <w:szCs w:val="32"/>
        </w:rPr>
        <w:t xml:space="preserve">1.  Executive Summary</w:t>
      </w:r>
    </w:p>
    <w:p>
      <w:pPr>
        <w:spacing w:after="120" w:before="60" w:line="280"/>
        <w:jc w:val="both"/>
      </w:pPr>
      <w:r>
        <w:rPr>
          <w:rFonts w:ascii="Arial" w:cs="Arial" w:eastAsia="Arial" w:hAnsi="Arial"/>
          <w:color w:val="222222"/>
          <w:sz w:val="22"/>
          <w:szCs w:val="22"/>
        </w:rPr>
        <w:t xml:space="preserve">Alzheimer's disease (AD) is the leading cause of dementia worldwide and a growing public health crisis, affecting approximately 55 million people globally — a number projected to triple by 2050. Its most insidious feature is a long pre-symptomatic phase lasting 15 to 20 years, during which irreversible neuronal damage accumulates silently before any clinical diagnosis is possible. This project directly targets that critical window.</w:t>
      </w:r>
    </w:p>
    <w:p>
      <w:pPr>
        <w:spacing w:after="80" w:before="0"/>
      </w:pPr>
      <w:r>
        <w:t xml:space="preserve"/>
      </w:r>
    </w:p>
    <w:p>
      <w:pPr>
        <w:spacing w:after="120" w:before="60" w:line="280"/>
        <w:jc w:val="both"/>
      </w:pPr>
      <w:r>
        <w:rPr>
          <w:rFonts w:ascii="Arial" w:cs="Arial" w:eastAsia="Arial" w:hAnsi="Arial"/>
          <w:color w:val="222222"/>
          <w:sz w:val="22"/>
          <w:szCs w:val="22"/>
        </w:rPr>
        <w:t xml:space="preserve">We applied five machine learning models — Logistic Regression, Support Vector Machine (SVM), Random Forest, XGBoost, and a Multilayer Perceptron (MLP) Neural Network — to the Alzheimer's Disease Neuroimaging Initiative (ADNI) dataset. The core prediction task was binary: given a patient's baseline clinical data alone, can we predict whether they will progress to a worse Alzheimer's diagnosis at any future follow-up visit?</w:t>
      </w:r>
    </w:p>
    <w:p>
      <w:pPr>
        <w:spacing w:after="80" w:before="0"/>
      </w:pPr>
      <w:r>
        <w:t xml:space="preserve"/>
      </w:r>
    </w:p>
    <w:p>
      <w:pPr>
        <w:spacing w:after="120" w:before="60" w:line="280"/>
        <w:jc w:val="both"/>
      </w:pPr>
      <w:r>
        <w:rPr>
          <w:rFonts w:ascii="Arial" w:cs="Arial" w:eastAsia="Arial" w:hAnsi="Arial"/>
          <w:color w:val="222222"/>
          <w:sz w:val="22"/>
          <w:szCs w:val="22"/>
        </w:rPr>
        <w:t xml:space="preserve">The final dataset comprised 2,968 baseline participants across all ADNI phases — a larger cohort than most published studies — with 19 features spanning cognitive assessments, brain MRI volumetrics, amyloid PET imaging, APOE4 genetics, and demographics. The severe class imbalance (90.2% non-progressors vs. 9.8% progressors) was addressed with class weighting and SMOTE, and model performance was rigorously evaluated using AUC-ROC and F1-score across 5-fold stratified cross-validation.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Key Findings at a Glance</w:t>
            </w:r>
          </w:p>
        </w:tc>
      </w:tr>
      <w:tr>
        <w:tc>
          <w:tcPr>
            <w:tcW w:type="dxa" w:w="9360"/>
            <w:tcBorders>
              <w:top w:val="single" w:color="C5D9E8" w:sz="1"/>
              <w:left w:val="single" w:color="C5D9E8" w:sz="1"/>
              <w:bottom w:val="single" w:color="C5D9E8" w:sz="1"/>
              <w:right w:val="single" w:color="C5D9E8" w:sz="1"/>
            </w:tcBorders>
            <w:shd w:fill="DEEAF1" w:val="clear"/>
            <w:tcMar>
              <w:top w:type="dxa" w:w="80"/>
              <w:left w:type="dxa" w:w="180"/>
              <w:bottom w:type="dxa" w:w="80"/>
              <w:right w:type="dxa" w:w="180"/>
            </w:tcMar>
          </w:tcPr>
          <w:p>
            <w:r>
              <w:rPr>
                <w:rFonts w:ascii="Arial" w:cs="Arial" w:eastAsia="Arial" w:hAnsi="Arial"/>
                <w:color w:val="222222"/>
                <w:sz w:val="21"/>
                <w:szCs w:val="21"/>
              </w:rPr>
              <w:t xml:space="preserve">●  Strongest performer: XGBoost achieved the highest AUC-ROC, consistent with published literature</w:t>
            </w:r>
          </w:p>
        </w:tc>
      </w:tr>
      <w:tr>
        <w:tc>
          <w:tcPr>
            <w:tcW w:type="dxa" w:w="9360"/>
            <w:tcBorders>
              <w:top w:val="single" w:color="C5D9E8" w:sz="1"/>
              <w:left w:val="single" w:color="C5D9E8" w:sz="1"/>
              <w:bottom w:val="single" w:color="C5D9E8" w:sz="1"/>
              <w:right w:val="single" w:color="C5D9E8" w:sz="1"/>
            </w:tcBorders>
            <w:shd w:fill="FFFFFF" w:val="clear"/>
            <w:tcMar>
              <w:top w:type="dxa" w:w="80"/>
              <w:left w:type="dxa" w:w="180"/>
              <w:bottom w:type="dxa" w:w="80"/>
              <w:right w:type="dxa" w:w="180"/>
            </w:tcMar>
          </w:tcPr>
          <w:p>
            <w:r>
              <w:rPr>
                <w:rFonts w:ascii="Arial" w:cs="Arial" w:eastAsia="Arial" w:hAnsi="Arial"/>
                <w:color w:val="222222"/>
                <w:sz w:val="21"/>
                <w:szCs w:val="21"/>
              </w:rPr>
              <w:t xml:space="preserve">●  All five models surpassed the random-chance baseline, with tree-based ensembles leading</w:t>
            </w:r>
          </w:p>
        </w:tc>
      </w:tr>
      <w:tr>
        <w:tc>
          <w:tcPr>
            <w:tcW w:type="dxa" w:w="9360"/>
            <w:tcBorders>
              <w:top w:val="single" w:color="C5D9E8" w:sz="1"/>
              <w:left w:val="single" w:color="C5D9E8" w:sz="1"/>
              <w:bottom w:val="single" w:color="C5D9E8" w:sz="1"/>
              <w:right w:val="single" w:color="C5D9E8" w:sz="1"/>
            </w:tcBorders>
            <w:shd w:fill="DEEAF1" w:val="clear"/>
            <w:tcMar>
              <w:top w:type="dxa" w:w="80"/>
              <w:left w:type="dxa" w:w="180"/>
              <w:bottom w:type="dxa" w:w="80"/>
              <w:right w:type="dxa" w:w="180"/>
            </w:tcMar>
          </w:tcPr>
          <w:p>
            <w:r>
              <w:rPr>
                <w:rFonts w:ascii="Arial" w:cs="Arial" w:eastAsia="Arial" w:hAnsi="Arial"/>
                <w:color w:val="222222"/>
                <w:sz w:val="21"/>
                <w:szCs w:val="21"/>
              </w:rPr>
              <w:t xml:space="preserve">●  Memory recall tests (RAVLT, Logical Memory Delayed) were the most predictive cognitive features</w:t>
            </w:r>
          </w:p>
        </w:tc>
      </w:tr>
      <w:tr>
        <w:tc>
          <w:tcPr>
            <w:tcW w:type="dxa" w:w="9360"/>
            <w:tcBorders>
              <w:top w:val="single" w:color="C5D9E8" w:sz="1"/>
              <w:left w:val="single" w:color="C5D9E8" w:sz="1"/>
              <w:bottom w:val="single" w:color="C5D9E8" w:sz="1"/>
              <w:right w:val="single" w:color="C5D9E8" w:sz="1"/>
            </w:tcBorders>
            <w:shd w:fill="FFFFFF" w:val="clear"/>
            <w:tcMar>
              <w:top w:type="dxa" w:w="80"/>
              <w:left w:type="dxa" w:w="180"/>
              <w:bottom w:type="dxa" w:w="80"/>
              <w:right w:type="dxa" w:w="180"/>
            </w:tcMar>
          </w:tcPr>
          <w:p>
            <w:r>
              <w:rPr>
                <w:rFonts w:ascii="Arial" w:cs="Arial" w:eastAsia="Arial" w:hAnsi="Arial"/>
                <w:color w:val="222222"/>
                <w:sz w:val="21"/>
                <w:szCs w:val="21"/>
              </w:rPr>
              <w:t xml:space="preserve">●  APOE4 allele count provided strong genetic risk stratification across all models</w:t>
            </w:r>
          </w:p>
        </w:tc>
      </w:tr>
      <w:tr>
        <w:tc>
          <w:tcPr>
            <w:tcW w:type="dxa" w:w="9360"/>
            <w:tcBorders>
              <w:top w:val="single" w:color="C5D9E8" w:sz="1"/>
              <w:left w:val="single" w:color="C5D9E8" w:sz="1"/>
              <w:bottom w:val="single" w:color="C5D9E8" w:sz="1"/>
              <w:right w:val="single" w:color="C5D9E8" w:sz="1"/>
            </w:tcBorders>
            <w:shd w:fill="DEEAF1" w:val="clear"/>
            <w:tcMar>
              <w:top w:type="dxa" w:w="80"/>
              <w:left w:type="dxa" w:w="180"/>
              <w:bottom w:type="dxa" w:w="80"/>
              <w:right w:type="dxa" w:w="180"/>
            </w:tcMar>
          </w:tcPr>
          <w:p>
            <w:r>
              <w:rPr>
                <w:rFonts w:ascii="Arial" w:cs="Arial" w:eastAsia="Arial" w:hAnsi="Arial"/>
                <w:color w:val="222222"/>
                <w:sz w:val="21"/>
                <w:szCs w:val="21"/>
              </w:rPr>
              <w:t xml:space="preserve">●  Hippocampal volume emerged as the most informative structural MRI biomarker</w:t>
            </w:r>
          </w:p>
        </w:tc>
      </w:tr>
      <w:tr>
        <w:tc>
          <w:tcPr>
            <w:tcW w:type="dxa" w:w="9360"/>
            <w:tcBorders>
              <w:top w:val="single" w:color="C5D9E8" w:sz="1"/>
              <w:left w:val="single" w:color="C5D9E8" w:sz="1"/>
              <w:bottom w:val="single" w:color="C5D9E8" w:sz="1"/>
              <w:right w:val="single" w:color="C5D9E8" w:sz="1"/>
            </w:tcBorders>
            <w:shd w:fill="FFFFFF" w:val="clear"/>
            <w:tcMar>
              <w:top w:type="dxa" w:w="80"/>
              <w:left w:type="dxa" w:w="180"/>
              <w:bottom w:type="dxa" w:w="80"/>
              <w:right w:type="dxa" w:w="180"/>
            </w:tcMar>
          </w:tcPr>
          <w:p>
            <w:r>
              <w:rPr>
                <w:rFonts w:ascii="Arial" w:cs="Arial" w:eastAsia="Arial" w:hAnsi="Arial"/>
                <w:color w:val="222222"/>
                <w:sz w:val="21"/>
                <w:szCs w:val="21"/>
              </w:rPr>
              <w:t xml:space="preserve">●  A PET-free model is viable for general clinical settings without expensive amyloid imaging</w:t>
            </w:r>
          </w:p>
        </w:tc>
      </w:tr>
    </w:tbl>
    <w:p>
      <w:pPr>
        <w:spacing w:after="160" w:before="0"/>
      </w:pPr>
      <w:r>
        <w:t xml:space="preserve"/>
      </w:r>
    </w:p>
    <w:p>
      <w:pPr>
        <w:pStyle w:val="Heading1"/>
        <w:pBdr>
          <w:bottom w:val="single" w:color="2E75B6" w:sz="4" w:space="4"/>
        </w:pBdr>
        <w:spacing w:after="180" w:before="360"/>
      </w:pPr>
      <w:r>
        <w:rPr>
          <w:rFonts w:ascii="Arial" w:cs="Arial" w:eastAsia="Arial" w:hAnsi="Arial"/>
          <w:b/>
          <w:bCs/>
          <w:color w:val="1F4E79"/>
          <w:sz w:val="32"/>
          <w:szCs w:val="32"/>
        </w:rPr>
        <w:t xml:space="preserve">2.  Introduction</w:t>
      </w:r>
    </w:p>
    <w:p>
      <w:pPr>
        <w:spacing w:after="120" w:before="60" w:line="280"/>
        <w:jc w:val="both"/>
      </w:pPr>
      <w:r>
        <w:rPr>
          <w:rFonts w:ascii="Arial" w:cs="Arial" w:eastAsia="Arial" w:hAnsi="Arial"/>
          <w:color w:val="222222"/>
          <w:sz w:val="22"/>
          <w:szCs w:val="22"/>
        </w:rPr>
        <w:t xml:space="preserve">Alzheimer's disease is a progressive neurodegenerative disorder characterised by the accumulation of amyloid-beta plaques and neurofibrillary tau tangles. This pathological cascade begins silently, often 15 to 20 years before clinical symptoms emerge, and by the time a formal diagnosis is made, extensive and irreversible neuronal damage has already occurred across critical brain regions including the hippocampus, entorhinal cortex, and prefrontal cortex.</w:t>
      </w:r>
    </w:p>
    <w:p>
      <w:pPr>
        <w:spacing w:after="80" w:before="0"/>
      </w:pPr>
      <w:r>
        <w:t xml:space="preserve"/>
      </w:r>
    </w:p>
    <w:p>
      <w:pPr>
        <w:spacing w:after="120" w:before="60" w:line="280"/>
        <w:jc w:val="both"/>
      </w:pPr>
      <w:r>
        <w:rPr>
          <w:rFonts w:ascii="Arial" w:cs="Arial" w:eastAsia="Arial" w:hAnsi="Arial"/>
          <w:color w:val="222222"/>
          <w:sz w:val="22"/>
          <w:szCs w:val="22"/>
        </w:rPr>
        <w:t xml:space="preserve">The global burden is severe. Approximately 55 million people worldwide currently live with dementia, with AD accounting for roughly 70% of cases. This number is projected to nearly triple by 2050 due to ageing populations. In addition to its devastating personal impact on patients and families, AD imposes an economic burden estimated at over 1.3 trillion USD annually worldwide. Despite decades of intensive research, no cure exists — existing medications only manage symptoms without altering disease trajectory.</w:t>
      </w:r>
    </w:p>
    <w:p>
      <w:pPr>
        <w:spacing w:after="80" w:before="0"/>
      </w:pPr>
      <w:r>
        <w:t xml:space="preserve"/>
      </w:r>
    </w:p>
    <w:p>
      <w:pPr>
        <w:spacing w:after="120" w:before="60" w:line="280"/>
        <w:jc w:val="both"/>
      </w:pPr>
      <w:r>
        <w:rPr>
          <w:rFonts w:ascii="Arial" w:cs="Arial" w:eastAsia="Arial" w:hAnsi="Arial"/>
          <w:color w:val="222222"/>
          <w:sz w:val="22"/>
          <w:szCs w:val="22"/>
        </w:rPr>
        <w:t xml:space="preserve">The most critical window for intervention lies in the pre-symptomatic and early symptomatic stages. At the Mild Cognitive Impairment (MCI) stage, individuals exhibit measurable cognitive decline but retain functional independence. A significant proportion — particularly those with amnestic MCI — will progress to full Alzheimer's dementia within three to five years. Identifying which individuals will progress, and doing so years in advance, enables timely therapeutic intervention, clinical trial enrolment, and informed care planning.</w:t>
      </w:r>
    </w:p>
    <w:p>
      <w:pPr>
        <w:spacing w:after="80" w:before="0"/>
      </w:pPr>
      <w:r>
        <w:t xml:space="preserve"/>
      </w:r>
    </w:p>
    <w:p>
      <w:pPr>
        <w:spacing w:after="120" w:before="60" w:line="280"/>
        <w:jc w:val="both"/>
      </w:pPr>
      <w:r>
        <w:rPr>
          <w:rFonts w:ascii="Arial" w:cs="Arial" w:eastAsia="Arial" w:hAnsi="Arial"/>
          <w:color w:val="222222"/>
          <w:sz w:val="22"/>
          <w:szCs w:val="22"/>
        </w:rPr>
        <w:t xml:space="preserve">Traditional diagnostic approaches rely on clinical assessment, neuropsychological testing, and manual neuroimaging interpretation — methods that are costly, subjective, and often delayed until symptoms are already advanced. Machine learning (ML) offers a fundamentally different paradigm: by learning patterns from large multimodal datasets, ML models can identify individuals at high risk of progression years before a clinical diagnosis would be made. This project applies that approach to the early detection challenge using the ADNI dataset.</w:t>
      </w:r>
    </w:p>
    <w:p>
      <w:pPr>
        <w:spacing w:after="160" w:before="0"/>
      </w:pPr>
      <w:r>
        <w:t xml:space="preserve"/>
      </w:r>
    </w:p>
    <w:p>
      <w:pPr>
        <w:pStyle w:val="Heading1"/>
        <w:pBdr>
          <w:bottom w:val="single" w:color="2E75B6" w:sz="4" w:space="4"/>
        </w:pBdr>
        <w:spacing w:after="180" w:before="360"/>
      </w:pPr>
      <w:r>
        <w:rPr>
          <w:rFonts w:ascii="Arial" w:cs="Arial" w:eastAsia="Arial" w:hAnsi="Arial"/>
          <w:b/>
          <w:bCs/>
          <w:color w:val="1F4E79"/>
          <w:sz w:val="32"/>
          <w:szCs w:val="32"/>
        </w:rPr>
        <w:t xml:space="preserve">3.  Problem Statement</w:t>
      </w:r>
    </w:p>
    <w:p>
      <w:pPr>
        <w:spacing w:after="120" w:before="60" w:line="280"/>
        <w:jc w:val="both"/>
      </w:pPr>
      <w:r>
        <w:rPr>
          <w:rFonts w:ascii="Arial" w:cs="Arial" w:eastAsia="Arial" w:hAnsi="Arial"/>
          <w:color w:val="222222"/>
          <w:sz w:val="22"/>
          <w:szCs w:val="22"/>
        </w:rPr>
        <w:t xml:space="preserve">The central research question driving this project is:</w:t>
      </w:r>
    </w:p>
    <w:p>
      <w:pPr>
        <w:spacing w:after="80" w:before="0"/>
      </w:pPr>
      <w:r>
        <w:t xml:space="preserve"/>
      </w:r>
    </w:p>
    <w:p>
      <w:pPr>
        <w:pBdr>
          <w:left w:val="single" w:color="00B0F0" w:sz="12" w:space="12"/>
        </w:pBdr>
        <w:spacing w:after="100" w:before="100"/>
        <w:jc w:val="center"/>
      </w:pPr>
      <w:r>
        <w:rPr>
          <w:rFonts w:ascii="Arial" w:cs="Arial" w:eastAsia="Arial" w:hAnsi="Arial"/>
          <w:b/>
          <w:bCs/>
          <w:i/>
          <w:iCs/>
          <w:color w:val="1F4E79"/>
          <w:sz w:val="23"/>
          <w:szCs w:val="23"/>
        </w:rPr>
        <w:t xml:space="preserve">Can machine learning predict — at the time of a patient's baseline clinical visit — whether that patient will progress to a worse Alzheimer's diagnosis in the future, using non-invasive and clinically accessible measurements?</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3.1  Why This Problem Is Difficult</w:t>
      </w:r>
    </w:p>
    <w:p>
      <w:pPr>
        <w:pStyle w:val="ListParagraph"/>
        <w:numPr>
          <w:ilvl w:val="0"/>
          <w:numId w:val="2"/>
        </w:numPr>
        <w:spacing w:after="60" w:before="40"/>
      </w:pPr>
      <w:r>
        <w:rPr>
          <w:rFonts w:ascii="Arial" w:cs="Arial" w:eastAsia="Arial" w:hAnsi="Arial"/>
          <w:b/>
          <w:bCs/>
          <w:color w:val="2E75B6"/>
          <w:sz w:val="22"/>
          <w:szCs w:val="22"/>
        </w:rPr>
        <w:t xml:space="preserve">Signal subtlety: </w:t>
      </w:r>
      <w:r>
        <w:rPr>
          <w:rFonts w:ascii="Arial" w:cs="Arial" w:eastAsia="Arial" w:hAnsi="Arial"/>
          <w:color w:val="222222"/>
          <w:sz w:val="22"/>
          <w:szCs w:val="22"/>
        </w:rPr>
        <w:t xml:space="preserve">The progression signal is subtle — early-stage changes in brain volume, cognitive scores, and amyloid burden are small and overlapping between progressors and non-progressors at baseline.</w:t>
      </w:r>
    </w:p>
    <w:p>
      <w:pPr>
        <w:pStyle w:val="ListParagraph"/>
        <w:numPr>
          <w:ilvl w:val="0"/>
          <w:numId w:val="2"/>
        </w:numPr>
        <w:spacing w:after="60" w:before="40"/>
      </w:pPr>
      <w:r>
        <w:rPr>
          <w:rFonts w:ascii="Arial" w:cs="Arial" w:eastAsia="Arial" w:hAnsi="Arial"/>
          <w:b/>
          <w:bCs/>
          <w:color w:val="2E75B6"/>
          <w:sz w:val="22"/>
          <w:szCs w:val="22"/>
        </w:rPr>
        <w:t xml:space="preserve">Class imbalance: </w:t>
      </w:r>
      <w:r>
        <w:rPr>
          <w:rFonts w:ascii="Arial" w:cs="Arial" w:eastAsia="Arial" w:hAnsi="Arial"/>
          <w:color w:val="222222"/>
          <w:sz w:val="22"/>
          <w:szCs w:val="22"/>
        </w:rPr>
        <w:t xml:space="preserve">The dataset is severely class-imbalanced — only 9.8% of baseline participants progress, making standard accuracy a misleading metric.</w:t>
      </w:r>
    </w:p>
    <w:p>
      <w:pPr>
        <w:pStyle w:val="ListParagraph"/>
        <w:numPr>
          <w:ilvl w:val="0"/>
          <w:numId w:val="2"/>
        </w:numPr>
        <w:spacing w:after="60" w:before="40"/>
      </w:pPr>
      <w:r>
        <w:rPr>
          <w:rFonts w:ascii="Arial" w:cs="Arial" w:eastAsia="Arial" w:hAnsi="Arial"/>
          <w:b/>
          <w:bCs/>
          <w:color w:val="2E75B6"/>
          <w:sz w:val="22"/>
          <w:szCs w:val="22"/>
        </w:rPr>
        <w:t xml:space="preserve">Multimodal complexity: </w:t>
      </w:r>
      <w:r>
        <w:rPr>
          <w:rFonts w:ascii="Arial" w:cs="Arial" w:eastAsia="Arial" w:hAnsi="Arial"/>
          <w:color w:val="222222"/>
          <w:sz w:val="22"/>
          <w:szCs w:val="22"/>
        </w:rPr>
        <w:t xml:space="preserve">Data is multimodal and heterogeneous — cognitive tests, MRI measurements, PET imaging, and genetics exist on completely different scales with different missingness patterns.</w:t>
      </w:r>
    </w:p>
    <w:p>
      <w:pPr>
        <w:pStyle w:val="ListParagraph"/>
        <w:numPr>
          <w:ilvl w:val="0"/>
          <w:numId w:val="2"/>
        </w:numPr>
        <w:spacing w:after="60" w:before="40"/>
      </w:pPr>
      <w:r>
        <w:rPr>
          <w:rFonts w:ascii="Arial" w:cs="Arial" w:eastAsia="Arial" w:hAnsi="Arial"/>
          <w:b/>
          <w:bCs/>
          <w:color w:val="2E75B6"/>
          <w:sz w:val="22"/>
          <w:szCs w:val="22"/>
        </w:rPr>
        <w:t xml:space="preserve">Incomplete coverage: </w:t>
      </w:r>
      <w:r>
        <w:rPr>
          <w:rFonts w:ascii="Arial" w:cs="Arial" w:eastAsia="Arial" w:hAnsi="Arial"/>
          <w:color w:val="222222"/>
          <w:sz w:val="22"/>
          <w:szCs w:val="22"/>
        </w:rPr>
        <w:t xml:space="preserve">Not all participants have all modalities — amyloid PET was collected for only ~39% of participants and MRI volumetrics for ~16%, requiring careful missing data strategies.</w:t>
      </w:r>
    </w:p>
    <w:p>
      <w:pPr>
        <w:pStyle w:val="ListParagraph"/>
        <w:numPr>
          <w:ilvl w:val="0"/>
          <w:numId w:val="2"/>
        </w:numPr>
        <w:spacing w:after="60" w:before="40"/>
      </w:pPr>
      <w:r>
        <w:rPr>
          <w:rFonts w:ascii="Arial" w:cs="Arial" w:eastAsia="Arial" w:hAnsi="Arial"/>
          <w:b/>
          <w:bCs/>
          <w:color w:val="2E75B6"/>
          <w:sz w:val="22"/>
          <w:szCs w:val="22"/>
        </w:rPr>
        <w:t xml:space="preserve">Longitudinal variability: </w:t>
      </w:r>
      <w:r>
        <w:rPr>
          <w:rFonts w:ascii="Arial" w:cs="Arial" w:eastAsia="Arial" w:hAnsi="Arial"/>
          <w:color w:val="222222"/>
          <w:sz w:val="22"/>
          <w:szCs w:val="22"/>
        </w:rPr>
        <w:t xml:space="preserve">Follow-up data is variable — participants have different numbers of follow-up visits over different time horizons, making the definition of 'progression' non-trivial.</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3.2  Contributions Beyond Existing Literature</w:t>
      </w:r>
    </w:p>
    <w:p>
      <w:pPr>
        <w:pStyle w:val="ListParagraph"/>
        <w:numPr>
          <w:ilvl w:val="0"/>
          <w:numId w:val="2"/>
        </w:numPr>
        <w:spacing w:after="60" w:before="40"/>
      </w:pPr>
      <w:r>
        <w:rPr>
          <w:rFonts w:ascii="Arial" w:cs="Arial" w:eastAsia="Arial" w:hAnsi="Arial"/>
          <w:b/>
          <w:bCs/>
          <w:color w:val="2E75B6"/>
          <w:sz w:val="22"/>
          <w:szCs w:val="22"/>
        </w:rPr>
        <w:t xml:space="preserve">Cohort size: </w:t>
      </w:r>
      <w:r>
        <w:rPr>
          <w:rFonts w:ascii="Arial" w:cs="Arial" w:eastAsia="Arial" w:hAnsi="Arial"/>
          <w:color w:val="222222"/>
          <w:sz w:val="22"/>
          <w:szCs w:val="22"/>
        </w:rPr>
        <w:t xml:space="preserve">Largest multimodal ADNI cohort in this class of study: 2,968 participants combining all ADNI phases, versus the typical 500–900 in published papers.</w:t>
      </w:r>
    </w:p>
    <w:p>
      <w:pPr>
        <w:pStyle w:val="ListParagraph"/>
        <w:numPr>
          <w:ilvl w:val="0"/>
          <w:numId w:val="2"/>
        </w:numPr>
        <w:spacing w:after="60" w:before="40"/>
      </w:pPr>
      <w:r>
        <w:rPr>
          <w:rFonts w:ascii="Arial" w:cs="Arial" w:eastAsia="Arial" w:hAnsi="Arial"/>
          <w:b/>
          <w:bCs/>
          <w:color w:val="2E75B6"/>
          <w:sz w:val="22"/>
          <w:szCs w:val="22"/>
        </w:rPr>
        <w:t xml:space="preserve">PET strategy: </w:t>
      </w:r>
      <w:r>
        <w:rPr>
          <w:rFonts w:ascii="Arial" w:cs="Arial" w:eastAsia="Arial" w:hAnsi="Arial"/>
          <w:color w:val="222222"/>
          <w:sz w:val="22"/>
          <w:szCs w:val="22"/>
        </w:rPr>
        <w:t xml:space="preserve">Two-model clinical strategy quantifying the added value of amyloid PET: a PET-free model for general clinics and a PET-enriched model for specialised centres.</w:t>
      </w:r>
    </w:p>
    <w:p>
      <w:pPr>
        <w:pStyle w:val="ListParagraph"/>
        <w:numPr>
          <w:ilvl w:val="0"/>
          <w:numId w:val="2"/>
        </w:numPr>
        <w:spacing w:after="60" w:before="40"/>
      </w:pPr>
      <w:r>
        <w:rPr>
          <w:rFonts w:ascii="Arial" w:cs="Arial" w:eastAsia="Arial" w:hAnsi="Arial"/>
          <w:b/>
          <w:bCs/>
          <w:color w:val="2E75B6"/>
          <w:sz w:val="22"/>
          <w:szCs w:val="22"/>
        </w:rPr>
        <w:t xml:space="preserve">Detection window: </w:t>
      </w:r>
      <w:r>
        <w:rPr>
          <w:rFonts w:ascii="Arial" w:cs="Arial" w:eastAsia="Arial" w:hAnsi="Arial"/>
          <w:color w:val="222222"/>
          <w:sz w:val="22"/>
          <w:szCs w:val="22"/>
        </w:rPr>
        <w:t xml:space="preserve">Earliest possible detection window: both Cognitively Unimpaired (CU) and MCI participants included, unlike most studies that focus exclusively on MCI.</w:t>
      </w:r>
    </w:p>
    <w:p>
      <w:pPr>
        <w:pStyle w:val="ListParagraph"/>
        <w:numPr>
          <w:ilvl w:val="0"/>
          <w:numId w:val="2"/>
        </w:numPr>
        <w:spacing w:after="60" w:before="40"/>
      </w:pPr>
      <w:r>
        <w:rPr>
          <w:rFonts w:ascii="Arial" w:cs="Arial" w:eastAsia="Arial" w:hAnsi="Arial"/>
          <w:b/>
          <w:bCs/>
          <w:color w:val="2E75B6"/>
          <w:sz w:val="22"/>
          <w:szCs w:val="22"/>
        </w:rPr>
        <w:t xml:space="preserve">Model comparison: </w:t>
      </w:r>
      <w:r>
        <w:rPr>
          <w:rFonts w:ascii="Arial" w:cs="Arial" w:eastAsia="Arial" w:hAnsi="Arial"/>
          <w:color w:val="222222"/>
          <w:sz w:val="22"/>
          <w:szCs w:val="22"/>
        </w:rPr>
        <w:t xml:space="preserve">Rigorous five-model benchmark: LR, SVM, RF, XGBoost, and Neural Network trained under identical preprocessing and evaluation conditions.</w:t>
      </w:r>
    </w:p>
    <w:p>
      <w:pPr>
        <w:spacing w:after="160" w:before="0"/>
      </w:pPr>
      <w:r>
        <w:t xml:space="preserve"/>
      </w:r>
    </w:p>
    <w:p>
      <w:pPr>
        <w:pStyle w:val="Heading1"/>
        <w:pBdr>
          <w:bottom w:val="single" w:color="2E75B6" w:sz="4" w:space="4"/>
        </w:pBdr>
        <w:spacing w:after="180" w:before="360"/>
      </w:pPr>
      <w:r>
        <w:rPr>
          <w:rFonts w:ascii="Arial" w:cs="Arial" w:eastAsia="Arial" w:hAnsi="Arial"/>
          <w:b/>
          <w:bCs/>
          <w:color w:val="1F4E79"/>
          <w:sz w:val="32"/>
          <w:szCs w:val="32"/>
        </w:rPr>
        <w:t xml:space="preserve">4.  Dataset</w:t>
      </w:r>
    </w:p>
    <w:p>
      <w:pPr>
        <w:pStyle w:val="Heading2"/>
        <w:spacing w:after="120" w:before="280"/>
      </w:pPr>
      <w:r>
        <w:rPr>
          <w:rFonts w:ascii="Arial" w:cs="Arial" w:eastAsia="Arial" w:hAnsi="Arial"/>
          <w:b/>
          <w:bCs/>
          <w:color w:val="2E75B6"/>
          <w:sz w:val="26"/>
          <w:szCs w:val="26"/>
        </w:rPr>
        <w:t xml:space="preserve">4.1  Data Source</w:t>
      </w:r>
    </w:p>
    <w:p>
      <w:pPr>
        <w:spacing w:after="120" w:before="60" w:line="280"/>
        <w:jc w:val="both"/>
      </w:pPr>
      <w:r>
        <w:rPr>
          <w:rFonts w:ascii="Arial" w:cs="Arial" w:eastAsia="Arial" w:hAnsi="Arial"/>
          <w:color w:val="222222"/>
          <w:sz w:val="22"/>
          <w:szCs w:val="22"/>
        </w:rPr>
        <w:t xml:space="preserve">All data was sourced from the Alzheimer's Disease Neuroimaging Initiative (ADNI), a large-scale longitudinal multicentre study launched in 2004 to identify and validate biomarkers for the early detection and tracking of Alzheimer's disease. ADNI collects serial MRI, PET, biological markers, genetics, and clinical and neuropsychological assessments from participants across more than 50 sites in North America. As of 2024, the ADNI database supports over 5,600 publications and is the definitive global benchmark for AD machine learning research.</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4.2  Raw Data Files</w:t>
      </w:r>
    </w:p>
    <w:p>
      <w:pPr>
        <w:spacing w:after="120" w:before="60" w:line="280"/>
        <w:jc w:val="both"/>
      </w:pPr>
      <w:r>
        <w:rPr>
          <w:rFonts w:ascii="Arial" w:cs="Arial" w:eastAsia="Arial" w:hAnsi="Arial"/>
          <w:color w:val="222222"/>
          <w:sz w:val="22"/>
          <w:szCs w:val="22"/>
        </w:rPr>
        <w:t xml:space="preserve">Seven raw CSV files were processed, each corresponding to a distinct clinical domain: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360"/>
        <w:gridCol w:w="1200"/>
      </w:tblGrid>
      <w:tr>
        <w:trPr>
          <w:tblHeader/>
        </w:trPr>
        <w:tc>
          <w:tcPr>
            <w:tcW w:type="dxa" w:w="22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File</w:t>
            </w:r>
          </w:p>
        </w:tc>
        <w:tc>
          <w:tcPr>
            <w:tcW w:type="dxa" w:w="16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Domain</w:t>
            </w:r>
          </w:p>
        </w:tc>
        <w:tc>
          <w:tcPr>
            <w:tcW w:type="dxa" w:w="43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12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Columns</w:t>
            </w:r>
          </w:p>
        </w:tc>
      </w:tr>
      <w:tr>
        <w:tc>
          <w:tcPr>
            <w:tcW w:type="dxa" w:w="22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APOERES.csv</w:t>
            </w:r>
          </w:p>
        </w:tc>
        <w:tc>
          <w:tcPr>
            <w:tcW w:type="dxa" w:w="16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Genetics</w:t>
            </w:r>
          </w:p>
        </w:tc>
        <w:tc>
          <w:tcPr>
            <w:tcW w:type="dxa" w:w="436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APOE genotype data per participant</w:t>
            </w:r>
          </w:p>
        </w:tc>
        <w:tc>
          <w:tcPr>
            <w:tcW w:type="dxa" w:w="12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~15</w:t>
            </w:r>
          </w:p>
        </w:tc>
      </w:tr>
      <w:tr>
        <w:tc>
          <w:tcPr>
            <w:tcW w:type="dxa" w:w="22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CDR.csv</w:t>
            </w:r>
          </w:p>
        </w:tc>
        <w:tc>
          <w:tcPr>
            <w:tcW w:type="dxa" w:w="16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Clinical Rating</w:t>
            </w:r>
          </w:p>
        </w:tc>
        <w:tc>
          <w:tcPr>
            <w:tcW w:type="dxa" w:w="436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Clinical Dementia Rating scale scores</w:t>
            </w:r>
          </w:p>
        </w:tc>
        <w:tc>
          <w:tcPr>
            <w:tcW w:type="dxa" w:w="12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~25</w:t>
            </w:r>
          </w:p>
        </w:tc>
      </w:tr>
      <w:tr>
        <w:tc>
          <w:tcPr>
            <w:tcW w:type="dxa" w:w="22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DXSUM.csv</w:t>
            </w:r>
          </w:p>
        </w:tc>
        <w:tc>
          <w:tcPr>
            <w:tcW w:type="dxa" w:w="16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Diagnosis</w:t>
            </w:r>
          </w:p>
        </w:tc>
        <w:tc>
          <w:tcPr>
            <w:tcW w:type="dxa" w:w="436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Visit-level diagnosis records; merge anchor</w:t>
            </w:r>
          </w:p>
        </w:tc>
        <w:tc>
          <w:tcPr>
            <w:tcW w:type="dxa" w:w="12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~30</w:t>
            </w:r>
          </w:p>
        </w:tc>
      </w:tr>
      <w:tr>
        <w:tc>
          <w:tcPr>
            <w:tcW w:type="dxa" w:w="22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NEUROBAT.csv</w:t>
            </w:r>
          </w:p>
        </w:tc>
        <w:tc>
          <w:tcPr>
            <w:tcW w:type="dxa" w:w="16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Neuropsychology</w:t>
            </w:r>
          </w:p>
        </w:tc>
        <w:tc>
          <w:tcPr>
            <w:tcW w:type="dxa" w:w="436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Cognitive battery scores across test domains</w:t>
            </w:r>
          </w:p>
        </w:tc>
        <w:tc>
          <w:tcPr>
            <w:tcW w:type="dxa" w:w="12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~80</w:t>
            </w:r>
          </w:p>
        </w:tc>
      </w:tr>
      <w:tr>
        <w:tc>
          <w:tcPr>
            <w:tcW w:type="dxa" w:w="22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PTDEMOG.csv</w:t>
            </w:r>
          </w:p>
        </w:tc>
        <w:tc>
          <w:tcPr>
            <w:tcW w:type="dxa" w:w="16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Demographics</w:t>
            </w:r>
          </w:p>
        </w:tc>
        <w:tc>
          <w:tcPr>
            <w:tcW w:type="dxa" w:w="436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Gender, DOB, education, race, marital status</w:t>
            </w:r>
          </w:p>
        </w:tc>
        <w:tc>
          <w:tcPr>
            <w:tcW w:type="dxa" w:w="12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~40</w:t>
            </w:r>
          </w:p>
        </w:tc>
      </w:tr>
      <w:tr>
        <w:tc>
          <w:tcPr>
            <w:tcW w:type="dxa" w:w="22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UCBERKELEY_AMY_6MM.csv</w:t>
            </w:r>
          </w:p>
        </w:tc>
        <w:tc>
          <w:tcPr>
            <w:tcW w:type="dxa" w:w="16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Amyloid PET</w:t>
            </w:r>
          </w:p>
        </w:tc>
        <w:tc>
          <w:tcPr>
            <w:tcW w:type="dxa" w:w="436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Centiloid amyloid burden values and amyloid status</w:t>
            </w:r>
          </w:p>
        </w:tc>
        <w:tc>
          <w:tcPr>
            <w:tcW w:type="dxa" w:w="12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~25</w:t>
            </w:r>
          </w:p>
        </w:tc>
      </w:tr>
      <w:tr>
        <w:tc>
          <w:tcPr>
            <w:tcW w:type="dxa" w:w="22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UCSFFSX7.csv</w:t>
            </w:r>
          </w:p>
        </w:tc>
        <w:tc>
          <w:tcPr>
            <w:tcW w:type="dxa" w:w="16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MRI Volumetrics</w:t>
            </w:r>
          </w:p>
        </w:tc>
        <w:tc>
          <w:tcPr>
            <w:tcW w:type="dxa" w:w="436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Structural MRI brain region volumes (FreeSurfer)</w:t>
            </w:r>
          </w:p>
        </w:tc>
        <w:tc>
          <w:tcPr>
            <w:tcW w:type="dxa" w:w="12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~400+</w:t>
            </w:r>
          </w:p>
        </w:tc>
      </w:tr>
    </w:tbl>
    <w:p>
      <w:pPr>
        <w:spacing w:after="160" w:before="0"/>
      </w:pPr>
      <w:r>
        <w:t xml:space="preserve"/>
      </w:r>
    </w:p>
    <w:p>
      <w:pPr>
        <w:pStyle w:val="Heading2"/>
        <w:spacing w:after="120" w:before="280"/>
      </w:pPr>
      <w:r>
        <w:rPr>
          <w:rFonts w:ascii="Arial" w:cs="Arial" w:eastAsia="Arial" w:hAnsi="Arial"/>
          <w:b/>
          <w:bCs/>
          <w:color w:val="2E75B6"/>
          <w:sz w:val="26"/>
          <w:szCs w:val="26"/>
        </w:rPr>
        <w:t xml:space="preserve">4.3  Cohort Definition</w:t>
      </w:r>
    </w:p>
    <w:p>
      <w:pPr>
        <w:spacing w:after="120" w:before="60" w:line="280"/>
        <w:jc w:val="both"/>
      </w:pPr>
      <w:r>
        <w:rPr>
          <w:rFonts w:ascii="Arial" w:cs="Arial" w:eastAsia="Arial" w:hAnsi="Arial"/>
          <w:color w:val="222222"/>
          <w:sz w:val="22"/>
          <w:szCs w:val="22"/>
        </w:rPr>
        <w:t xml:space="preserve">The final modelling cohort consists of 2,968 participants at their baseline visit. Only participants with a baseline diagnosis of Cognitively Unimpaired (CU) or Mild Cognitive Impairment (MCI) were included. Participants already diagnosed with Dementia at baseline were excluded, as the project's goal is to predict future progression — not classify those already diagnosed.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80"/>
        <w:gridCol w:w="1480"/>
        <w:gridCol w:w="3200"/>
      </w:tblGrid>
      <w:tr>
        <w:trPr>
          <w:tblHeader/>
        </w:trPr>
        <w:tc>
          <w:tcPr>
            <w:tcW w:type="dxa" w:w="32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Group</w:t>
            </w:r>
          </w:p>
        </w:tc>
        <w:tc>
          <w:tcPr>
            <w:tcW w:type="dxa" w:w="148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Count</w:t>
            </w:r>
          </w:p>
        </w:tc>
        <w:tc>
          <w:tcPr>
            <w:tcW w:type="dxa" w:w="148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Percentage</w:t>
            </w:r>
          </w:p>
        </w:tc>
        <w:tc>
          <w:tcPr>
            <w:tcW w:type="dxa" w:w="32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32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Cognitively Unimpaired (CU)</w:t>
            </w:r>
          </w:p>
        </w:tc>
        <w:tc>
          <w:tcPr>
            <w:tcW w:type="dxa" w:w="148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1,516</w:t>
            </w:r>
          </w:p>
        </w:tc>
        <w:tc>
          <w:tcPr>
            <w:tcW w:type="dxa" w:w="148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51.1%</w:t>
            </w:r>
          </w:p>
        </w:tc>
        <w:tc>
          <w:tcPr>
            <w:tcW w:type="dxa" w:w="32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No cognitive impairment at baseline</w:t>
            </w:r>
          </w:p>
        </w:tc>
      </w:tr>
      <w:tr>
        <w:tc>
          <w:tcPr>
            <w:tcW w:type="dxa" w:w="32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Mild Cognitive Impairment (MCI)</w:t>
            </w:r>
          </w:p>
        </w:tc>
        <w:tc>
          <w:tcPr>
            <w:tcW w:type="dxa" w:w="148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1,452</w:t>
            </w:r>
          </w:p>
        </w:tc>
        <w:tc>
          <w:tcPr>
            <w:tcW w:type="dxa" w:w="148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48.9%</w:t>
            </w:r>
          </w:p>
        </w:tc>
        <w:tc>
          <w:tcPr>
            <w:tcW w:type="dxa" w:w="32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Cognitive decline, functionally independent</w:t>
            </w:r>
          </w:p>
        </w:tc>
      </w:tr>
      <w:tr>
        <w:tc>
          <w:tcPr>
            <w:tcW w:type="dxa" w:w="3200"/>
            <w:tcBorders>
              <w:top w:val="single" w:color="FFFFFF" w:sz="1"/>
              <w:left w:val="single" w:color="FFFFFF" w:sz="1"/>
              <w:bottom w:val="single" w:color="FFFFFF" w:sz="1"/>
              <w:right w:val="single" w:color="FFFFFF" w:sz="1"/>
            </w:tcBorders>
            <w:shd w:fill="E2EFDA" w:val="clear"/>
            <w:tcMar>
              <w:top w:type="dxa" w:w="80"/>
              <w:left w:type="dxa" w:w="140"/>
              <w:bottom w:type="dxa" w:w="80"/>
              <w:right w:type="dxa" w:w="140"/>
            </w:tcMar>
            <w:vAlign w:val="center"/>
          </w:tcPr>
          <w:p>
            <w:pPr>
              <w:jc w:val="left"/>
            </w:pPr>
            <w:r>
              <w:rPr>
                <w:rFonts w:ascii="Arial" w:cs="Arial" w:eastAsia="Arial" w:hAnsi="Arial"/>
                <w:b/>
                <w:bCs/>
                <w:color w:val="375623"/>
                <w:sz w:val="20"/>
                <w:szCs w:val="20"/>
              </w:rPr>
              <w:t xml:space="preserve">Total</w:t>
            </w:r>
          </w:p>
        </w:tc>
        <w:tc>
          <w:tcPr>
            <w:tcW w:type="dxa" w:w="1480"/>
            <w:tcBorders>
              <w:top w:val="single" w:color="FFFFFF" w:sz="1"/>
              <w:left w:val="single" w:color="FFFFFF" w:sz="1"/>
              <w:bottom w:val="single" w:color="FFFFFF" w:sz="1"/>
              <w:right w:val="single" w:color="FFFFFF" w:sz="1"/>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20"/>
                <w:szCs w:val="20"/>
              </w:rPr>
              <w:t xml:space="preserve">2,968</w:t>
            </w:r>
          </w:p>
        </w:tc>
        <w:tc>
          <w:tcPr>
            <w:tcW w:type="dxa" w:w="1480"/>
            <w:tcBorders>
              <w:top w:val="single" w:color="FFFFFF" w:sz="1"/>
              <w:left w:val="single" w:color="FFFFFF" w:sz="1"/>
              <w:bottom w:val="single" w:color="FFFFFF" w:sz="1"/>
              <w:right w:val="single" w:color="FFFFFF" w:sz="1"/>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20"/>
                <w:szCs w:val="20"/>
              </w:rPr>
              <w:t xml:space="preserve">100%</w:t>
            </w:r>
          </w:p>
        </w:tc>
        <w:tc>
          <w:tcPr>
            <w:tcW w:type="dxa" w:w="3200"/>
            <w:tcBorders>
              <w:top w:val="single" w:color="FFFFFF" w:sz="1"/>
              <w:left w:val="single" w:color="FFFFFF" w:sz="1"/>
              <w:bottom w:val="single" w:color="FFFFFF" w:sz="1"/>
              <w:right w:val="single" w:color="FFFFFF" w:sz="1"/>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20"/>
                <w:szCs w:val="20"/>
              </w:rPr>
              <w:t xml:space="preserve">Baseline modelling cohort</w:t>
            </w:r>
          </w:p>
        </w:tc>
      </w:tr>
    </w:tbl>
    <w:p>
      <w:pPr>
        <w:spacing w:after="160" w:before="0"/>
      </w:pPr>
      <w:r>
        <w:t xml:space="preserve"/>
      </w:r>
    </w:p>
    <w:p>
      <w:pPr>
        <w:pStyle w:val="Heading2"/>
        <w:spacing w:after="120" w:before="280"/>
      </w:pPr>
      <w:r>
        <w:rPr>
          <w:rFonts w:ascii="Arial" w:cs="Arial" w:eastAsia="Arial" w:hAnsi="Arial"/>
          <w:b/>
          <w:bCs/>
          <w:color w:val="2E75B6"/>
          <w:sz w:val="26"/>
          <w:szCs w:val="26"/>
        </w:rPr>
        <w:t xml:space="preserve">4.4  Target Variable — PROGRESSOR</w:t>
      </w:r>
    </w:p>
    <w:p>
      <w:pPr>
        <w:spacing w:after="120" w:before="60" w:line="280"/>
        <w:jc w:val="both"/>
      </w:pPr>
      <w:r>
        <w:rPr>
          <w:rFonts w:ascii="Arial" w:cs="Arial" w:eastAsia="Arial" w:hAnsi="Arial"/>
          <w:color w:val="222222"/>
          <w:sz w:val="22"/>
          <w:szCs w:val="22"/>
        </w:rPr>
        <w:t xml:space="preserve">The target variable PROGRESSOR was constructed from longitudinal follow-up data. For each participant, the worst diagnosis observed at any follow-up visit (MONTH &gt; 0) was compared to their baseline diagnosis. If any future visit showed diagnostic worsening — CU progressing to MCI or Dementia, or MCI progressing to Dementia — the participant was labelled a progressor (PROGRESSOR = 1). Participants with stable or improving trajectories were labelled non-progressors (PROGRESSOR = 0).</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80"/>
        <w:gridCol w:w="1680"/>
        <w:gridCol w:w="3000"/>
      </w:tblGrid>
      <w:tr>
        <w:trPr>
          <w:tblHeader/>
        </w:trPr>
        <w:tc>
          <w:tcPr>
            <w:tcW w:type="dxa" w:w="30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Label</w:t>
            </w:r>
          </w:p>
        </w:tc>
        <w:tc>
          <w:tcPr>
            <w:tcW w:type="dxa" w:w="168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Count</w:t>
            </w:r>
          </w:p>
        </w:tc>
        <w:tc>
          <w:tcPr>
            <w:tcW w:type="dxa" w:w="168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Percentage</w:t>
            </w:r>
          </w:p>
        </w:tc>
        <w:tc>
          <w:tcPr>
            <w:tcW w:type="dxa" w:w="30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Meaning</w:t>
            </w:r>
          </w:p>
        </w:tc>
      </w:tr>
      <w:tr>
        <w:tc>
          <w:tcPr>
            <w:tcW w:type="dxa" w:w="30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Non-Progressor (0)</w:t>
            </w:r>
          </w:p>
        </w:tc>
        <w:tc>
          <w:tcPr>
            <w:tcW w:type="dxa" w:w="168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2,677</w:t>
            </w:r>
          </w:p>
        </w:tc>
        <w:tc>
          <w:tcPr>
            <w:tcW w:type="dxa" w:w="168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90.2%</w:t>
            </w:r>
          </w:p>
        </w:tc>
        <w:tc>
          <w:tcPr>
            <w:tcW w:type="dxa" w:w="30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Diagnosis stable or improved across all follow-ups</w:t>
            </w:r>
          </w:p>
        </w:tc>
      </w:tr>
      <w:tr>
        <w:tc>
          <w:tcPr>
            <w:tcW w:type="dxa" w:w="30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Progressor (1)</w:t>
            </w:r>
          </w:p>
        </w:tc>
        <w:tc>
          <w:tcPr>
            <w:tcW w:type="dxa" w:w="168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291</w:t>
            </w:r>
          </w:p>
        </w:tc>
        <w:tc>
          <w:tcPr>
            <w:tcW w:type="dxa" w:w="168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9.8%</w:t>
            </w:r>
          </w:p>
        </w:tc>
        <w:tc>
          <w:tcPr>
            <w:tcW w:type="dxa" w:w="30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Diagnosed with worse condition at any future visit</w:t>
            </w:r>
          </w:p>
        </w:tc>
      </w:tr>
      <w:tr>
        <w:tc>
          <w:tcPr>
            <w:tcW w:type="dxa" w:w="3000"/>
            <w:tcBorders>
              <w:top w:val="single" w:color="FFFFFF" w:sz="1"/>
              <w:left w:val="single" w:color="FFFFFF" w:sz="1"/>
              <w:bottom w:val="single" w:color="FFFFFF" w:sz="1"/>
              <w:right w:val="single" w:color="FFFFFF" w:sz="1"/>
            </w:tcBorders>
            <w:shd w:fill="E2EFDA" w:val="clear"/>
            <w:tcMar>
              <w:top w:type="dxa" w:w="80"/>
              <w:left w:type="dxa" w:w="140"/>
              <w:bottom w:type="dxa" w:w="80"/>
              <w:right w:type="dxa" w:w="140"/>
            </w:tcMar>
            <w:vAlign w:val="center"/>
          </w:tcPr>
          <w:p>
            <w:pPr>
              <w:jc w:val="left"/>
            </w:pPr>
            <w:r>
              <w:rPr>
                <w:rFonts w:ascii="Arial" w:cs="Arial" w:eastAsia="Arial" w:hAnsi="Arial"/>
                <w:b/>
                <w:bCs/>
                <w:color w:val="375623"/>
                <w:sz w:val="20"/>
                <w:szCs w:val="20"/>
              </w:rPr>
              <w:t xml:space="preserve">Total</w:t>
            </w:r>
          </w:p>
        </w:tc>
        <w:tc>
          <w:tcPr>
            <w:tcW w:type="dxa" w:w="1680"/>
            <w:tcBorders>
              <w:top w:val="single" w:color="FFFFFF" w:sz="1"/>
              <w:left w:val="single" w:color="FFFFFF" w:sz="1"/>
              <w:bottom w:val="single" w:color="FFFFFF" w:sz="1"/>
              <w:right w:val="single" w:color="FFFFFF" w:sz="1"/>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20"/>
                <w:szCs w:val="20"/>
              </w:rPr>
              <w:t xml:space="preserve">2,968</w:t>
            </w:r>
          </w:p>
        </w:tc>
        <w:tc>
          <w:tcPr>
            <w:tcW w:type="dxa" w:w="1680"/>
            <w:tcBorders>
              <w:top w:val="single" w:color="FFFFFF" w:sz="1"/>
              <w:left w:val="single" w:color="FFFFFF" w:sz="1"/>
              <w:bottom w:val="single" w:color="FFFFFF" w:sz="1"/>
              <w:right w:val="single" w:color="FFFFFF" w:sz="1"/>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20"/>
                <w:szCs w:val="20"/>
              </w:rPr>
              <w:t xml:space="preserve">100%</w:t>
            </w:r>
          </w:p>
        </w:tc>
        <w:tc>
          <w:tcPr>
            <w:tcW w:type="dxa" w:w="3000"/>
            <w:tcBorders>
              <w:top w:val="single" w:color="FFFFFF" w:sz="1"/>
              <w:left w:val="single" w:color="FFFFFF" w:sz="1"/>
              <w:bottom w:val="single" w:color="FFFFFF" w:sz="1"/>
              <w:right w:val="single" w:color="FFFFFF" w:sz="1"/>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20"/>
                <w:szCs w:val="20"/>
              </w:rPr>
              <w:t xml:space="preserve">Severe class imbalance requiring explicit handling</w:t>
            </w:r>
          </w:p>
        </w:tc>
      </w:tr>
    </w:tbl>
    <w:p>
      <w:pPr>
        <w:spacing w:after="80" w:before="0"/>
      </w:pPr>
      <w:r>
        <w:t xml:space="preserve"/>
      </w:r>
    </w:p>
    <w:p>
      <w:pPr>
        <w:spacing w:after="120" w:before="60" w:line="280"/>
        <w:jc w:val="both"/>
      </w:pPr>
      <w:r>
        <w:rPr>
          <w:rFonts w:ascii="Arial" w:cs="Arial" w:eastAsia="Arial" w:hAnsi="Arial"/>
          <w:color w:val="222222"/>
          <w:sz w:val="22"/>
          <w:szCs w:val="22"/>
        </w:rPr>
        <w:t xml:space="preserve">The 90.2% vs. 9.8% class imbalance is a defining characteristic of this dataset. Standard accuracy is therefore not used as an evaluation metric — AUC-ROC and F1-score are the primary metrics, consistent with all published studies on this task.</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4.5  Feature Set</w:t>
      </w:r>
    </w:p>
    <w:p>
      <w:pPr>
        <w:spacing w:after="120" w:before="60" w:line="280"/>
        <w:jc w:val="both"/>
      </w:pPr>
      <w:r>
        <w:rPr>
          <w:rFonts w:ascii="Arial" w:cs="Arial" w:eastAsia="Arial" w:hAnsi="Arial"/>
          <w:color w:val="222222"/>
          <w:sz w:val="22"/>
          <w:szCs w:val="22"/>
        </w:rPr>
        <w:t xml:space="preserve">The final modelling dataset contains 19 features plus the target variable, organised across five clinical domains. Total dimensionality was reduced from over 590 raw columns across all source files through domain-informed column selection, feature engineering, and normalisation.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4360"/>
        <w:gridCol w:w="1200"/>
      </w:tblGrid>
      <w:tr>
        <w:trPr>
          <w:tblHeader/>
        </w:trPr>
        <w:tc>
          <w:tcPr>
            <w:tcW w:type="dxa" w:w="24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w:t>
            </w:r>
          </w:p>
        </w:tc>
        <w:tc>
          <w:tcPr>
            <w:tcW w:type="dxa" w:w="14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Domain</w:t>
            </w:r>
          </w:p>
        </w:tc>
        <w:tc>
          <w:tcPr>
            <w:tcW w:type="dxa" w:w="43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12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Coverage</w:t>
            </w:r>
          </w:p>
        </w:tc>
      </w:tr>
      <w:tr>
        <w:tc>
          <w:tcPr>
            <w:tcW w:type="dxa" w:w="24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AGE</w:t>
            </w:r>
          </w:p>
        </w:tc>
        <w:tc>
          <w:tcPr>
            <w:tcW w:type="dxa" w:w="14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Demographics</w:t>
            </w:r>
          </w:p>
        </w:tc>
        <w:tc>
          <w:tcPr>
            <w:tcW w:type="dxa" w:w="436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Age at baseline visit, derived from date of birth</w:t>
            </w:r>
          </w:p>
        </w:tc>
        <w:tc>
          <w:tcPr>
            <w:tcW w:type="dxa" w:w="12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99.9%</w:t>
            </w:r>
          </w:p>
        </w:tc>
      </w:tr>
      <w:tr>
        <w:tc>
          <w:tcPr>
            <w:tcW w:type="dxa" w:w="24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PTGENDER</w:t>
            </w:r>
          </w:p>
        </w:tc>
        <w:tc>
          <w:tcPr>
            <w:tcW w:type="dxa" w:w="14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Demographics</w:t>
            </w:r>
          </w:p>
        </w:tc>
        <w:tc>
          <w:tcPr>
            <w:tcW w:type="dxa" w:w="436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Biological sex (1=Male, 2=Female)</w:t>
            </w:r>
          </w:p>
        </w:tc>
        <w:tc>
          <w:tcPr>
            <w:tcW w:type="dxa" w:w="12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100%</w:t>
            </w:r>
          </w:p>
        </w:tc>
      </w:tr>
      <w:tr>
        <w:tc>
          <w:tcPr>
            <w:tcW w:type="dxa" w:w="24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PTEDUCAT</w:t>
            </w:r>
          </w:p>
        </w:tc>
        <w:tc>
          <w:tcPr>
            <w:tcW w:type="dxa" w:w="14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Demographics</w:t>
            </w:r>
          </w:p>
        </w:tc>
        <w:tc>
          <w:tcPr>
            <w:tcW w:type="dxa" w:w="436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Years of education — cognitive reserve proxy</w:t>
            </w:r>
          </w:p>
        </w:tc>
        <w:tc>
          <w:tcPr>
            <w:tcW w:type="dxa" w:w="12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99.9%</w:t>
            </w:r>
          </w:p>
        </w:tc>
      </w:tr>
      <w:tr>
        <w:tc>
          <w:tcPr>
            <w:tcW w:type="dxa" w:w="24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PTMARRY</w:t>
            </w:r>
          </w:p>
        </w:tc>
        <w:tc>
          <w:tcPr>
            <w:tcW w:type="dxa" w:w="14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Demographics</w:t>
            </w:r>
          </w:p>
        </w:tc>
        <w:tc>
          <w:tcPr>
            <w:tcW w:type="dxa" w:w="436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Marital status</w:t>
            </w:r>
          </w:p>
        </w:tc>
        <w:tc>
          <w:tcPr>
            <w:tcW w:type="dxa" w:w="12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99%+</w:t>
            </w:r>
          </w:p>
        </w:tc>
      </w:tr>
      <w:tr>
        <w:tc>
          <w:tcPr>
            <w:tcW w:type="dxa" w:w="24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APOE4_COUNT</w:t>
            </w:r>
          </w:p>
        </w:tc>
        <w:tc>
          <w:tcPr>
            <w:tcW w:type="dxa" w:w="14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Genetics</w:t>
            </w:r>
          </w:p>
        </w:tc>
        <w:tc>
          <w:tcPr>
            <w:tcW w:type="dxa" w:w="436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Number of APOE ε4 alleles (0, 1, or 2)</w:t>
            </w:r>
          </w:p>
        </w:tc>
        <w:tc>
          <w:tcPr>
            <w:tcW w:type="dxa" w:w="12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75.4%</w:t>
            </w:r>
          </w:p>
        </w:tc>
      </w:tr>
      <w:tr>
        <w:tc>
          <w:tcPr>
            <w:tcW w:type="dxa" w:w="24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LIMMTOTAL</w:t>
            </w:r>
          </w:p>
        </w:tc>
        <w:tc>
          <w:tcPr>
            <w:tcW w:type="dxa" w:w="14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Cognition</w:t>
            </w:r>
          </w:p>
        </w:tc>
        <w:tc>
          <w:tcPr>
            <w:tcW w:type="dxa" w:w="436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Logical Memory Immediate Recall score</w:t>
            </w:r>
          </w:p>
        </w:tc>
        <w:tc>
          <w:tcPr>
            <w:tcW w:type="dxa" w:w="12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99.6%</w:t>
            </w:r>
          </w:p>
        </w:tc>
      </w:tr>
      <w:tr>
        <w:tc>
          <w:tcPr>
            <w:tcW w:type="dxa" w:w="24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LDELTOTAL</w:t>
            </w:r>
          </w:p>
        </w:tc>
        <w:tc>
          <w:tcPr>
            <w:tcW w:type="dxa" w:w="14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Cognition</w:t>
            </w:r>
          </w:p>
        </w:tc>
        <w:tc>
          <w:tcPr>
            <w:tcW w:type="dxa" w:w="436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Logical Memory Delayed Recall score</w:t>
            </w:r>
          </w:p>
        </w:tc>
        <w:tc>
          <w:tcPr>
            <w:tcW w:type="dxa" w:w="12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99.5%</w:t>
            </w:r>
          </w:p>
        </w:tc>
      </w:tr>
      <w:tr>
        <w:tc>
          <w:tcPr>
            <w:tcW w:type="dxa" w:w="24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AVDEL30MIN</w:t>
            </w:r>
          </w:p>
        </w:tc>
        <w:tc>
          <w:tcPr>
            <w:tcW w:type="dxa" w:w="14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Cognition</w:t>
            </w:r>
          </w:p>
        </w:tc>
        <w:tc>
          <w:tcPr>
            <w:tcW w:type="dxa" w:w="436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RAVLT 30-min Delayed Recall — hippocampal integrity</w:t>
            </w:r>
          </w:p>
        </w:tc>
        <w:tc>
          <w:tcPr>
            <w:tcW w:type="dxa" w:w="12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99%+</w:t>
            </w:r>
          </w:p>
        </w:tc>
      </w:tr>
      <w:tr>
        <w:tc>
          <w:tcPr>
            <w:tcW w:type="dxa" w:w="24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AVDELTOT</w:t>
            </w:r>
          </w:p>
        </w:tc>
        <w:tc>
          <w:tcPr>
            <w:tcW w:type="dxa" w:w="14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Cognition</w:t>
            </w:r>
          </w:p>
        </w:tc>
        <w:tc>
          <w:tcPr>
            <w:tcW w:type="dxa" w:w="436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RAVLT Recognition Score — encoding efficiency</w:t>
            </w:r>
          </w:p>
        </w:tc>
        <w:tc>
          <w:tcPr>
            <w:tcW w:type="dxa" w:w="12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99%+</w:t>
            </w:r>
          </w:p>
        </w:tc>
      </w:tr>
      <w:tr>
        <w:tc>
          <w:tcPr>
            <w:tcW w:type="dxa" w:w="24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CATANIMSC</w:t>
            </w:r>
          </w:p>
        </w:tc>
        <w:tc>
          <w:tcPr>
            <w:tcW w:type="dxa" w:w="14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Cognition</w:t>
            </w:r>
          </w:p>
        </w:tc>
        <w:tc>
          <w:tcPr>
            <w:tcW w:type="dxa" w:w="436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Category Fluency Animals — semantic memory</w:t>
            </w:r>
          </w:p>
        </w:tc>
        <w:tc>
          <w:tcPr>
            <w:tcW w:type="dxa" w:w="12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99%+</w:t>
            </w:r>
          </w:p>
        </w:tc>
      </w:tr>
      <w:tr>
        <w:tc>
          <w:tcPr>
            <w:tcW w:type="dxa" w:w="24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MMSCORE</w:t>
            </w:r>
          </w:p>
        </w:tc>
        <w:tc>
          <w:tcPr>
            <w:tcW w:type="dxa" w:w="14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Cognition</w:t>
            </w:r>
          </w:p>
        </w:tc>
        <w:tc>
          <w:tcPr>
            <w:tcW w:type="dxa" w:w="436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MMSE Total Score — global cognitive status</w:t>
            </w:r>
          </w:p>
        </w:tc>
        <w:tc>
          <w:tcPr>
            <w:tcW w:type="dxa" w:w="12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99%+</w:t>
            </w:r>
          </w:p>
        </w:tc>
      </w:tr>
      <w:tr>
        <w:tc>
          <w:tcPr>
            <w:tcW w:type="dxa" w:w="24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CDRSB</w:t>
            </w:r>
          </w:p>
        </w:tc>
        <w:tc>
          <w:tcPr>
            <w:tcW w:type="dxa" w:w="14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Cognition</w:t>
            </w:r>
          </w:p>
        </w:tc>
        <w:tc>
          <w:tcPr>
            <w:tcW w:type="dxa" w:w="436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CDR Sum of Boxes — functional impairment</w:t>
            </w:r>
          </w:p>
        </w:tc>
        <w:tc>
          <w:tcPr>
            <w:tcW w:type="dxa" w:w="12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99%+</w:t>
            </w:r>
          </w:p>
        </w:tc>
      </w:tr>
      <w:tr>
        <w:tc>
          <w:tcPr>
            <w:tcW w:type="dxa" w:w="24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FAQTOTAL</w:t>
            </w:r>
          </w:p>
        </w:tc>
        <w:tc>
          <w:tcPr>
            <w:tcW w:type="dxa" w:w="14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Cognition</w:t>
            </w:r>
          </w:p>
        </w:tc>
        <w:tc>
          <w:tcPr>
            <w:tcW w:type="dxa" w:w="436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Functional Activities Questionnaire Total</w:t>
            </w:r>
          </w:p>
        </w:tc>
        <w:tc>
          <w:tcPr>
            <w:tcW w:type="dxa" w:w="12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99%+</w:t>
            </w:r>
          </w:p>
        </w:tc>
      </w:tr>
      <w:tr>
        <w:tc>
          <w:tcPr>
            <w:tcW w:type="dxa" w:w="24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TOTSCORE</w:t>
            </w:r>
          </w:p>
        </w:tc>
        <w:tc>
          <w:tcPr>
            <w:tcW w:type="dxa" w:w="14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Cognition</w:t>
            </w:r>
          </w:p>
        </w:tc>
        <w:tc>
          <w:tcPr>
            <w:tcW w:type="dxa" w:w="436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ADAS-Cog 70-point score</w:t>
            </w:r>
          </w:p>
        </w:tc>
        <w:tc>
          <w:tcPr>
            <w:tcW w:type="dxa" w:w="12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99%+</w:t>
            </w:r>
          </w:p>
        </w:tc>
      </w:tr>
      <w:tr>
        <w:tc>
          <w:tcPr>
            <w:tcW w:type="dxa" w:w="24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TOTAL13</w:t>
            </w:r>
          </w:p>
        </w:tc>
        <w:tc>
          <w:tcPr>
            <w:tcW w:type="dxa" w:w="14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Cognition</w:t>
            </w:r>
          </w:p>
        </w:tc>
        <w:tc>
          <w:tcPr>
            <w:tcW w:type="dxa" w:w="436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ADAS-Cog 85-point score</w:t>
            </w:r>
          </w:p>
        </w:tc>
        <w:tc>
          <w:tcPr>
            <w:tcW w:type="dxa" w:w="12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99%+</w:t>
            </w:r>
          </w:p>
        </w:tc>
      </w:tr>
      <w:tr>
        <w:tc>
          <w:tcPr>
            <w:tcW w:type="dxa" w:w="24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RAVLT_AVERAGE</w:t>
            </w:r>
          </w:p>
        </w:tc>
        <w:tc>
          <w:tcPr>
            <w:tcW w:type="dxa" w:w="14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Cognition</w:t>
            </w:r>
          </w:p>
        </w:tc>
        <w:tc>
          <w:tcPr>
            <w:tcW w:type="dxa" w:w="436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Average across RAVLT trials 1–5</w:t>
            </w:r>
          </w:p>
        </w:tc>
        <w:tc>
          <w:tcPr>
            <w:tcW w:type="dxa" w:w="12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99%+</w:t>
            </w:r>
          </w:p>
        </w:tc>
      </w:tr>
      <w:tr>
        <w:tc>
          <w:tcPr>
            <w:tcW w:type="dxa" w:w="24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BRAINVOL</w:t>
            </w:r>
          </w:p>
        </w:tc>
        <w:tc>
          <w:tcPr>
            <w:tcW w:type="dxa" w:w="14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MRI</w:t>
            </w:r>
          </w:p>
        </w:tc>
        <w:tc>
          <w:tcPr>
            <w:tcW w:type="dxa" w:w="436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Whole brain volume</w:t>
            </w:r>
          </w:p>
        </w:tc>
        <w:tc>
          <w:tcPr>
            <w:tcW w:type="dxa" w:w="12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16%</w:t>
            </w:r>
          </w:p>
        </w:tc>
      </w:tr>
      <w:tr>
        <w:tc>
          <w:tcPr>
            <w:tcW w:type="dxa" w:w="24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VENTVOL</w:t>
            </w:r>
          </w:p>
        </w:tc>
        <w:tc>
          <w:tcPr>
            <w:tcW w:type="dxa" w:w="14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MRI</w:t>
            </w:r>
          </w:p>
        </w:tc>
        <w:tc>
          <w:tcPr>
            <w:tcW w:type="dxa" w:w="436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Bilateral lateral ventricle volume</w:t>
            </w:r>
          </w:p>
        </w:tc>
        <w:tc>
          <w:tcPr>
            <w:tcW w:type="dxa" w:w="12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16%</w:t>
            </w:r>
          </w:p>
        </w:tc>
      </w:tr>
      <w:tr>
        <w:tc>
          <w:tcPr>
            <w:tcW w:type="dxa" w:w="24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TOTAL_HIPPO</w:t>
            </w:r>
          </w:p>
        </w:tc>
        <w:tc>
          <w:tcPr>
            <w:tcW w:type="dxa" w:w="14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MRI</w:t>
            </w:r>
          </w:p>
        </w:tc>
        <w:tc>
          <w:tcPr>
            <w:tcW w:type="dxa" w:w="436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Total hippocampal volume — key AD biomarker</w:t>
            </w:r>
          </w:p>
        </w:tc>
        <w:tc>
          <w:tcPr>
            <w:tcW w:type="dxa" w:w="12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16%</w:t>
            </w:r>
          </w:p>
        </w:tc>
      </w:tr>
    </w:tbl>
    <w:p>
      <w:pPr>
        <w:spacing w:after="160" w:before="0"/>
      </w:pPr>
      <w:r>
        <w:t xml:space="preserve"/>
      </w:r>
    </w:p>
    <w:p>
      <w:pPr>
        <w:pStyle w:val="Heading2"/>
        <w:spacing w:after="120" w:before="280"/>
      </w:pPr>
      <w:r>
        <w:rPr>
          <w:rFonts w:ascii="Arial" w:cs="Arial" w:eastAsia="Arial" w:hAnsi="Arial"/>
          <w:b/>
          <w:bCs/>
          <w:color w:val="2E75B6"/>
          <w:sz w:val="26"/>
          <w:szCs w:val="26"/>
        </w:rPr>
        <w:t xml:space="preserve">4.6  Missing Data Strategy</w:t>
      </w:r>
    </w:p>
    <w:p>
      <w:pPr>
        <w:spacing w:after="120" w:before="60" w:line="280"/>
        <w:jc w:val="both"/>
      </w:pPr>
      <w:r>
        <w:rPr>
          <w:rFonts w:ascii="Arial" w:cs="Arial" w:eastAsia="Arial" w:hAnsi="Arial"/>
          <w:color w:val="222222"/>
          <w:sz w:val="22"/>
          <w:szCs w:val="22"/>
        </w:rPr>
        <w:t xml:space="preserve">Missing data was handled differently depending on the nature of each feature. For non-imaging features (cognitive tests, demographics, and APOE4), Multiple Imputation by Chained Equations (MICE) was applied using scikit-learn's IterativeImputer with 10 iterations. MICE is preferred over simpler strategies because it models each feature's missing values using all other features, preserving correlation structure rather than introducing bias toward the mean.</w:t>
      </w:r>
    </w:p>
    <w:p>
      <w:pPr>
        <w:spacing w:after="80" w:before="0"/>
      </w:pPr>
      <w:r>
        <w:t xml:space="preserve"/>
      </w:r>
    </w:p>
    <w:p>
      <w:pPr>
        <w:spacing w:after="120" w:before="60" w:line="280"/>
        <w:jc w:val="both"/>
      </w:pPr>
      <w:r>
        <w:rPr>
          <w:rFonts w:ascii="Arial" w:cs="Arial" w:eastAsia="Arial" w:hAnsi="Arial"/>
          <w:color w:val="222222"/>
          <w:sz w:val="22"/>
          <w:szCs w:val="22"/>
        </w:rPr>
        <w:t xml:space="preserve">For imaging features — brain volumes and CENTILOIDS — deliberate non-imputation was applied. These features are missing because scans were simply not collected for those participants. Imputing them would fabricate imaging biomarkers for patients who never underwent MRI or PET scanning, which would be clinically misleading. These features remain as NaN for participants without imaging data, and the modelling strategy accounts for this through separate model variants.</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4.7  Key Preprocessing Steps</w:t>
      </w:r>
    </w:p>
    <w:p>
      <w:pPr>
        <w:pStyle w:val="ListParagraph"/>
        <w:numPr>
          <w:ilvl w:val="0"/>
          <w:numId w:val="2"/>
        </w:numPr>
        <w:spacing w:after="60" w:before="40"/>
      </w:pPr>
      <w:r>
        <w:rPr>
          <w:rFonts w:ascii="Arial" w:cs="Arial" w:eastAsia="Arial" w:hAnsi="Arial"/>
          <w:b/>
          <w:bCs/>
          <w:color w:val="2E75B6"/>
          <w:sz w:val="22"/>
          <w:szCs w:val="22"/>
        </w:rPr>
        <w:t xml:space="preserve">Visit alignment: </w:t>
      </w:r>
      <w:r>
        <w:rPr>
          <w:rFonts w:ascii="Arial" w:cs="Arial" w:eastAsia="Arial" w:hAnsi="Arial"/>
          <w:color w:val="222222"/>
          <w:sz w:val="22"/>
          <w:szCs w:val="22"/>
        </w:rPr>
        <w:t xml:space="preserve">VISCODE standardisation — All visit codes across ADNI phases mapped to a unified numeric MONTH field representing months since baseline.</w:t>
      </w:r>
    </w:p>
    <w:p>
      <w:pPr>
        <w:pStyle w:val="ListParagraph"/>
        <w:numPr>
          <w:ilvl w:val="0"/>
          <w:numId w:val="2"/>
        </w:numPr>
        <w:spacing w:after="60" w:before="40"/>
      </w:pPr>
      <w:r>
        <w:rPr>
          <w:rFonts w:ascii="Arial" w:cs="Arial" w:eastAsia="Arial" w:hAnsi="Arial"/>
          <w:b/>
          <w:bCs/>
          <w:color w:val="2E75B6"/>
          <w:sz w:val="22"/>
          <w:szCs w:val="22"/>
        </w:rPr>
        <w:t xml:space="preserve">Temporal merging: </w:t>
      </w:r>
      <w:r>
        <w:rPr>
          <w:rFonts w:ascii="Arial" w:cs="Arial" w:eastAsia="Arial" w:hAnsi="Arial"/>
          <w:color w:val="222222"/>
          <w:sz w:val="22"/>
          <w:szCs w:val="22"/>
        </w:rPr>
        <w:t xml:space="preserve">Nearest-neighbour temporal merge — MRI and PET scans matched to clinical visits within a 6-month tolerance window, maximising imaging data utilisation.</w:t>
      </w:r>
    </w:p>
    <w:p>
      <w:pPr>
        <w:pStyle w:val="ListParagraph"/>
        <w:numPr>
          <w:ilvl w:val="0"/>
          <w:numId w:val="2"/>
        </w:numPr>
        <w:spacing w:after="60" w:before="40"/>
      </w:pPr>
      <w:r>
        <w:rPr>
          <w:rFonts w:ascii="Arial" w:cs="Arial" w:eastAsia="Arial" w:hAnsi="Arial"/>
          <w:b/>
          <w:bCs/>
          <w:color w:val="2E75B6"/>
          <w:sz w:val="22"/>
          <w:szCs w:val="22"/>
        </w:rPr>
        <w:t xml:space="preserve">Quality control: </w:t>
      </w:r>
      <w:r>
        <w:rPr>
          <w:rFonts w:ascii="Arial" w:cs="Arial" w:eastAsia="Arial" w:hAnsi="Arial"/>
          <w:color w:val="222222"/>
          <w:sz w:val="22"/>
          <w:szCs w:val="22"/>
        </w:rPr>
        <w:t xml:space="preserve">Smart MRI QC filter — 'Pass' and region-specific 'Partial' scans retained; only outright 'Fail' scans excluded to minimise data loss.</w:t>
      </w:r>
    </w:p>
    <w:p>
      <w:pPr>
        <w:pStyle w:val="ListParagraph"/>
        <w:numPr>
          <w:ilvl w:val="0"/>
          <w:numId w:val="2"/>
        </w:numPr>
        <w:spacing w:after="60" w:before="40"/>
      </w:pPr>
      <w:r>
        <w:rPr>
          <w:rFonts w:ascii="Arial" w:cs="Arial" w:eastAsia="Arial" w:hAnsi="Arial"/>
          <w:b/>
          <w:bCs/>
          <w:color w:val="2E75B6"/>
          <w:sz w:val="22"/>
          <w:szCs w:val="22"/>
        </w:rPr>
        <w:t xml:space="preserve">Volume normalisation: </w:t>
      </w:r>
      <w:r>
        <w:rPr>
          <w:rFonts w:ascii="Arial" w:cs="Arial" w:eastAsia="Arial" w:hAnsi="Arial"/>
          <w:color w:val="222222"/>
          <w:sz w:val="22"/>
          <w:szCs w:val="22"/>
        </w:rPr>
        <w:t xml:space="preserve">ICV normalisation — All MRI volumes normalised by intracranial volume to remove the brain size confound.</w:t>
      </w:r>
    </w:p>
    <w:p>
      <w:pPr>
        <w:pStyle w:val="ListParagraph"/>
        <w:numPr>
          <w:ilvl w:val="0"/>
          <w:numId w:val="2"/>
        </w:numPr>
        <w:spacing w:after="60" w:before="40"/>
      </w:pPr>
      <w:r>
        <w:rPr>
          <w:rFonts w:ascii="Arial" w:cs="Arial" w:eastAsia="Arial" w:hAnsi="Arial"/>
          <w:b/>
          <w:bCs/>
          <w:color w:val="2E75B6"/>
          <w:sz w:val="22"/>
          <w:szCs w:val="22"/>
        </w:rPr>
        <w:t xml:space="preserve">Genetic encoding: </w:t>
      </w:r>
      <w:r>
        <w:rPr>
          <w:rFonts w:ascii="Arial" w:cs="Arial" w:eastAsia="Arial" w:hAnsi="Arial"/>
          <w:color w:val="222222"/>
          <w:sz w:val="22"/>
          <w:szCs w:val="22"/>
        </w:rPr>
        <w:t xml:space="preserve">APOE4_COUNT engineering — Raw genotype strings (e.g., '3/4') converted to integer allele counts (0, 1, or 2).</w:t>
      </w:r>
    </w:p>
    <w:p>
      <w:pPr>
        <w:pStyle w:val="ListParagraph"/>
        <w:numPr>
          <w:ilvl w:val="0"/>
          <w:numId w:val="2"/>
        </w:numPr>
        <w:spacing w:after="60" w:before="40"/>
      </w:pPr>
      <w:r>
        <w:rPr>
          <w:rFonts w:ascii="Arial" w:cs="Arial" w:eastAsia="Arial" w:hAnsi="Arial"/>
          <w:b/>
          <w:bCs/>
          <w:color w:val="2E75B6"/>
          <w:sz w:val="22"/>
          <w:szCs w:val="22"/>
        </w:rPr>
        <w:t xml:space="preserve">Age derivation: </w:t>
      </w:r>
      <w:r>
        <w:rPr>
          <w:rFonts w:ascii="Arial" w:cs="Arial" w:eastAsia="Arial" w:hAnsi="Arial"/>
          <w:color w:val="222222"/>
          <w:sz w:val="22"/>
          <w:szCs w:val="22"/>
        </w:rPr>
        <w:t xml:space="preserve">AGE engineering — Derived precisely from date of birth and visit date; raw date columns subsequently dropped.</w:t>
      </w:r>
    </w:p>
    <w:p>
      <w:pPr>
        <w:pStyle w:val="ListParagraph"/>
        <w:numPr>
          <w:ilvl w:val="0"/>
          <w:numId w:val="2"/>
        </w:numPr>
        <w:spacing w:after="60" w:before="40"/>
      </w:pPr>
      <w:r>
        <w:rPr>
          <w:rFonts w:ascii="Arial" w:cs="Arial" w:eastAsia="Arial" w:hAnsi="Arial"/>
          <w:b/>
          <w:bCs/>
          <w:color w:val="2E75B6"/>
          <w:sz w:val="22"/>
          <w:szCs w:val="22"/>
        </w:rPr>
        <w:t xml:space="preserve">Feature engineering: </w:t>
      </w:r>
      <w:r>
        <w:rPr>
          <w:rFonts w:ascii="Arial" w:cs="Arial" w:eastAsia="Arial" w:hAnsi="Arial"/>
          <w:color w:val="222222"/>
          <w:sz w:val="22"/>
          <w:szCs w:val="22"/>
        </w:rPr>
        <w:t xml:space="preserve">RAVLT_AVERAGE computed — Average across RAVLT trials 1–5 to capture overall verbal learning trajectory.</w:t>
      </w:r>
    </w:p>
    <w:p>
      <w:pPr>
        <w:spacing w:after="160" w:before="0"/>
      </w:pPr>
      <w:r>
        <w:t xml:space="preserve"/>
      </w:r>
    </w:p>
    <w:p>
      <w:r>
        <w:br w:type="page"/>
      </w:r>
    </w:p>
    <w:p>
      <w:pPr>
        <w:pStyle w:val="Heading1"/>
        <w:pBdr>
          <w:bottom w:val="single" w:color="2E75B6" w:sz="4" w:space="4"/>
        </w:pBdr>
        <w:spacing w:after="180" w:before="360"/>
      </w:pPr>
      <w:r>
        <w:rPr>
          <w:rFonts w:ascii="Arial" w:cs="Arial" w:eastAsia="Arial" w:hAnsi="Arial"/>
          <w:b/>
          <w:bCs/>
          <w:color w:val="1F4E79"/>
          <w:sz w:val="32"/>
          <w:szCs w:val="32"/>
        </w:rPr>
        <w:t xml:space="preserve">5.  Methodology</w:t>
      </w:r>
    </w:p>
    <w:p>
      <w:pPr>
        <w:pStyle w:val="Heading2"/>
        <w:spacing w:after="120" w:before="280"/>
      </w:pPr>
      <w:r>
        <w:rPr>
          <w:rFonts w:ascii="Arial" w:cs="Arial" w:eastAsia="Arial" w:hAnsi="Arial"/>
          <w:b/>
          <w:bCs/>
          <w:color w:val="2E75B6"/>
          <w:sz w:val="26"/>
          <w:szCs w:val="26"/>
        </w:rPr>
        <w:t xml:space="preserve">5.1  Handling Class Imbalance</w:t>
      </w:r>
    </w:p>
    <w:p>
      <w:pPr>
        <w:spacing w:after="120" w:before="60" w:line="280"/>
        <w:jc w:val="both"/>
      </w:pPr>
      <w:r>
        <w:rPr>
          <w:rFonts w:ascii="Arial" w:cs="Arial" w:eastAsia="Arial" w:hAnsi="Arial"/>
          <w:color w:val="222222"/>
          <w:sz w:val="22"/>
          <w:szCs w:val="22"/>
        </w:rPr>
        <w:t xml:space="preserve">The 90.2% / 9.8% class split is severe enough that a model predicting 'non-progressor' for every patient would achieve 90% accuracy — yet be clinically worthless. Two complementary strategies were employed:</w:t>
      </w:r>
    </w:p>
    <w:p>
      <w:pPr>
        <w:spacing w:after="80" w:before="0"/>
      </w:pPr>
      <w:r>
        <w:t xml:space="preserve"/>
      </w:r>
    </w:p>
    <w:p>
      <w:pPr>
        <w:pStyle w:val="ListParagraph"/>
        <w:numPr>
          <w:ilvl w:val="0"/>
          <w:numId w:val="2"/>
        </w:numPr>
        <w:spacing w:after="60" w:before="40"/>
      </w:pPr>
      <w:r>
        <w:rPr>
          <w:rFonts w:ascii="Arial" w:cs="Arial" w:eastAsia="Arial" w:hAnsi="Arial"/>
          <w:b/>
          <w:bCs/>
          <w:color w:val="2E75B6"/>
          <w:sz w:val="22"/>
          <w:szCs w:val="22"/>
        </w:rPr>
        <w:t xml:space="preserve">Class weighting: </w:t>
      </w:r>
      <w:r>
        <w:rPr>
          <w:rFonts w:ascii="Arial" w:cs="Arial" w:eastAsia="Arial" w:hAnsi="Arial"/>
          <w:color w:val="222222"/>
          <w:sz w:val="22"/>
          <w:szCs w:val="22"/>
        </w:rPr>
        <w:t xml:space="preserve">Class weighting (class_weight='balanced') — Applied to Logistic Regression, SVM, and MLP. Penalises the model more heavily for misclassifying the minority class (progressors), effectively rebalancing the loss function without altering the data distribution.</w:t>
      </w:r>
    </w:p>
    <w:p>
      <w:pPr>
        <w:pStyle w:val="ListParagraph"/>
        <w:numPr>
          <w:ilvl w:val="0"/>
          <w:numId w:val="2"/>
        </w:numPr>
        <w:spacing w:after="60" w:before="40"/>
      </w:pPr>
      <w:r>
        <w:rPr>
          <w:rFonts w:ascii="Arial" w:cs="Arial" w:eastAsia="Arial" w:hAnsi="Arial"/>
          <w:b/>
          <w:bCs/>
          <w:color w:val="2E75B6"/>
          <w:sz w:val="22"/>
          <w:szCs w:val="22"/>
        </w:rPr>
        <w:t xml:space="preserve">SMOTE: </w:t>
      </w:r>
      <w:r>
        <w:rPr>
          <w:rFonts w:ascii="Arial" w:cs="Arial" w:eastAsia="Arial" w:hAnsi="Arial"/>
          <w:color w:val="222222"/>
          <w:sz w:val="22"/>
          <w:szCs w:val="22"/>
        </w:rPr>
        <w:t xml:space="preserve">SMOTE (Synthetic Minority Over-sampling Technique) — Applied to Random Forest and XGBoost. Generates synthetic minority-class samples in feature space to bring the training distribution closer to balance, enabling tree-based models to learn minority-class boundaries more effectively.</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5.2  Evaluation Framework</w:t>
      </w:r>
    </w:p>
    <w:p>
      <w:pPr>
        <w:spacing w:after="120" w:before="60" w:line="280"/>
        <w:jc w:val="both"/>
      </w:pPr>
      <w:r>
        <w:rPr>
          <w:rFonts w:ascii="Arial" w:cs="Arial" w:eastAsia="Arial" w:hAnsi="Arial"/>
          <w:color w:val="222222"/>
          <w:sz w:val="22"/>
          <w:szCs w:val="22"/>
        </w:rPr>
        <w:t xml:space="preserve">All models were evaluated using 5-fold Stratified Cross-Validation, which ensures each fold contains approximately the same proportion of progressors as the full dataset — critical given the class imbalance. The stratified split was applied consistently across all models to allow fair comparison.</w:t>
      </w:r>
    </w:p>
    <w:p>
      <w:pPr>
        <w:spacing w:after="80" w:before="0"/>
      </w:pPr>
      <w:r>
        <w:t xml:space="preserve"/>
      </w:r>
    </w:p>
    <w:p>
      <w:pPr>
        <w:spacing w:after="120" w:before="60" w:line="280"/>
        <w:jc w:val="both"/>
      </w:pPr>
      <w:r>
        <w:rPr>
          <w:rFonts w:ascii="Arial" w:cs="Arial" w:eastAsia="Arial" w:hAnsi="Arial"/>
          <w:color w:val="222222"/>
          <w:sz w:val="22"/>
          <w:szCs w:val="22"/>
        </w:rPr>
        <w:t xml:space="preserve">Primary evaluation metrics were AUC-ROC (Area Under the Receiver Operating Characteristic Curve) and F1-Score, both of which are robust to class imbalance. Secondary metrics reported include Precision, Recall, Accuracy, and PR-AUC (Precision-Recall Area Under Curve). Custom probability thresholds were tuned per model to optimise the precision-recall trade-off for the clinical context.</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5.3  Model Hyperparameters</w:t>
      </w:r>
    </w:p>
    <w:p>
      <w:pPr>
        <w:spacing w:after="120" w:before="60" w:line="280"/>
        <w:jc w:val="both"/>
      </w:pPr>
      <w:r>
        <w:rPr>
          <w:rFonts w:ascii="Arial" w:cs="Arial" w:eastAsia="Arial" w:hAnsi="Arial"/>
          <w:color w:val="222222"/>
          <w:sz w:val="22"/>
          <w:szCs w:val="22"/>
        </w:rPr>
        <w:t xml:space="preserve">Each model was tuned using grid or randomised search with cross-validation. The final hyperparameter configurations were: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Model</w:t>
            </w:r>
          </w:p>
        </w:tc>
        <w:tc>
          <w:tcPr>
            <w:tcW w:type="dxa" w:w="45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Hyperparameters</w:t>
            </w:r>
          </w:p>
        </w:tc>
        <w:tc>
          <w:tcPr>
            <w:tcW w:type="dxa" w:w="24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Threshold</w:t>
            </w:r>
          </w:p>
        </w:tc>
      </w:tr>
      <w:tr>
        <w:tc>
          <w:tcPr>
            <w:tcW w:type="dxa" w:w="24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Logistic Regression</w:t>
            </w:r>
          </w:p>
        </w:tc>
        <w:tc>
          <w:tcPr>
            <w:tcW w:type="dxa" w:w="456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penalty=L1, C=0.577, class_weight=balanced, solver=saga</w:t>
            </w:r>
          </w:p>
        </w:tc>
        <w:tc>
          <w:tcPr>
            <w:tcW w:type="dxa" w:w="24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Default (0.5)</w:t>
            </w:r>
          </w:p>
        </w:tc>
      </w:tr>
      <w:tr>
        <w:tc>
          <w:tcPr>
            <w:tcW w:type="dxa" w:w="24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SVM</w:t>
            </w:r>
          </w:p>
        </w:tc>
        <w:tc>
          <w:tcPr>
            <w:tcW w:type="dxa" w:w="456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kernel=linear, C=3, class_weight=balanced, probability=True</w:t>
            </w:r>
          </w:p>
        </w:tc>
        <w:tc>
          <w:tcPr>
            <w:tcW w:type="dxa" w:w="24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0.25</w:t>
            </w:r>
          </w:p>
        </w:tc>
      </w:tr>
      <w:tr>
        <w:tc>
          <w:tcPr>
            <w:tcW w:type="dxa" w:w="24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Random Forest</w:t>
            </w:r>
          </w:p>
        </w:tc>
        <w:tc>
          <w:tcPr>
            <w:tcW w:type="dxa" w:w="456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Tuned n_estimators, max_depth; SMOTE applied</w:t>
            </w:r>
          </w:p>
        </w:tc>
        <w:tc>
          <w:tcPr>
            <w:tcW w:type="dxa" w:w="24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Custom</w:t>
            </w:r>
          </w:p>
        </w:tc>
      </w:tr>
      <w:tr>
        <w:tc>
          <w:tcPr>
            <w:tcW w:type="dxa" w:w="24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XGBoost</w:t>
            </w:r>
          </w:p>
        </w:tc>
        <w:tc>
          <w:tcPr>
            <w:tcW w:type="dxa" w:w="456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scale_pos_weight tuned; learning_rate, max_depth, n_estimators</w:t>
            </w:r>
          </w:p>
        </w:tc>
        <w:tc>
          <w:tcPr>
            <w:tcW w:type="dxa" w:w="24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0.55</w:t>
            </w:r>
          </w:p>
        </w:tc>
      </w:tr>
      <w:tr>
        <w:tc>
          <w:tcPr>
            <w:tcW w:type="dxa" w:w="24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MLP Neural Network</w:t>
            </w:r>
          </w:p>
        </w:tc>
        <w:tc>
          <w:tcPr>
            <w:tcW w:type="dxa" w:w="456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3 hidden layers, dropout regularisation, EarlyStopping, batch_size=8</w:t>
            </w:r>
          </w:p>
        </w:tc>
        <w:tc>
          <w:tcPr>
            <w:tcW w:type="dxa" w:w="24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0.5</w:t>
            </w:r>
          </w:p>
        </w:tc>
      </w:tr>
    </w:tbl>
    <w:p>
      <w:pPr>
        <w:spacing w:after="80" w:before="0"/>
      </w:pPr>
      <w:r>
        <w:t xml:space="preserve"/>
      </w:r>
    </w:p>
    <w:p>
      <w:pPr>
        <w:spacing w:after="120" w:before="60" w:line="280"/>
        <w:jc w:val="both"/>
      </w:pPr>
      <w:r>
        <w:rPr>
          <w:rFonts w:ascii="Arial" w:cs="Arial" w:eastAsia="Arial" w:hAnsi="Arial"/>
          <w:color w:val="222222"/>
          <w:sz w:val="22"/>
          <w:szCs w:val="22"/>
        </w:rPr>
        <w:t xml:space="preserve">The SVM threshold of 0.25 (lower than the default 0.5) prioritises recall — clinically important because missing a true progressor (false negative) has graver consequences than a false alarm. The XGBoost threshold of 0.55 slightly biases toward precision, balancing false alarm rate at the cost of some recall.</w:t>
      </w:r>
    </w:p>
    <w:p>
      <w:pPr>
        <w:spacing w:after="160" w:before="0"/>
      </w:pPr>
      <w:r>
        <w:t xml:space="preserve"/>
      </w:r>
    </w:p>
    <w:p>
      <w:pPr>
        <w:pStyle w:val="Heading1"/>
        <w:pBdr>
          <w:bottom w:val="single" w:color="2E75B6" w:sz="4" w:space="4"/>
        </w:pBdr>
        <w:spacing w:after="180" w:before="360"/>
      </w:pPr>
      <w:r>
        <w:rPr>
          <w:rFonts w:ascii="Arial" w:cs="Arial" w:eastAsia="Arial" w:hAnsi="Arial"/>
          <w:b/>
          <w:bCs/>
          <w:color w:val="1F4E79"/>
          <w:sz w:val="32"/>
          <w:szCs w:val="32"/>
        </w:rPr>
        <w:t xml:space="preserve">6.  Results</w:t>
      </w:r>
    </w:p>
    <w:p>
      <w:pPr>
        <w:pStyle w:val="Heading2"/>
        <w:spacing w:after="120" w:before="280"/>
      </w:pPr>
      <w:r>
        <w:rPr>
          <w:rFonts w:ascii="Arial" w:cs="Arial" w:eastAsia="Arial" w:hAnsi="Arial"/>
          <w:b/>
          <w:bCs/>
          <w:color w:val="2E75B6"/>
          <w:sz w:val="26"/>
          <w:szCs w:val="26"/>
        </w:rPr>
        <w:t xml:space="preserve">6.1  Model Performance Summary</w:t>
      </w:r>
    </w:p>
    <w:p>
      <w:pPr>
        <w:spacing w:after="120" w:before="60" w:line="280"/>
        <w:jc w:val="both"/>
      </w:pPr>
      <w:r>
        <w:rPr>
          <w:rFonts w:ascii="Arial" w:cs="Arial" w:eastAsia="Arial" w:hAnsi="Arial"/>
          <w:color w:val="222222"/>
          <w:sz w:val="22"/>
          <w:szCs w:val="22"/>
        </w:rPr>
        <w:t xml:space="preserve">All five models were evaluated under identical preprocessing conditions and the same 5-fold stratified cross-validation framework. Performance figures below represent cross-validation means across all five folds.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3"/>
        <w:gridCol w:w="1433"/>
        <w:gridCol w:w="1433"/>
        <w:gridCol w:w="1433"/>
        <w:gridCol w:w="1428"/>
      </w:tblGrid>
      <w:tr>
        <w:trPr>
          <w:tblHeader/>
        </w:trPr>
        <w:tc>
          <w:tcPr>
            <w:tcW w:type="dxa" w:w="22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Model</w:t>
            </w:r>
          </w:p>
        </w:tc>
        <w:tc>
          <w:tcPr>
            <w:tcW w:type="dxa" w:w="1433"/>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AUC-ROC</w:t>
            </w:r>
          </w:p>
        </w:tc>
        <w:tc>
          <w:tcPr>
            <w:tcW w:type="dxa" w:w="1433"/>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F1-Score</w:t>
            </w:r>
          </w:p>
        </w:tc>
        <w:tc>
          <w:tcPr>
            <w:tcW w:type="dxa" w:w="1433"/>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Recall</w:t>
            </w:r>
          </w:p>
        </w:tc>
        <w:tc>
          <w:tcPr>
            <w:tcW w:type="dxa" w:w="1433"/>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Precision</w:t>
            </w:r>
          </w:p>
        </w:tc>
        <w:tc>
          <w:tcPr>
            <w:tcW w:type="dxa" w:w="1428"/>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PR-AUC</w:t>
            </w:r>
          </w:p>
        </w:tc>
      </w:tr>
      <w:tr>
        <w:tc>
          <w:tcPr>
            <w:tcW w:type="dxa" w:w="22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Logistic Regression</w:t>
            </w:r>
          </w:p>
        </w:tc>
        <w:tc>
          <w:tcPr>
            <w:tcW w:type="dxa" w:w="1433"/>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~0.76</w:t>
            </w:r>
          </w:p>
        </w:tc>
        <w:tc>
          <w:tcPr>
            <w:tcW w:type="dxa" w:w="1433"/>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~0.40</w:t>
            </w:r>
          </w:p>
        </w:tc>
        <w:tc>
          <w:tcPr>
            <w:tcW w:type="dxa" w:w="1433"/>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~0.70</w:t>
            </w:r>
          </w:p>
        </w:tc>
        <w:tc>
          <w:tcPr>
            <w:tcW w:type="dxa" w:w="1433"/>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~0.28</w:t>
            </w:r>
          </w:p>
        </w:tc>
        <w:tc>
          <w:tcPr>
            <w:tcW w:type="dxa" w:w="1428"/>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~0.30</w:t>
            </w:r>
          </w:p>
        </w:tc>
      </w:tr>
      <w:tr>
        <w:tc>
          <w:tcPr>
            <w:tcW w:type="dxa" w:w="22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SVM (linear, C=3)</w:t>
            </w:r>
          </w:p>
        </w:tc>
        <w:tc>
          <w:tcPr>
            <w:tcW w:type="dxa" w:w="1433"/>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~0.79</w:t>
            </w:r>
          </w:p>
        </w:tc>
        <w:tc>
          <w:tcPr>
            <w:tcW w:type="dxa" w:w="1433"/>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~0.48</w:t>
            </w:r>
          </w:p>
        </w:tc>
        <w:tc>
          <w:tcPr>
            <w:tcW w:type="dxa" w:w="1433"/>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~0.78</w:t>
            </w:r>
          </w:p>
        </w:tc>
        <w:tc>
          <w:tcPr>
            <w:tcW w:type="dxa" w:w="1433"/>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~0.35</w:t>
            </w:r>
          </w:p>
        </w:tc>
        <w:tc>
          <w:tcPr>
            <w:tcW w:type="dxa" w:w="1428"/>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~0.34</w:t>
            </w:r>
          </w:p>
        </w:tc>
      </w:tr>
      <w:tr>
        <w:tc>
          <w:tcPr>
            <w:tcW w:type="dxa" w:w="22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Random Forest</w:t>
            </w:r>
          </w:p>
        </w:tc>
        <w:tc>
          <w:tcPr>
            <w:tcW w:type="dxa" w:w="1433"/>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~0.82</w:t>
            </w:r>
          </w:p>
        </w:tc>
        <w:tc>
          <w:tcPr>
            <w:tcW w:type="dxa" w:w="1433"/>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~0.46</w:t>
            </w:r>
          </w:p>
        </w:tc>
        <w:tc>
          <w:tcPr>
            <w:tcW w:type="dxa" w:w="1433"/>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~0.65</w:t>
            </w:r>
          </w:p>
        </w:tc>
        <w:tc>
          <w:tcPr>
            <w:tcW w:type="dxa" w:w="1433"/>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~0.37</w:t>
            </w:r>
          </w:p>
        </w:tc>
        <w:tc>
          <w:tcPr>
            <w:tcW w:type="dxa" w:w="1428"/>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~0.37</w:t>
            </w:r>
          </w:p>
        </w:tc>
      </w:tr>
      <w:tr>
        <w:tc>
          <w:tcPr>
            <w:tcW w:type="dxa" w:w="2200"/>
            <w:tcBorders>
              <w:top w:val="single" w:color="FFFFFF" w:sz="1"/>
              <w:left w:val="single" w:color="FFFFFF" w:sz="1"/>
              <w:bottom w:val="single" w:color="FFFFFF" w:sz="1"/>
              <w:right w:val="single" w:color="FFFFFF" w:sz="1"/>
            </w:tcBorders>
            <w:shd w:fill="E2EFDA" w:val="clear"/>
            <w:tcMar>
              <w:top w:type="dxa" w:w="80"/>
              <w:left w:type="dxa" w:w="140"/>
              <w:bottom w:type="dxa" w:w="80"/>
              <w:right w:type="dxa" w:w="140"/>
            </w:tcMar>
            <w:vAlign w:val="center"/>
          </w:tcPr>
          <w:p>
            <w:pPr>
              <w:jc w:val="left"/>
            </w:pPr>
            <w:r>
              <w:rPr>
                <w:rFonts w:ascii="Arial" w:cs="Arial" w:eastAsia="Arial" w:hAnsi="Arial"/>
                <w:b/>
                <w:bCs/>
                <w:color w:val="375623"/>
                <w:sz w:val="20"/>
                <w:szCs w:val="20"/>
              </w:rPr>
              <w:t xml:space="preserve">XGBoost ★ Best</w:t>
            </w:r>
          </w:p>
        </w:tc>
        <w:tc>
          <w:tcPr>
            <w:tcW w:type="dxa" w:w="1433"/>
            <w:tcBorders>
              <w:top w:val="single" w:color="FFFFFF" w:sz="1"/>
              <w:left w:val="single" w:color="FFFFFF" w:sz="1"/>
              <w:bottom w:val="single" w:color="FFFFFF" w:sz="1"/>
              <w:right w:val="single" w:color="FFFFFF" w:sz="1"/>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20"/>
                <w:szCs w:val="20"/>
              </w:rPr>
              <w:t xml:space="preserve">~0.85</w:t>
            </w:r>
          </w:p>
        </w:tc>
        <w:tc>
          <w:tcPr>
            <w:tcW w:type="dxa" w:w="1433"/>
            <w:tcBorders>
              <w:top w:val="single" w:color="FFFFFF" w:sz="1"/>
              <w:left w:val="single" w:color="FFFFFF" w:sz="1"/>
              <w:bottom w:val="single" w:color="FFFFFF" w:sz="1"/>
              <w:right w:val="single" w:color="FFFFFF" w:sz="1"/>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20"/>
                <w:szCs w:val="20"/>
              </w:rPr>
              <w:t xml:space="preserve">~0.50</w:t>
            </w:r>
          </w:p>
        </w:tc>
        <w:tc>
          <w:tcPr>
            <w:tcW w:type="dxa" w:w="1433"/>
            <w:tcBorders>
              <w:top w:val="single" w:color="FFFFFF" w:sz="1"/>
              <w:left w:val="single" w:color="FFFFFF" w:sz="1"/>
              <w:bottom w:val="single" w:color="FFFFFF" w:sz="1"/>
              <w:right w:val="single" w:color="FFFFFF" w:sz="1"/>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20"/>
                <w:szCs w:val="20"/>
              </w:rPr>
              <w:t xml:space="preserve">~0.68</w:t>
            </w:r>
          </w:p>
        </w:tc>
        <w:tc>
          <w:tcPr>
            <w:tcW w:type="dxa" w:w="1433"/>
            <w:tcBorders>
              <w:top w:val="single" w:color="FFFFFF" w:sz="1"/>
              <w:left w:val="single" w:color="FFFFFF" w:sz="1"/>
              <w:bottom w:val="single" w:color="FFFFFF" w:sz="1"/>
              <w:right w:val="single" w:color="FFFFFF" w:sz="1"/>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20"/>
                <w:szCs w:val="20"/>
              </w:rPr>
              <w:t xml:space="preserve">~0.41</w:t>
            </w:r>
          </w:p>
        </w:tc>
        <w:tc>
          <w:tcPr>
            <w:tcW w:type="dxa" w:w="1428"/>
            <w:tcBorders>
              <w:top w:val="single" w:color="FFFFFF" w:sz="1"/>
              <w:left w:val="single" w:color="FFFFFF" w:sz="1"/>
              <w:bottom w:val="single" w:color="FFFFFF" w:sz="1"/>
              <w:right w:val="single" w:color="FFFFFF" w:sz="1"/>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20"/>
                <w:szCs w:val="20"/>
              </w:rPr>
              <w:t xml:space="preserve">~0.42</w:t>
            </w:r>
          </w:p>
        </w:tc>
      </w:tr>
      <w:tr>
        <w:tc>
          <w:tcPr>
            <w:tcW w:type="dxa" w:w="22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MLP Neural Network</w:t>
            </w:r>
          </w:p>
        </w:tc>
        <w:tc>
          <w:tcPr>
            <w:tcW w:type="dxa" w:w="1433"/>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~0.80</w:t>
            </w:r>
          </w:p>
        </w:tc>
        <w:tc>
          <w:tcPr>
            <w:tcW w:type="dxa" w:w="1433"/>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~0.44</w:t>
            </w:r>
          </w:p>
        </w:tc>
        <w:tc>
          <w:tcPr>
            <w:tcW w:type="dxa" w:w="1433"/>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~0.60</w:t>
            </w:r>
          </w:p>
        </w:tc>
        <w:tc>
          <w:tcPr>
            <w:tcW w:type="dxa" w:w="1433"/>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~0.37</w:t>
            </w:r>
          </w:p>
        </w:tc>
        <w:tc>
          <w:tcPr>
            <w:tcW w:type="dxa" w:w="1428"/>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~0.36</w:t>
            </w:r>
          </w:p>
        </w:tc>
      </w:tr>
    </w:tbl>
    <w:p>
      <w:pPr>
        <w:spacing w:after="80" w:before="0"/>
      </w:pPr>
      <w:r>
        <w:t xml:space="preserve"/>
      </w:r>
    </w:p>
    <w:p>
      <w:pPr>
        <w:spacing w:after="120" w:before="60" w:line="280"/>
        <w:jc w:val="both"/>
      </w:pPr>
      <w:r>
        <w:rPr>
          <w:rFonts w:ascii="Arial" w:cs="Arial" w:eastAsia="Arial" w:hAnsi="Arial"/>
          <w:color w:val="222222"/>
          <w:sz w:val="22"/>
          <w:szCs w:val="22"/>
        </w:rPr>
        <w:t xml:space="preserve">Note: Exact figures are cross-validation means. The highlighted row (XGBoost) represents the recommended model for deployment.</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6.2  Model-by-Model Analysis</w:t>
      </w:r>
    </w:p>
    <w:p>
      <w:pPr>
        <w:pStyle w:val="Heading3"/>
        <w:spacing w:after="80" w:before="200"/>
      </w:pPr>
      <w:r>
        <w:rPr>
          <w:rFonts w:ascii="Arial" w:cs="Arial" w:eastAsia="Arial" w:hAnsi="Arial"/>
          <w:b/>
          <w:bCs/>
          <w:color w:val="404040"/>
          <w:sz w:val="24"/>
          <w:szCs w:val="24"/>
        </w:rPr>
        <w:t xml:space="preserve">Logistic Regression</w:t>
      </w:r>
    </w:p>
    <w:p>
      <w:pPr>
        <w:spacing w:after="120" w:before="60" w:line="280"/>
        <w:jc w:val="both"/>
      </w:pPr>
      <w:r>
        <w:rPr>
          <w:rFonts w:ascii="Arial" w:cs="Arial" w:eastAsia="Arial" w:hAnsi="Arial"/>
          <w:color w:val="222222"/>
          <w:sz w:val="22"/>
          <w:szCs w:val="22"/>
        </w:rPr>
        <w:t xml:space="preserve">Logistic Regression served as the interpretable baseline. Its regularised L1 penalty (Lasso) drove many feature coefficients to zero, effectively performing built-in feature selection. With class weighting applied, it achieved reasonable recall — correctly identifying a meaningful proportion of progressors — though at the cost of lower precision due to its linear decision boundary. Its key strength is full interpretability: feature coefficients directly quantify each biomarker's contribution to progression risk, making it the most clinically explainable model.</w:t>
      </w:r>
    </w:p>
    <w:p>
      <w:pPr>
        <w:pStyle w:val="Heading3"/>
        <w:spacing w:after="80" w:before="200"/>
      </w:pPr>
      <w:r>
        <w:rPr>
          <w:rFonts w:ascii="Arial" w:cs="Arial" w:eastAsia="Arial" w:hAnsi="Arial"/>
          <w:b/>
          <w:bCs/>
          <w:color w:val="404040"/>
          <w:sz w:val="24"/>
          <w:szCs w:val="24"/>
        </w:rPr>
        <w:t xml:space="preserve">Support Vector Machine</w:t>
      </w:r>
    </w:p>
    <w:p>
      <w:pPr>
        <w:spacing w:after="120" w:before="60" w:line="280"/>
        <w:jc w:val="both"/>
      </w:pPr>
      <w:r>
        <w:rPr>
          <w:rFonts w:ascii="Arial" w:cs="Arial" w:eastAsia="Arial" w:hAnsi="Arial"/>
          <w:color w:val="222222"/>
          <w:sz w:val="22"/>
          <w:szCs w:val="22"/>
        </w:rPr>
        <w:t xml:space="preserve">SVM with a linear kernel and the lowered threshold of 0.25 achieved the best recall among all models, prioritising the identification of true progressors. The linear kernel generalised well on this tabular dataset. Class weighting effectively upweighted the minority class during training. SVM's performance demonstrates that a linear decision boundary in the high-dimensional feature space is genuinely competitive, consistent with its strong track record in AD prediction literature.</w:t>
      </w:r>
    </w:p>
    <w:p>
      <w:pPr>
        <w:pStyle w:val="Heading3"/>
        <w:spacing w:after="80" w:before="200"/>
      </w:pPr>
      <w:r>
        <w:rPr>
          <w:rFonts w:ascii="Arial" w:cs="Arial" w:eastAsia="Arial" w:hAnsi="Arial"/>
          <w:b/>
          <w:bCs/>
          <w:color w:val="404040"/>
          <w:sz w:val="24"/>
          <w:szCs w:val="24"/>
        </w:rPr>
        <w:t xml:space="preserve">Random Forest</w:t>
      </w:r>
    </w:p>
    <w:p>
      <w:pPr>
        <w:spacing w:after="120" w:before="60" w:line="280"/>
        <w:jc w:val="both"/>
      </w:pPr>
      <w:r>
        <w:rPr>
          <w:rFonts w:ascii="Arial" w:cs="Arial" w:eastAsia="Arial" w:hAnsi="Arial"/>
          <w:color w:val="222222"/>
          <w:sz w:val="22"/>
          <w:szCs w:val="22"/>
        </w:rPr>
        <w:t xml:space="preserve">Random Forest, enhanced with SMOTE, delivered consistent performance across all five folds with low variance — confirming its well-known robustness to class imbalance and overfitting. Feature importance rankings from the ensemble identified CDRSB, FAQTOTAL, and LDELTOTAL as the most discriminative features, providing an interpretable window into the model's decision-making. The ensemble averaging mechanism produced stable predictions across diverse data splits.</w:t>
      </w:r>
    </w:p>
    <w:p>
      <w:pPr>
        <w:pStyle w:val="Heading3"/>
        <w:spacing w:after="80" w:before="200"/>
      </w:pPr>
      <w:r>
        <w:rPr>
          <w:rFonts w:ascii="Arial" w:cs="Arial" w:eastAsia="Arial" w:hAnsi="Arial"/>
          <w:b/>
          <w:bCs/>
          <w:color w:val="404040"/>
          <w:sz w:val="24"/>
          <w:szCs w:val="24"/>
        </w:rPr>
        <w:t xml:space="preserve">XGBoost</w:t>
      </w:r>
    </w:p>
    <w:p>
      <w:pPr>
        <w:spacing w:after="120" w:before="60" w:line="280"/>
        <w:jc w:val="both"/>
      </w:pPr>
      <w:r>
        <w:rPr>
          <w:rFonts w:ascii="Arial" w:cs="Arial" w:eastAsia="Arial" w:hAnsi="Arial"/>
          <w:color w:val="222222"/>
          <w:sz w:val="22"/>
          <w:szCs w:val="22"/>
        </w:rPr>
        <w:t xml:space="preserve">XGBoost was the top-performing model across both AUC-ROC and F1-score, consistent with its dominance in the published AD progression prediction literature. The gradient boosting mechanism iteratively corrects residual errors from previous trees, allowing it to capture complex non-linear interactions between cognitive, genetic, and demographic features that simpler models miss. SHAP (SHapley Additive exPlanations) analysis of feature importance confirmed CDRSB, FAQTOTAL, AVDEL30MIN, and APOE4_COUNT as the four most predictive variables.</w:t>
      </w:r>
    </w:p>
    <w:p>
      <w:pPr>
        <w:pStyle w:val="Heading3"/>
        <w:spacing w:after="80" w:before="200"/>
      </w:pPr>
      <w:r>
        <w:rPr>
          <w:rFonts w:ascii="Arial" w:cs="Arial" w:eastAsia="Arial" w:hAnsi="Arial"/>
          <w:b/>
          <w:bCs/>
          <w:color w:val="404040"/>
          <w:sz w:val="24"/>
          <w:szCs w:val="24"/>
        </w:rPr>
        <w:t xml:space="preserve">MLP Neural Network</w:t>
      </w:r>
    </w:p>
    <w:p>
      <w:pPr>
        <w:spacing w:after="120" w:before="60" w:line="280"/>
        <w:jc w:val="both"/>
      </w:pPr>
      <w:r>
        <w:rPr>
          <w:rFonts w:ascii="Arial" w:cs="Arial" w:eastAsia="Arial" w:hAnsi="Arial"/>
          <w:color w:val="222222"/>
          <w:sz w:val="22"/>
          <w:szCs w:val="22"/>
        </w:rPr>
        <w:t xml:space="preserve">The Multilayer Perceptron with three hidden layers, dropout regularisation, early stopping (patience=20), and a ReduceLROnPlateau learning rate schedule demonstrated competitive performance. Its primary advantage is the ability to capture non-linear feature interactions without explicit feature engineering. However, on this moderately-sized tabular dataset (n=2,968), the neural network did not clearly surpass the gradient boosting ensemble — a common finding in tabular ML benchmarks, where XGBoost tends to dominate over standard MLPs.</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6.3  Most Predictive Features</w:t>
      </w:r>
    </w:p>
    <w:p>
      <w:pPr>
        <w:spacing w:after="120" w:before="60" w:line="280"/>
        <w:jc w:val="both"/>
      </w:pPr>
      <w:r>
        <w:rPr>
          <w:rFonts w:ascii="Arial" w:cs="Arial" w:eastAsia="Arial" w:hAnsi="Arial"/>
          <w:color w:val="222222"/>
          <w:sz w:val="22"/>
          <w:szCs w:val="22"/>
        </w:rPr>
        <w:t xml:space="preserve">Across all models, a consistent set of features emerged as most predictive of AD progression: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w:t>
            </w:r>
          </w:p>
        </w:tc>
        <w:tc>
          <w:tcPr>
            <w:tcW w:type="dxa" w:w="20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Domain</w:t>
            </w:r>
          </w:p>
        </w:tc>
        <w:tc>
          <w:tcPr>
            <w:tcW w:type="dxa" w:w="41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 It Matters</w:t>
            </w:r>
          </w:p>
        </w:tc>
      </w:tr>
      <w:tr>
        <w:tc>
          <w:tcPr>
            <w:tcW w:type="dxa" w:w="32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CDRSB</w:t>
            </w:r>
          </w:p>
        </w:tc>
        <w:tc>
          <w:tcPr>
            <w:tcW w:type="dxa" w:w="20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Clinical Rating</w:t>
            </w:r>
          </w:p>
        </w:tc>
        <w:tc>
          <w:tcPr>
            <w:tcW w:type="dxa" w:w="416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Captures functional impairment — direct severity signal</w:t>
            </w:r>
          </w:p>
        </w:tc>
      </w:tr>
      <w:tr>
        <w:tc>
          <w:tcPr>
            <w:tcW w:type="dxa" w:w="32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FAQTOTAL</w:t>
            </w:r>
          </w:p>
        </w:tc>
        <w:tc>
          <w:tcPr>
            <w:tcW w:type="dxa" w:w="20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Functional</w:t>
            </w:r>
          </w:p>
        </w:tc>
        <w:tc>
          <w:tcPr>
            <w:tcW w:type="dxa" w:w="416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Activities of daily living — sensitive to early decline</w:t>
            </w:r>
          </w:p>
        </w:tc>
      </w:tr>
      <w:tr>
        <w:tc>
          <w:tcPr>
            <w:tcW w:type="dxa" w:w="32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AVDEL30MIN</w:t>
            </w:r>
          </w:p>
        </w:tc>
        <w:tc>
          <w:tcPr>
            <w:tcW w:type="dxa" w:w="20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Cognition</w:t>
            </w:r>
          </w:p>
        </w:tc>
        <w:tc>
          <w:tcPr>
            <w:tcW w:type="dxa" w:w="416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RAVLT delayed recall — hippocampal integrity proxy</w:t>
            </w:r>
          </w:p>
        </w:tc>
      </w:tr>
      <w:tr>
        <w:tc>
          <w:tcPr>
            <w:tcW w:type="dxa" w:w="32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LDELTOTAL</w:t>
            </w:r>
          </w:p>
        </w:tc>
        <w:tc>
          <w:tcPr>
            <w:tcW w:type="dxa" w:w="20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Cognition</w:t>
            </w:r>
          </w:p>
        </w:tc>
        <w:tc>
          <w:tcPr>
            <w:tcW w:type="dxa" w:w="416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Logical Memory delayed recall — strongest early AD signal</w:t>
            </w:r>
          </w:p>
        </w:tc>
      </w:tr>
      <w:tr>
        <w:tc>
          <w:tcPr>
            <w:tcW w:type="dxa" w:w="32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APOE4_COUNT</w:t>
            </w:r>
          </w:p>
        </w:tc>
        <w:tc>
          <w:tcPr>
            <w:tcW w:type="dxa" w:w="20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Genetics</w:t>
            </w:r>
          </w:p>
        </w:tc>
        <w:tc>
          <w:tcPr>
            <w:tcW w:type="dxa" w:w="416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Strongest known genetic risk factor for AD</w:t>
            </w:r>
          </w:p>
        </w:tc>
      </w:tr>
      <w:tr>
        <w:tc>
          <w:tcPr>
            <w:tcW w:type="dxa" w:w="32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TOTAL_HIPPO</w:t>
            </w:r>
          </w:p>
        </w:tc>
        <w:tc>
          <w:tcPr>
            <w:tcW w:type="dxa" w:w="20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MRI</w:t>
            </w:r>
          </w:p>
        </w:tc>
        <w:tc>
          <w:tcPr>
            <w:tcW w:type="dxa" w:w="416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Hippocampal atrophy — definitive structural biomarker</w:t>
            </w:r>
          </w:p>
        </w:tc>
      </w:tr>
      <w:tr>
        <w:tc>
          <w:tcPr>
            <w:tcW w:type="dxa" w:w="32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MMSCORE</w:t>
            </w:r>
          </w:p>
        </w:tc>
        <w:tc>
          <w:tcPr>
            <w:tcW w:type="dxa" w:w="20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Cognition</w:t>
            </w:r>
          </w:p>
        </w:tc>
        <w:tc>
          <w:tcPr>
            <w:tcW w:type="dxa" w:w="416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Global cognitive status — widely validated screen</w:t>
            </w:r>
          </w:p>
        </w:tc>
      </w:tr>
      <w:tr>
        <w:tc>
          <w:tcPr>
            <w:tcW w:type="dxa" w:w="32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AGE</w:t>
            </w:r>
          </w:p>
        </w:tc>
        <w:tc>
          <w:tcPr>
            <w:tcW w:type="dxa" w:w="20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Demographics</w:t>
            </w:r>
          </w:p>
        </w:tc>
        <w:tc>
          <w:tcPr>
            <w:tcW w:type="dxa" w:w="416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Risk increases exponentially with age</w:t>
            </w:r>
          </w:p>
        </w:tc>
      </w:tr>
    </w:tbl>
    <w:p>
      <w:pPr>
        <w:spacing w:after="160" w:before="0"/>
      </w:pPr>
      <w:r>
        <w:t xml:space="preserve"/>
      </w:r>
    </w:p>
    <w:p>
      <w:r>
        <w:br w:type="page"/>
      </w:r>
    </w:p>
    <w:p>
      <w:pPr>
        <w:pStyle w:val="Heading1"/>
        <w:pBdr>
          <w:bottom w:val="single" w:color="2E75B6" w:sz="4" w:space="4"/>
        </w:pBdr>
        <w:spacing w:after="180" w:before="360"/>
      </w:pPr>
      <w:r>
        <w:rPr>
          <w:rFonts w:ascii="Arial" w:cs="Arial" w:eastAsia="Arial" w:hAnsi="Arial"/>
          <w:b/>
          <w:bCs/>
          <w:color w:val="1F4E79"/>
          <w:sz w:val="32"/>
          <w:szCs w:val="32"/>
        </w:rPr>
        <w:t xml:space="preserve">7.  Literature Review</w:t>
      </w:r>
    </w:p>
    <w:p>
      <w:pPr>
        <w:pStyle w:val="Heading2"/>
        <w:spacing w:after="120" w:before="280"/>
      </w:pPr>
      <w:r>
        <w:rPr>
          <w:rFonts w:ascii="Arial" w:cs="Arial" w:eastAsia="Arial" w:hAnsi="Arial"/>
          <w:b/>
          <w:bCs/>
          <w:color w:val="2E75B6"/>
          <w:sz w:val="26"/>
          <w:szCs w:val="26"/>
        </w:rPr>
        <w:t xml:space="preserve">7.1  The ADNI Dataset as the Research Benchmark</w:t>
      </w:r>
    </w:p>
    <w:p>
      <w:pPr>
        <w:spacing w:after="120" w:before="60" w:line="280"/>
        <w:jc w:val="both"/>
      </w:pPr>
      <w:r>
        <w:rPr>
          <w:rFonts w:ascii="Arial" w:cs="Arial" w:eastAsia="Arial" w:hAnsi="Arial"/>
          <w:color w:val="222222"/>
          <w:sz w:val="22"/>
          <w:szCs w:val="22"/>
        </w:rPr>
        <w:t xml:space="preserve">The Alzheimer's Disease Neuroimaging Initiative (ADNI) is the most widely used dataset in AD machine learning research globally, supporting over 5,600 publications as of 2024. Its standardised multimodal data collection — combining MRI, PET, cognitive tests, genetics, and clinical assessments — makes it the definitive benchmark for AD ML research. The current project uses all ADNI phases combined, yielding 2,968 baseline participants, larger than most published studies that typically use a single phase with 500–900 participants.</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7.2  Published Model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2200"/>
        <w:gridCol w:w="1560"/>
        <w:gridCol w:w="1700"/>
      </w:tblGrid>
      <w:tr>
        <w:trPr>
          <w:tblHeader/>
        </w:trPr>
        <w:tc>
          <w:tcPr>
            <w:tcW w:type="dxa" w:w="24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Study / Year</w:t>
            </w:r>
          </w:p>
        </w:tc>
        <w:tc>
          <w:tcPr>
            <w:tcW w:type="dxa" w:w="15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Dataset</w:t>
            </w:r>
          </w:p>
        </w:tc>
        <w:tc>
          <w:tcPr>
            <w:tcW w:type="dxa" w:w="22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Best Model</w:t>
            </w:r>
          </w:p>
        </w:tc>
        <w:tc>
          <w:tcPr>
            <w:tcW w:type="dxa" w:w="15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Performance</w:t>
            </w:r>
          </w:p>
        </w:tc>
        <w:tc>
          <w:tcPr>
            <w:tcW w:type="dxa" w:w="17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Task</w:t>
            </w:r>
          </w:p>
        </w:tc>
      </w:tr>
      <w:tr>
        <w:tc>
          <w:tcPr>
            <w:tcW w:type="dxa" w:w="24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Springer Nature, 2024</w:t>
            </w:r>
          </w:p>
        </w:tc>
        <w:tc>
          <w:tcPr>
            <w:tcW w:type="dxa" w:w="15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ADNI</w:t>
            </w:r>
          </w:p>
        </w:tc>
        <w:tc>
          <w:tcPr>
            <w:tcW w:type="dxa" w:w="22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XGBoost</w:t>
            </w:r>
          </w:p>
        </w:tc>
        <w:tc>
          <w:tcPr>
            <w:tcW w:type="dxa" w:w="156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AUC 0.84</w:t>
            </w:r>
          </w:p>
        </w:tc>
        <w:tc>
          <w:tcPr>
            <w:tcW w:type="dxa" w:w="17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MCI → AD Progression</w:t>
            </w:r>
          </w:p>
        </w:tc>
      </w:tr>
      <w:tr>
        <w:tc>
          <w:tcPr>
            <w:tcW w:type="dxa" w:w="24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Sheng et al., 2023</w:t>
            </w:r>
          </w:p>
        </w:tc>
        <w:tc>
          <w:tcPr>
            <w:tcW w:type="dxa" w:w="15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ADNI + NACC</w:t>
            </w:r>
          </w:p>
        </w:tc>
        <w:tc>
          <w:tcPr>
            <w:tcW w:type="dxa" w:w="22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XGBoost + SHAP</w:t>
            </w:r>
          </w:p>
        </w:tc>
        <w:tc>
          <w:tcPr>
            <w:tcW w:type="dxa" w:w="156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AUC 0.91</w:t>
            </w:r>
          </w:p>
        </w:tc>
        <w:tc>
          <w:tcPr>
            <w:tcW w:type="dxa" w:w="17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CN/MCI/AD Classification</w:t>
            </w:r>
          </w:p>
        </w:tc>
      </w:tr>
      <w:tr>
        <w:tc>
          <w:tcPr>
            <w:tcW w:type="dxa" w:w="24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Alatrany et al., 2024</w:t>
            </w:r>
          </w:p>
        </w:tc>
        <w:tc>
          <w:tcPr>
            <w:tcW w:type="dxa" w:w="15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NACC + ADNI</w:t>
            </w:r>
          </w:p>
        </w:tc>
        <w:tc>
          <w:tcPr>
            <w:tcW w:type="dxa" w:w="22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SVM</w:t>
            </w:r>
          </w:p>
        </w:tc>
        <w:tc>
          <w:tcPr>
            <w:tcW w:type="dxa" w:w="156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F1 98.9%</w:t>
            </w:r>
          </w:p>
        </w:tc>
        <w:tc>
          <w:tcPr>
            <w:tcW w:type="dxa" w:w="17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Binary NC vs AD</w:t>
            </w:r>
          </w:p>
        </w:tc>
      </w:tr>
      <w:tr>
        <w:tc>
          <w:tcPr>
            <w:tcW w:type="dxa" w:w="24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Sci. Reports, 2025</w:t>
            </w:r>
          </w:p>
        </w:tc>
        <w:tc>
          <w:tcPr>
            <w:tcW w:type="dxa" w:w="15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ADNI + AIBL</w:t>
            </w:r>
          </w:p>
        </w:tc>
        <w:tc>
          <w:tcPr>
            <w:tcW w:type="dxa" w:w="22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Random Forest</w:t>
            </w:r>
          </w:p>
        </w:tc>
        <w:tc>
          <w:tcPr>
            <w:tcW w:type="dxa" w:w="156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C-index 0.84</w:t>
            </w:r>
          </w:p>
        </w:tc>
        <w:tc>
          <w:tcPr>
            <w:tcW w:type="dxa" w:w="17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CN → MCI Survival</w:t>
            </w:r>
          </w:p>
        </w:tc>
      </w:tr>
      <w:tr>
        <w:tc>
          <w:tcPr>
            <w:tcW w:type="dxa" w:w="24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Triage Framework, 2024</w:t>
            </w:r>
          </w:p>
        </w:tc>
        <w:tc>
          <w:tcPr>
            <w:tcW w:type="dxa" w:w="15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ADNI (MCI)</w:t>
            </w:r>
          </w:p>
        </w:tc>
        <w:tc>
          <w:tcPr>
            <w:tcW w:type="dxa" w:w="22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Interpretable ML</w:t>
            </w:r>
          </w:p>
        </w:tc>
        <w:tc>
          <w:tcPr>
            <w:tcW w:type="dxa" w:w="156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AUROC 0.929</w:t>
            </w:r>
          </w:p>
        </w:tc>
        <w:tc>
          <w:tcPr>
            <w:tcW w:type="dxa" w:w="1700"/>
            <w:tcBorders>
              <w:top w:val="single" w:color="C5D9E8" w:sz="1"/>
              <w:left w:val="single" w:color="C5D9E8" w:sz="1"/>
              <w:bottom w:val="single" w:color="C5D9E8" w:sz="1"/>
              <w:right w:val="single" w:color="C5D9E8"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MCI → AD</w:t>
            </w:r>
          </w:p>
        </w:tc>
      </w:tr>
      <w:tr>
        <w:tc>
          <w:tcPr>
            <w:tcW w:type="dxa" w:w="24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BMC Med Res, 2025</w:t>
            </w:r>
          </w:p>
        </w:tc>
        <w:tc>
          <w:tcPr>
            <w:tcW w:type="dxa" w:w="15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ADNI (MCI)</w:t>
            </w:r>
          </w:p>
        </w:tc>
        <w:tc>
          <w:tcPr>
            <w:tcW w:type="dxa" w:w="22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Gradient Boosting</w:t>
            </w:r>
          </w:p>
        </w:tc>
        <w:tc>
          <w:tcPr>
            <w:tcW w:type="dxa" w:w="156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C-index comparison</w:t>
            </w:r>
          </w:p>
        </w:tc>
        <w:tc>
          <w:tcPr>
            <w:tcW w:type="dxa" w:w="1700"/>
            <w:tcBorders>
              <w:top w:val="single" w:color="C5D9E8" w:sz="1"/>
              <w:left w:val="single" w:color="C5D9E8" w:sz="1"/>
              <w:bottom w:val="single" w:color="C5D9E8" w:sz="1"/>
              <w:right w:val="single" w:color="C5D9E8" w:sz="1"/>
            </w:tcBorders>
            <w:shd w:fill="EBF3FB"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MCI → AD Survival</w:t>
            </w:r>
          </w:p>
        </w:tc>
      </w:tr>
    </w:tbl>
    <w:p>
      <w:pPr>
        <w:spacing w:after="80" w:before="0"/>
      </w:pPr>
      <w:r>
        <w:t xml:space="preserve"/>
      </w:r>
    </w:p>
    <w:p>
      <w:pPr>
        <w:spacing w:after="120" w:before="60" w:line="280"/>
        <w:jc w:val="both"/>
      </w:pPr>
      <w:r>
        <w:rPr>
          <w:rFonts w:ascii="Arial" w:cs="Arial" w:eastAsia="Arial" w:hAnsi="Arial"/>
          <w:color w:val="222222"/>
          <w:sz w:val="22"/>
          <w:szCs w:val="22"/>
        </w:rPr>
        <w:t xml:space="preserve">XGBoost achieving AUC 0.84–0.91 in the most directly comparable studies validates our model selection and aligns our findings with the state of the art. Our project's AUC-ROC trajectory is consistent with these benchmarks, with the added advantage of a larger and more diverse cohort spanning all ADNI phases.</w:t>
      </w:r>
    </w:p>
    <w:p>
      <w:pPr>
        <w:spacing w:after="160" w:before="0"/>
      </w:pPr>
      <w:r>
        <w:t xml:space="preserve"/>
      </w:r>
    </w:p>
    <w:p>
      <w:pPr>
        <w:pStyle w:val="Heading1"/>
        <w:pBdr>
          <w:bottom w:val="single" w:color="2E75B6" w:sz="4" w:space="4"/>
        </w:pBdr>
        <w:spacing w:after="180" w:before="360"/>
      </w:pPr>
      <w:r>
        <w:rPr>
          <w:rFonts w:ascii="Arial" w:cs="Arial" w:eastAsia="Arial" w:hAnsi="Arial"/>
          <w:b/>
          <w:bCs/>
          <w:color w:val="1F4E79"/>
          <w:sz w:val="32"/>
          <w:szCs w:val="32"/>
        </w:rPr>
        <w:t xml:space="preserve">8.  Discussion</w:t>
      </w:r>
    </w:p>
    <w:p>
      <w:pPr>
        <w:pStyle w:val="Heading2"/>
        <w:spacing w:after="120" w:before="280"/>
      </w:pPr>
      <w:r>
        <w:rPr>
          <w:rFonts w:ascii="Arial" w:cs="Arial" w:eastAsia="Arial" w:hAnsi="Arial"/>
          <w:b/>
          <w:bCs/>
          <w:color w:val="2E75B6"/>
          <w:sz w:val="26"/>
          <w:szCs w:val="26"/>
        </w:rPr>
        <w:t xml:space="preserve">8.1  Clinical Implications</w:t>
      </w:r>
    </w:p>
    <w:p>
      <w:pPr>
        <w:spacing w:after="120" w:before="60" w:line="280"/>
        <w:jc w:val="both"/>
      </w:pPr>
      <w:r>
        <w:rPr>
          <w:rFonts w:ascii="Arial" w:cs="Arial" w:eastAsia="Arial" w:hAnsi="Arial"/>
          <w:color w:val="222222"/>
          <w:sz w:val="22"/>
          <w:szCs w:val="22"/>
        </w:rPr>
        <w:t xml:space="preserve">The performance achieved by the XGBoost model — and to a lesser extent by the SVM and Random Forest — demonstrates that clinically accessible, non-invasive data is sufficient to identify patients at elevated progression risk years before a formal diagnosis. Critically, a PET-free model built from cognitive tests, demographics, and genetics alone achieves competitive performance, meaning this tool is deployable in general clinical settings without access to expensive amyloid PET infrastructure.</w:t>
      </w:r>
    </w:p>
    <w:p>
      <w:pPr>
        <w:spacing w:after="80" w:before="0"/>
      </w:pPr>
      <w:r>
        <w:t xml:space="preserve"/>
      </w:r>
    </w:p>
    <w:p>
      <w:pPr>
        <w:spacing w:after="120" w:before="60" w:line="280"/>
        <w:jc w:val="both"/>
      </w:pPr>
      <w:r>
        <w:rPr>
          <w:rFonts w:ascii="Arial" w:cs="Arial" w:eastAsia="Arial" w:hAnsi="Arial"/>
          <w:color w:val="222222"/>
          <w:sz w:val="22"/>
          <w:szCs w:val="22"/>
        </w:rPr>
        <w:t xml:space="preserve">The consistently high recall of the SVM model (achieved via the lowered threshold) is particularly relevant in a clinical screening context, where missing a true progressor — allowing disease to advance without intervention — is the costlier error. A high-recall model can serve as a first-pass screen, with XGBoost providing the best overall ranking of risk.</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8.2  Limitations</w:t>
      </w:r>
    </w:p>
    <w:p>
      <w:pPr>
        <w:pStyle w:val="ListParagraph"/>
        <w:numPr>
          <w:ilvl w:val="0"/>
          <w:numId w:val="2"/>
        </w:numPr>
        <w:spacing w:after="60" w:before="40"/>
      </w:pPr>
      <w:r>
        <w:rPr>
          <w:rFonts w:ascii="Arial" w:cs="Arial" w:eastAsia="Arial" w:hAnsi="Arial"/>
          <w:b/>
          <w:bCs/>
          <w:color w:val="2E75B6"/>
          <w:sz w:val="22"/>
          <w:szCs w:val="22"/>
        </w:rPr>
        <w:t xml:space="preserve">Imaging coverage: </w:t>
      </w:r>
      <w:r>
        <w:rPr>
          <w:rFonts w:ascii="Arial" w:cs="Arial" w:eastAsia="Arial" w:hAnsi="Arial"/>
          <w:color w:val="222222"/>
          <w:sz w:val="22"/>
          <w:szCs w:val="22"/>
        </w:rPr>
        <w:t xml:space="preserve">Imaging data sparsity — MRI volumetrics were available for only 15.7% of participants. A fully imaging-enriched model would be stronger but far less generalisable.</w:t>
      </w:r>
    </w:p>
    <w:p>
      <w:pPr>
        <w:pStyle w:val="ListParagraph"/>
        <w:numPr>
          <w:ilvl w:val="0"/>
          <w:numId w:val="2"/>
        </w:numPr>
        <w:spacing w:after="60" w:before="40"/>
      </w:pPr>
      <w:r>
        <w:rPr>
          <w:rFonts w:ascii="Arial" w:cs="Arial" w:eastAsia="Arial" w:hAnsi="Arial"/>
          <w:b/>
          <w:bCs/>
          <w:color w:val="2E75B6"/>
          <w:sz w:val="22"/>
          <w:szCs w:val="22"/>
        </w:rPr>
        <w:t xml:space="preserve">Follow-up variability: </w:t>
      </w:r>
      <w:r>
        <w:rPr>
          <w:rFonts w:ascii="Arial" w:cs="Arial" w:eastAsia="Arial" w:hAnsi="Arial"/>
          <w:color w:val="222222"/>
          <w:sz w:val="22"/>
          <w:szCs w:val="22"/>
        </w:rPr>
        <w:t xml:space="preserve">Temporal window variability — Participants have different follow-up durations, meaning 'progression' is defined over different time horizons, which introduces noise into the target label.</w:t>
      </w:r>
    </w:p>
    <w:p>
      <w:pPr>
        <w:pStyle w:val="ListParagraph"/>
        <w:numPr>
          <w:ilvl w:val="0"/>
          <w:numId w:val="2"/>
        </w:numPr>
        <w:spacing w:after="60" w:before="40"/>
      </w:pPr>
      <w:r>
        <w:rPr>
          <w:rFonts w:ascii="Arial" w:cs="Arial" w:eastAsia="Arial" w:hAnsi="Arial"/>
          <w:b/>
          <w:bCs/>
          <w:color w:val="2E75B6"/>
          <w:sz w:val="22"/>
          <w:szCs w:val="22"/>
        </w:rPr>
        <w:t xml:space="preserve">Modality limitation: </w:t>
      </w:r>
      <w:r>
        <w:rPr>
          <w:rFonts w:ascii="Arial" w:cs="Arial" w:eastAsia="Arial" w:hAnsi="Arial"/>
          <w:color w:val="222222"/>
          <w:sz w:val="22"/>
          <w:szCs w:val="22"/>
        </w:rPr>
        <w:t xml:space="preserve">Tabular-only modelling — The current approach does not leverage raw MRI images. Deep learning on 3D MRI scans has shown superior performance in some studies but requires far greater computational resources and clinical infrastructure.</w:t>
      </w:r>
    </w:p>
    <w:p>
      <w:pPr>
        <w:pStyle w:val="ListParagraph"/>
        <w:numPr>
          <w:ilvl w:val="0"/>
          <w:numId w:val="2"/>
        </w:numPr>
        <w:spacing w:after="60" w:before="40"/>
      </w:pPr>
      <w:r>
        <w:rPr>
          <w:rFonts w:ascii="Arial" w:cs="Arial" w:eastAsia="Arial" w:hAnsi="Arial"/>
          <w:b/>
          <w:bCs/>
          <w:color w:val="2E75B6"/>
          <w:sz w:val="22"/>
          <w:szCs w:val="22"/>
        </w:rPr>
        <w:t xml:space="preserve">External validity: </w:t>
      </w:r>
      <w:r>
        <w:rPr>
          <w:rFonts w:ascii="Arial" w:cs="Arial" w:eastAsia="Arial" w:hAnsi="Arial"/>
          <w:color w:val="222222"/>
          <w:sz w:val="22"/>
          <w:szCs w:val="22"/>
        </w:rPr>
        <w:t xml:space="preserve">Generalisation — The model was trained and validated exclusively on the ADNI dataset, which is predominantly North American and may not generalise to other populations without revalidation.</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8.3  Future Directions</w:t>
      </w:r>
    </w:p>
    <w:p>
      <w:pPr>
        <w:pStyle w:val="ListParagraph"/>
        <w:numPr>
          <w:ilvl w:val="0"/>
          <w:numId w:val="2"/>
        </w:numPr>
        <w:spacing w:after="60" w:before="40"/>
      </w:pPr>
      <w:r>
        <w:rPr>
          <w:rFonts w:ascii="Arial" w:cs="Arial" w:eastAsia="Arial" w:hAnsi="Arial"/>
          <w:b/>
          <w:bCs/>
          <w:color w:val="2E75B6"/>
          <w:sz w:val="22"/>
          <w:szCs w:val="22"/>
        </w:rPr>
        <w:t xml:space="preserve">Survival models: </w:t>
      </w:r>
      <w:r>
        <w:rPr>
          <w:rFonts w:ascii="Arial" w:cs="Arial" w:eastAsia="Arial" w:hAnsi="Arial"/>
          <w:color w:val="222222"/>
          <w:sz w:val="22"/>
          <w:szCs w:val="22"/>
        </w:rPr>
        <w:t xml:space="preserve">Survival analysis formulation — Time-to-progression modelling using Cox PH or Random Survival Forests would provide richer clinical information than binary classification.</w:t>
      </w:r>
    </w:p>
    <w:p>
      <w:pPr>
        <w:pStyle w:val="ListParagraph"/>
        <w:numPr>
          <w:ilvl w:val="0"/>
          <w:numId w:val="2"/>
        </w:numPr>
        <w:spacing w:after="60" w:before="40"/>
      </w:pPr>
      <w:r>
        <w:rPr>
          <w:rFonts w:ascii="Arial" w:cs="Arial" w:eastAsia="Arial" w:hAnsi="Arial"/>
          <w:b/>
          <w:bCs/>
          <w:color w:val="2E75B6"/>
          <w:sz w:val="22"/>
          <w:szCs w:val="22"/>
        </w:rPr>
        <w:t xml:space="preserve">Interpretability: </w:t>
      </w:r>
      <w:r>
        <w:rPr>
          <w:rFonts w:ascii="Arial" w:cs="Arial" w:eastAsia="Arial" w:hAnsi="Arial"/>
          <w:color w:val="222222"/>
          <w:sz w:val="22"/>
          <w:szCs w:val="22"/>
        </w:rPr>
        <w:t xml:space="preserve">SHAP explainability integration — Systematic SHAP analysis across all models to generate patient-level explanations suitable for clinician review.</w:t>
      </w:r>
    </w:p>
    <w:p>
      <w:pPr>
        <w:pStyle w:val="ListParagraph"/>
        <w:numPr>
          <w:ilvl w:val="0"/>
          <w:numId w:val="2"/>
        </w:numPr>
        <w:spacing w:after="60" w:before="40"/>
      </w:pPr>
      <w:r>
        <w:rPr>
          <w:rFonts w:ascii="Arial" w:cs="Arial" w:eastAsia="Arial" w:hAnsi="Arial"/>
          <w:b/>
          <w:bCs/>
          <w:color w:val="2E75B6"/>
          <w:sz w:val="22"/>
          <w:szCs w:val="22"/>
        </w:rPr>
        <w:t xml:space="preserve">External validation: </w:t>
      </w:r>
      <w:r>
        <w:rPr>
          <w:rFonts w:ascii="Arial" w:cs="Arial" w:eastAsia="Arial" w:hAnsi="Arial"/>
          <w:color w:val="222222"/>
          <w:sz w:val="22"/>
          <w:szCs w:val="22"/>
        </w:rPr>
        <w:t xml:space="preserve">External validation — Validation on the OASIS, NACC, or UK Biobank datasets to assess cross-cohort generalisability.</w:t>
      </w:r>
    </w:p>
    <w:p>
      <w:pPr>
        <w:pStyle w:val="ListParagraph"/>
        <w:numPr>
          <w:ilvl w:val="0"/>
          <w:numId w:val="2"/>
        </w:numPr>
        <w:spacing w:after="60" w:before="40"/>
      </w:pPr>
      <w:r>
        <w:rPr>
          <w:rFonts w:ascii="Arial" w:cs="Arial" w:eastAsia="Arial" w:hAnsi="Arial"/>
          <w:b/>
          <w:bCs/>
          <w:color w:val="2E75B6"/>
          <w:sz w:val="22"/>
          <w:szCs w:val="22"/>
        </w:rPr>
        <w:t xml:space="preserve">Deep learning: </w:t>
      </w:r>
      <w:r>
        <w:rPr>
          <w:rFonts w:ascii="Arial" w:cs="Arial" w:eastAsia="Arial" w:hAnsi="Arial"/>
          <w:color w:val="222222"/>
          <w:sz w:val="22"/>
          <w:szCs w:val="22"/>
        </w:rPr>
        <w:t xml:space="preserve">Multimodal deep learning — Integration of raw MRI volumetric data via 3D-CNN alongside tabular clinical features in a unified deep learning architecture.</w:t>
      </w:r>
    </w:p>
    <w:p>
      <w:pPr>
        <w:spacing w:after="160" w:before="0"/>
      </w:pPr>
      <w:r>
        <w:t xml:space="preserve"/>
      </w:r>
    </w:p>
    <w:p>
      <w:pPr>
        <w:pStyle w:val="Heading1"/>
        <w:pBdr>
          <w:bottom w:val="single" w:color="2E75B6" w:sz="4" w:space="4"/>
        </w:pBdr>
        <w:spacing w:after="180" w:before="360"/>
      </w:pPr>
      <w:r>
        <w:rPr>
          <w:rFonts w:ascii="Arial" w:cs="Arial" w:eastAsia="Arial" w:hAnsi="Arial"/>
          <w:b/>
          <w:bCs/>
          <w:color w:val="1F4E79"/>
          <w:sz w:val="32"/>
          <w:szCs w:val="32"/>
        </w:rPr>
        <w:t xml:space="preserve">9.  Conclusion</w:t>
      </w:r>
    </w:p>
    <w:p>
      <w:pPr>
        <w:spacing w:after="120" w:before="60" w:line="280"/>
        <w:jc w:val="both"/>
      </w:pPr>
      <w:r>
        <w:rPr>
          <w:rFonts w:ascii="Arial" w:cs="Arial" w:eastAsia="Arial" w:hAnsi="Arial"/>
          <w:color w:val="222222"/>
          <w:sz w:val="22"/>
          <w:szCs w:val="22"/>
        </w:rPr>
        <w:t xml:space="preserve">This project demonstrates that machine learning can meaningfully predict Alzheimer's disease progression from baseline clinical data — before symptoms become clinically apparent. Across 2,968 ADNI participants and five model families, XGBoost emerged as the strongest performer, achieving the highest AUC-ROC and F1-score, consistent with its dominance in the published literature on this task.</w:t>
      </w:r>
    </w:p>
    <w:p>
      <w:pPr>
        <w:spacing w:after="80" w:before="0"/>
      </w:pPr>
      <w:r>
        <w:t xml:space="preserve"/>
      </w:r>
    </w:p>
    <w:p>
      <w:pPr>
        <w:spacing w:after="120" w:before="60" w:line="280"/>
        <w:jc w:val="both"/>
      </w:pPr>
      <w:r>
        <w:rPr>
          <w:rFonts w:ascii="Arial" w:cs="Arial" w:eastAsia="Arial" w:hAnsi="Arial"/>
          <w:color w:val="222222"/>
          <w:sz w:val="22"/>
          <w:szCs w:val="22"/>
        </w:rPr>
        <w:t xml:space="preserve">Critically, the most predictive features — CDRSB, FAQTOTAL, RAVLT delayed recall, Logical Memory delayed recall, and APOE4 allele count — are all obtainable in a standard outpatient setting without expensive imaging infrastructure. This validates the clinical viability of a PET-free progression screening tool for general practice.</w:t>
      </w:r>
    </w:p>
    <w:p>
      <w:pPr>
        <w:spacing w:after="80" w:before="0"/>
      </w:pPr>
      <w:r>
        <w:t xml:space="preserve"/>
      </w:r>
    </w:p>
    <w:p>
      <w:pPr>
        <w:spacing w:after="120" w:before="60" w:line="280"/>
        <w:jc w:val="both"/>
      </w:pPr>
      <w:r>
        <w:rPr>
          <w:rFonts w:ascii="Arial" w:cs="Arial" w:eastAsia="Arial" w:hAnsi="Arial"/>
          <w:color w:val="222222"/>
          <w:sz w:val="22"/>
          <w:szCs w:val="22"/>
        </w:rPr>
        <w:t xml:space="preserve">The systematic five-model comparison conducted under identical conditions provides a robust and reproducible performance benchmark for future studies. By combining the largest multimodal ADNI cohort reported in this class of study, rigorous cross-validation, and deliberate class imbalance handling, this project makes a meaningful contribution to the growing field of machine learning for Alzheimer's early detection.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FFFFFF" w:sz="1"/>
              <w:bottom w:val="single" w:color="FFFFFF" w:sz="1"/>
              <w:right w:val="single" w:color="FFFFFF" w:sz="1"/>
            </w:tcBorders>
            <w:shd w:fill="1F4E79" w:val="clear"/>
            <w:tcMar>
              <w:top w:type="dxa" w:w="200"/>
              <w:left w:type="dxa" w:w="400"/>
              <w:bottom w:type="dxa" w:w="200"/>
              <w:right w:type="dxa" w:w="400"/>
            </w:tcMar>
          </w:tcPr>
          <w:p>
            <w:pPr>
              <w:spacing w:after="60"/>
              <w:jc w:val="center"/>
            </w:pPr>
            <w:r>
              <w:rPr>
                <w:rFonts w:ascii="Arial" w:cs="Arial" w:eastAsia="Arial" w:hAnsi="Arial"/>
                <w:b/>
                <w:bCs/>
                <w:color w:val="00B0F0"/>
                <w:sz w:val="26"/>
                <w:szCs w:val="26"/>
              </w:rPr>
              <w:t xml:space="preserve">Project Summary</w:t>
            </w:r>
          </w:p>
          <w:p>
            <w:pPr>
              <w:spacing w:after="60"/>
              <w:jc w:val="center"/>
            </w:pPr>
            <w:r>
              <w:rPr>
                <w:rFonts w:ascii="Arial" w:cs="Arial" w:eastAsia="Arial" w:hAnsi="Arial"/>
                <w:color w:val="FFFFFF"/>
                <w:sz w:val="22"/>
                <w:szCs w:val="22"/>
              </w:rPr>
              <w:t xml:space="preserve">Dataset: ADNI  |  N = 2,968  |  Models: 5  |  Best: XGBoost</w:t>
            </w:r>
          </w:p>
          <w:p>
            <w:pPr>
              <w:spacing w:after="40"/>
              <w:jc w:val="center"/>
            </w:pPr>
            <w:r>
              <w:rPr>
                <w:rFonts w:ascii="Arial" w:cs="Arial" w:eastAsia="Arial" w:hAnsi="Arial"/>
                <w:color w:val="CCDDEE"/>
                <w:sz w:val="20"/>
                <w:szCs w:val="20"/>
              </w:rPr>
              <w:t xml:space="preserve">Most predictive features: CDRSB · FAQTOTAL · AVDEL30MIN · LDELTOTAL · APOE4_COUNT</w:t>
            </w:r>
          </w:p>
          <w:p>
            <w:pPr>
              <w:jc w:val="center"/>
            </w:pPr>
            <w:r>
              <w:rPr>
                <w:rFonts w:ascii="Arial" w:cs="Arial" w:eastAsia="Arial" w:hAnsi="Arial"/>
                <w:color w:val="CCDDEE"/>
                <w:sz w:val="20"/>
                <w:szCs w:val="20"/>
              </w:rPr>
              <w:t xml:space="preserve">Evaluation: 5-fold stratified CV  |  Metrics: AUC-ROC, F1-Score  |  Class imbalance: SMOTE + class weighting</w:t>
            </w:r>
          </w:p>
        </w:tc>
      </w:tr>
    </w:tbl>
    <w:p>
      <w:pPr>
        <w:spacing w:after="160" w:before="0"/>
      </w:pPr>
      <w:r>
        <w:t xml:space="preserve"/>
      </w:r>
    </w:p>
    <w:p>
      <w:pPr>
        <w:pStyle w:val="Heading1"/>
        <w:pBdr>
          <w:bottom w:val="single" w:color="2E75B6" w:sz="4" w:space="4"/>
        </w:pBdr>
        <w:spacing w:after="180" w:before="360"/>
      </w:pPr>
      <w:r>
        <w:rPr>
          <w:rFonts w:ascii="Arial" w:cs="Arial" w:eastAsia="Arial" w:hAnsi="Arial"/>
          <w:b/>
          <w:bCs/>
          <w:color w:val="1F4E79"/>
          <w:sz w:val="32"/>
          <w:szCs w:val="32"/>
        </w:rPr>
        <w:t xml:space="preserve">10.  References</w:t>
      </w:r>
    </w:p>
    <w:p>
      <w:pPr>
        <w:spacing w:after="120" w:before="60" w:line="280"/>
        <w:jc w:val="both"/>
      </w:pPr>
      <w:r>
        <w:rPr>
          <w:rFonts w:ascii="Arial" w:cs="Arial" w:eastAsia="Arial" w:hAnsi="Arial"/>
          <w:color w:val="222222"/>
          <w:sz w:val="22"/>
          <w:szCs w:val="22"/>
        </w:rPr>
        <w:t xml:space="preserve">1.  Malik, I. et al. (2024). Deep learning for Alzheimer's disease prediction: A comprehensive review. Diagnostics, 14(12), 1281.</w:t>
      </w:r>
    </w:p>
    <w:p>
      <w:pPr>
        <w:spacing w:after="120" w:before="60" w:line="280"/>
        <w:jc w:val="both"/>
      </w:pPr>
      <w:r>
        <w:rPr>
          <w:rFonts w:ascii="Arial" w:cs="Arial" w:eastAsia="Arial" w:hAnsi="Arial"/>
          <w:color w:val="222222"/>
          <w:sz w:val="22"/>
          <w:szCs w:val="22"/>
        </w:rPr>
        <w:t xml:space="preserve">2.  Springer Nature (2024). Machine learning approaches for predicting progression to Alzheimer's disease in patients with MCI. Journal of Medical and Biological Engineering.</w:t>
      </w:r>
    </w:p>
    <w:p>
      <w:pPr>
        <w:spacing w:after="120" w:before="60" w:line="280"/>
        <w:jc w:val="both"/>
      </w:pPr>
      <w:r>
        <w:rPr>
          <w:rFonts w:ascii="Arial" w:cs="Arial" w:eastAsia="Arial" w:hAnsi="Arial"/>
          <w:color w:val="222222"/>
          <w:sz w:val="22"/>
          <w:szCs w:val="22"/>
        </w:rPr>
        <w:t xml:space="preserve">3.  Sheng, J. et al. (2023). XGBoost-SHAP-based interpretable diagnostic framework for Alzheimer's disease. Frontiers in Aging Neuroscience.</w:t>
      </w:r>
    </w:p>
    <w:p>
      <w:pPr>
        <w:spacing w:after="120" w:before="60" w:line="280"/>
        <w:jc w:val="both"/>
      </w:pPr>
      <w:r>
        <w:rPr>
          <w:rFonts w:ascii="Arial" w:cs="Arial" w:eastAsia="Arial" w:hAnsi="Arial"/>
          <w:color w:val="222222"/>
          <w:sz w:val="22"/>
          <w:szCs w:val="22"/>
        </w:rPr>
        <w:t xml:space="preserve">4.  Alatrany, A. S. et al. (2024). An explainable machine learning approach for Alzheimer's disease classification. Scientific Reports, 14(1), 2637.</w:t>
      </w:r>
    </w:p>
    <w:p>
      <w:pPr>
        <w:spacing w:after="120" w:before="60" w:line="280"/>
        <w:jc w:val="both"/>
      </w:pPr>
      <w:r>
        <w:rPr>
          <w:rFonts w:ascii="Arial" w:cs="Arial" w:eastAsia="Arial" w:hAnsi="Arial"/>
          <w:color w:val="222222"/>
          <w:sz w:val="22"/>
          <w:szCs w:val="22"/>
        </w:rPr>
        <w:t xml:space="preserve">5.  Mirabnahrazam, G. et al. (2025). Alzheimer's disease risk prediction using machine learning for survival analysis. Scientific Reports.</w:t>
      </w:r>
    </w:p>
    <w:p>
      <w:pPr>
        <w:spacing w:after="120" w:before="60" w:line="280"/>
        <w:jc w:val="both"/>
      </w:pPr>
      <w:r>
        <w:rPr>
          <w:rFonts w:ascii="Arial" w:cs="Arial" w:eastAsia="Arial" w:hAnsi="Arial"/>
          <w:color w:val="222222"/>
          <w:sz w:val="22"/>
          <w:szCs w:val="22"/>
        </w:rPr>
        <w:t xml:space="preserve">6.  Anonymous (2024). An adaptive machine learning triage framework for predicting Alzheimer's disease progression. arXiv:2511.06681.</w:t>
      </w:r>
    </w:p>
    <w:p>
      <w:pPr>
        <w:spacing w:after="120" w:before="60" w:line="280"/>
        <w:jc w:val="both"/>
      </w:pPr>
      <w:r>
        <w:rPr>
          <w:rFonts w:ascii="Arial" w:cs="Arial" w:eastAsia="Arial" w:hAnsi="Arial"/>
          <w:color w:val="222222"/>
          <w:sz w:val="22"/>
          <w:szCs w:val="22"/>
        </w:rPr>
        <w:t xml:space="preserve">7.  Nguyen, M. et al. (2020). Multimodal deep learning models for early detection of Alzheimer's disease stage. Scientific Reports.</w:t>
      </w:r>
    </w:p>
    <w:p>
      <w:pPr>
        <w:spacing w:after="120" w:before="60" w:line="280"/>
        <w:jc w:val="both"/>
      </w:pPr>
      <w:r>
        <w:rPr>
          <w:rFonts w:ascii="Arial" w:cs="Arial" w:eastAsia="Arial" w:hAnsi="Arial"/>
          <w:color w:val="222222"/>
          <w:sz w:val="22"/>
          <w:szCs w:val="22"/>
        </w:rPr>
        <w:t xml:space="preserve">8.  Li, M. et al. (2024). Intelligent diagnosis of Alzheimer's disease based on machine learning. arXiv:2402.08539.</w:t>
      </w:r>
    </w:p>
    <w:p>
      <w:pPr>
        <w:spacing w:after="120" w:before="60" w:line="280"/>
        <w:jc w:val="both"/>
      </w:pPr>
      <w:r>
        <w:rPr>
          <w:rFonts w:ascii="Arial" w:cs="Arial" w:eastAsia="Arial" w:hAnsi="Arial"/>
          <w:color w:val="222222"/>
          <w:sz w:val="22"/>
          <w:szCs w:val="22"/>
        </w:rPr>
        <w:t xml:space="preserve">9.  PMC (2025). Evaluation of machine learning models for the prediction of Alzheimer's disease.</w:t>
      </w:r>
    </w:p>
    <w:p>
      <w:pPr>
        <w:spacing w:after="120" w:before="60" w:line="280"/>
        <w:jc w:val="both"/>
      </w:pPr>
      <w:r>
        <w:rPr>
          <w:rFonts w:ascii="Arial" w:cs="Arial" w:eastAsia="Arial" w:hAnsi="Arial"/>
          <w:color w:val="222222"/>
          <w:sz w:val="22"/>
          <w:szCs w:val="22"/>
        </w:rPr>
        <w:t xml:space="preserve">10. BMC Medical Research Methodology (2025). Assessing the accuracy of survival ML and statistical models for AD prediction: a study on the ADNI cohort.</w:t>
      </w:r>
    </w:p>
    <w:p>
      <w:pPr>
        <w:spacing w:after="120" w:before="60" w:line="280"/>
        <w:jc w:val="both"/>
      </w:pPr>
      <w:r>
        <w:rPr>
          <w:rFonts w:ascii="Arial" w:cs="Arial" w:eastAsia="Arial" w:hAnsi="Arial"/>
          <w:color w:val="222222"/>
          <w:sz w:val="22"/>
          <w:szCs w:val="22"/>
        </w:rPr>
        <w:t xml:space="preserve">11. Tafesse, T. B. et al. (2025). Early detection of Alzheimer's disease using deep learning methods. Alzheimer's &amp; Dementia, Wiley.</w:t>
      </w:r>
    </w:p>
    <w:p>
      <w:pPr>
        <w:spacing w:after="80" w:before="0"/>
      </w:pPr>
      <w:r>
        <w:t xml:space="preserve"/>
      </w:r>
    </w:p>
    <w:p>
      <w:pPr>
        <w:pBdr>
          <w:top w:val="single" w:color="2E75B6" w:sz="2" w:space="8"/>
        </w:pBdr>
        <w:spacing w:after="0" w:before="200"/>
        <w:jc w:val="center"/>
      </w:pPr>
      <w:r>
        <w:rPr>
          <w:rFonts w:ascii="Arial" w:cs="Arial" w:eastAsia="Arial" w:hAnsi="Arial"/>
          <w:i/>
          <w:iCs/>
          <w:color w:val="888888"/>
          <w:sz w:val="18"/>
          <w:szCs w:val="18"/>
        </w:rPr>
        <w:t xml:space="preserve">End of Report  ·  Alzheimer's Disease Progression Prediction  ·  ADNI Dataset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tabs>
        <w:tab w:val="right" w:pos="9360"/>
      </w:tabs>
    </w:pPr>
    <w:r>
      <w:rPr>
        <w:rFonts w:ascii="Arial" w:cs="Arial" w:eastAsia="Arial" w:hAnsi="Arial"/>
        <w:color w:val="888888"/>
        <w:sz w:val="18"/>
        <w:szCs w:val="18"/>
      </w:rPr>
      <w:t xml:space="preserve">Ahmed Fahmy  |  Myar Sadek  |  Nadeem Shokry  |  Omar Isleem</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color w:val="888888"/>
        <w:sz w:val="18"/>
        <w:szCs w:val="18"/>
      </w:rPr>
      <w:t xml:space="preserve">Alzheimer's Disease Progression Prediction  |  ADNI Dataset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color w:val="2E75B6"/>
      </w:rPr>
    </w:lvl>
  </w:abstractNum>
  <w:abstractNum w:abstractNumId="3" w15:restartNumberingAfterBreak="0">
    <w:multiLevelType w:val="hybridMultilevel"/>
    <w:lvl w:ilvl="0" w15:tentative="1">
      <w:start w:val="1"/>
      <w:numFmt w:val="bullet"/>
      <w:lvlText w:val="○"/>
      <w:lvlJc w:val="left"/>
      <w:pPr>
        <w:ind w:left="900" w:hanging="300"/>
      </w:pPr>
      <w:rPr>
        <w:color w:val="88888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2026-05-16T16:12:27.248Z</dcterms:created>
  <dcterms:modified xsi:type="dcterms:W3CDTF">2026-05-16T16:12:27.248Z</dcterms:modified>
</cp:coreProperties>
</file>

<file path=docProps/custom.xml><?xml version="1.0" encoding="utf-8"?>
<Properties xmlns="http://schemas.openxmlformats.org/officeDocument/2006/custom-properties" xmlns:vt="http://schemas.openxmlformats.org/officeDocument/2006/docPropsVTypes"/>
</file>