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7BFDC" w14:textId="03009A36" w:rsidR="001B7FF6" w:rsidRDefault="001B7FF6" w:rsidP="001B7FF6">
      <w:pPr>
        <w:spacing w:after="0" w:line="360" w:lineRule="auto"/>
        <w:rPr>
          <w:rFonts w:asciiTheme="majorBidi" w:hAnsiTheme="majorBidi" w:cstheme="majorBidi"/>
          <w:sz w:val="32"/>
          <w:szCs w:val="32"/>
        </w:rPr>
      </w:pPr>
      <w:r>
        <w:rPr>
          <w:rFonts w:asciiTheme="majorBidi" w:hAnsiTheme="majorBidi" w:cstheme="majorBidi"/>
          <w:sz w:val="32"/>
          <w:szCs w:val="32"/>
        </w:rPr>
        <w:t>ERASMUS UNIVERSITY ROTTERDAM</w:t>
      </w:r>
    </w:p>
    <w:p w14:paraId="38D8C662" w14:textId="6CF92835" w:rsidR="001B7FF6" w:rsidRPr="001B7FF6" w:rsidRDefault="001B7FF6" w:rsidP="001B7FF6">
      <w:pPr>
        <w:spacing w:after="0" w:line="360" w:lineRule="auto"/>
        <w:rPr>
          <w:rFonts w:asciiTheme="majorBidi" w:hAnsiTheme="majorBidi" w:cstheme="majorBidi"/>
          <w:sz w:val="28"/>
          <w:szCs w:val="32"/>
        </w:rPr>
      </w:pPr>
      <w:r w:rsidRPr="001B7FF6">
        <w:rPr>
          <w:rFonts w:asciiTheme="majorBidi" w:hAnsiTheme="majorBidi" w:cstheme="majorBidi"/>
          <w:sz w:val="28"/>
          <w:szCs w:val="32"/>
        </w:rPr>
        <w:t>ERASMUS SCHOOL OF ECONOMICS</w:t>
      </w:r>
    </w:p>
    <w:p w14:paraId="6F3F5DAA" w14:textId="77777777" w:rsidR="001B7FF6" w:rsidRDefault="001B7FF6" w:rsidP="001B7FF6">
      <w:pPr>
        <w:spacing w:after="0" w:line="360" w:lineRule="auto"/>
        <w:rPr>
          <w:rFonts w:asciiTheme="majorBidi" w:hAnsiTheme="majorBidi" w:cstheme="majorBidi"/>
          <w:sz w:val="32"/>
          <w:szCs w:val="32"/>
        </w:rPr>
      </w:pPr>
    </w:p>
    <w:p w14:paraId="6F7CD19D" w14:textId="215045FF" w:rsidR="001B7FF6" w:rsidRDefault="001B7FF6" w:rsidP="001B7FF6">
      <w:pPr>
        <w:spacing w:after="0" w:line="360" w:lineRule="auto"/>
        <w:rPr>
          <w:rFonts w:asciiTheme="majorBidi" w:hAnsiTheme="majorBidi" w:cstheme="majorBidi"/>
          <w:sz w:val="28"/>
          <w:szCs w:val="32"/>
        </w:rPr>
      </w:pPr>
      <w:r w:rsidRPr="001B7FF6">
        <w:rPr>
          <w:rFonts w:asciiTheme="majorBidi" w:hAnsiTheme="majorBidi" w:cstheme="majorBidi"/>
          <w:sz w:val="28"/>
          <w:szCs w:val="32"/>
        </w:rPr>
        <w:t>Bachelor Thesis (International</w:t>
      </w:r>
      <w:r>
        <w:rPr>
          <w:rFonts w:asciiTheme="majorBidi" w:hAnsiTheme="majorBidi" w:cstheme="majorBidi"/>
          <w:sz w:val="28"/>
          <w:szCs w:val="32"/>
        </w:rPr>
        <w:t xml:space="preserve"> Bachelor Economics &amp; Business Economics 16/17)</w:t>
      </w:r>
    </w:p>
    <w:p w14:paraId="7EDDBA7E" w14:textId="77777777" w:rsidR="001B7FF6" w:rsidRDefault="001B7FF6" w:rsidP="001B7FF6">
      <w:pPr>
        <w:spacing w:after="0" w:line="360" w:lineRule="auto"/>
        <w:rPr>
          <w:rFonts w:asciiTheme="majorBidi" w:hAnsiTheme="majorBidi" w:cstheme="majorBidi"/>
          <w:sz w:val="28"/>
          <w:szCs w:val="32"/>
        </w:rPr>
      </w:pPr>
    </w:p>
    <w:p w14:paraId="1B487D32" w14:textId="77777777" w:rsidR="001B7FF6" w:rsidRDefault="001B7FF6" w:rsidP="001B7FF6">
      <w:pPr>
        <w:spacing w:after="0" w:line="360" w:lineRule="auto"/>
        <w:rPr>
          <w:rFonts w:asciiTheme="majorBidi" w:hAnsiTheme="majorBidi" w:cstheme="majorBidi"/>
          <w:sz w:val="28"/>
          <w:szCs w:val="32"/>
        </w:rPr>
      </w:pPr>
    </w:p>
    <w:p w14:paraId="46F79FBC" w14:textId="493D9B5C" w:rsidR="001B7FF6" w:rsidRPr="00FC55B9" w:rsidRDefault="00FC55B9" w:rsidP="00FC55B9">
      <w:pPr>
        <w:spacing w:after="0" w:line="360" w:lineRule="auto"/>
        <w:jc w:val="center"/>
        <w:rPr>
          <w:rFonts w:asciiTheme="majorBidi" w:hAnsiTheme="majorBidi" w:cstheme="majorBidi"/>
          <w:sz w:val="32"/>
          <w:szCs w:val="32"/>
        </w:rPr>
      </w:pPr>
      <w:r w:rsidRPr="00FC55B9">
        <w:rPr>
          <w:rFonts w:asciiTheme="majorBidi" w:hAnsiTheme="majorBidi" w:cstheme="majorBidi"/>
          <w:sz w:val="32"/>
          <w:szCs w:val="32"/>
        </w:rPr>
        <w:t>The</w:t>
      </w:r>
      <w:r w:rsidR="0033060B" w:rsidRPr="00FC55B9">
        <w:rPr>
          <w:rFonts w:asciiTheme="majorBidi" w:hAnsiTheme="majorBidi" w:cstheme="majorBidi"/>
          <w:sz w:val="32"/>
          <w:szCs w:val="32"/>
        </w:rPr>
        <w:t xml:space="preserve"> Cross-border Effect in Acquisitions</w:t>
      </w:r>
      <w:r w:rsidRPr="00FC55B9">
        <w:rPr>
          <w:rFonts w:asciiTheme="majorBidi" w:hAnsiTheme="majorBidi" w:cstheme="majorBidi"/>
          <w:sz w:val="32"/>
          <w:szCs w:val="32"/>
        </w:rPr>
        <w:t>: A Study of Western European Target Firms</w:t>
      </w:r>
    </w:p>
    <w:p w14:paraId="3A782C35" w14:textId="77777777" w:rsidR="001B7FF6" w:rsidRDefault="001B7FF6" w:rsidP="001B7FF6">
      <w:pPr>
        <w:spacing w:after="0" w:line="360" w:lineRule="auto"/>
        <w:rPr>
          <w:rFonts w:asciiTheme="majorBidi" w:hAnsiTheme="majorBidi" w:cstheme="majorBidi"/>
          <w:sz w:val="28"/>
          <w:szCs w:val="32"/>
        </w:rPr>
      </w:pPr>
    </w:p>
    <w:p w14:paraId="71693D5E" w14:textId="77777777" w:rsidR="001B7FF6" w:rsidRDefault="001B7FF6" w:rsidP="001B7FF6">
      <w:pPr>
        <w:spacing w:after="0" w:line="360" w:lineRule="auto"/>
        <w:rPr>
          <w:rFonts w:asciiTheme="majorBidi" w:hAnsiTheme="majorBidi" w:cstheme="majorBidi"/>
          <w:sz w:val="28"/>
          <w:szCs w:val="32"/>
        </w:rPr>
      </w:pPr>
    </w:p>
    <w:p w14:paraId="2F44AE98" w14:textId="77777777" w:rsidR="001B7FF6" w:rsidRDefault="001B7FF6" w:rsidP="001B7FF6">
      <w:pPr>
        <w:spacing w:after="0" w:line="360" w:lineRule="auto"/>
        <w:rPr>
          <w:rFonts w:asciiTheme="majorBidi" w:hAnsiTheme="majorBidi" w:cstheme="majorBidi"/>
          <w:sz w:val="28"/>
          <w:szCs w:val="32"/>
        </w:rPr>
      </w:pPr>
      <w:r>
        <w:rPr>
          <w:rFonts w:asciiTheme="majorBidi" w:hAnsiTheme="majorBidi" w:cstheme="majorBidi"/>
          <w:sz w:val="28"/>
          <w:szCs w:val="32"/>
        </w:rPr>
        <w:t>Name student: Abdelaziz Elfaham</w:t>
      </w:r>
    </w:p>
    <w:p w14:paraId="60C85478" w14:textId="77777777" w:rsidR="001B7FF6" w:rsidRDefault="001B7FF6" w:rsidP="001B7FF6">
      <w:pPr>
        <w:spacing w:after="0" w:line="360" w:lineRule="auto"/>
        <w:rPr>
          <w:rFonts w:asciiTheme="majorBidi" w:hAnsiTheme="majorBidi" w:cstheme="majorBidi"/>
          <w:sz w:val="28"/>
          <w:szCs w:val="32"/>
        </w:rPr>
      </w:pPr>
      <w:r>
        <w:rPr>
          <w:rFonts w:asciiTheme="majorBidi" w:hAnsiTheme="majorBidi" w:cstheme="majorBidi"/>
          <w:sz w:val="28"/>
          <w:szCs w:val="32"/>
        </w:rPr>
        <w:t>Student ID number: 424442</w:t>
      </w:r>
    </w:p>
    <w:p w14:paraId="1B282760" w14:textId="77777777" w:rsidR="001B7FF6" w:rsidRDefault="001B7FF6" w:rsidP="001B7FF6">
      <w:pPr>
        <w:spacing w:after="0" w:line="360" w:lineRule="auto"/>
        <w:rPr>
          <w:rFonts w:asciiTheme="majorBidi" w:hAnsiTheme="majorBidi" w:cstheme="majorBidi"/>
          <w:sz w:val="28"/>
          <w:szCs w:val="32"/>
        </w:rPr>
      </w:pPr>
    </w:p>
    <w:p w14:paraId="6E7B4399" w14:textId="77777777" w:rsidR="001B7FF6" w:rsidRDefault="001B7FF6" w:rsidP="001B7FF6">
      <w:pPr>
        <w:spacing w:after="0" w:line="360" w:lineRule="auto"/>
        <w:rPr>
          <w:rFonts w:asciiTheme="majorBidi" w:hAnsiTheme="majorBidi" w:cstheme="majorBidi"/>
          <w:sz w:val="28"/>
          <w:szCs w:val="32"/>
        </w:rPr>
      </w:pPr>
    </w:p>
    <w:p w14:paraId="2D88775C" w14:textId="633EEB70" w:rsidR="001B7FF6" w:rsidRDefault="001B7FF6" w:rsidP="001B7FF6">
      <w:pPr>
        <w:spacing w:after="0" w:line="360" w:lineRule="auto"/>
        <w:rPr>
          <w:rFonts w:asciiTheme="majorBidi" w:hAnsiTheme="majorBidi" w:cstheme="majorBidi"/>
          <w:sz w:val="28"/>
          <w:szCs w:val="32"/>
        </w:rPr>
      </w:pPr>
      <w:r>
        <w:rPr>
          <w:rFonts w:asciiTheme="majorBidi" w:hAnsiTheme="majorBidi" w:cstheme="majorBidi"/>
          <w:sz w:val="28"/>
          <w:szCs w:val="32"/>
        </w:rPr>
        <w:t xml:space="preserve">Supervisor: Marshall (Xiaoyin) Ma </w:t>
      </w:r>
    </w:p>
    <w:p w14:paraId="7FDB1CA6" w14:textId="1F34274B" w:rsidR="001B7FF6" w:rsidRDefault="001B7FF6" w:rsidP="001B7FF6">
      <w:pPr>
        <w:spacing w:after="0" w:line="360" w:lineRule="auto"/>
        <w:rPr>
          <w:rFonts w:asciiTheme="majorBidi" w:hAnsiTheme="majorBidi" w:cstheme="majorBidi"/>
          <w:sz w:val="28"/>
          <w:szCs w:val="32"/>
        </w:rPr>
      </w:pPr>
      <w:r>
        <w:rPr>
          <w:rFonts w:asciiTheme="majorBidi" w:hAnsiTheme="majorBidi" w:cstheme="majorBidi"/>
          <w:sz w:val="28"/>
          <w:szCs w:val="32"/>
        </w:rPr>
        <w:t>Second assessor: xxx</w:t>
      </w:r>
    </w:p>
    <w:p w14:paraId="13E6FAE7" w14:textId="77777777" w:rsidR="001B7FF6" w:rsidRDefault="001B7FF6" w:rsidP="001B7FF6">
      <w:pPr>
        <w:spacing w:after="0" w:line="360" w:lineRule="auto"/>
        <w:rPr>
          <w:rFonts w:asciiTheme="majorBidi" w:hAnsiTheme="majorBidi" w:cstheme="majorBidi"/>
          <w:sz w:val="28"/>
          <w:szCs w:val="32"/>
        </w:rPr>
      </w:pPr>
    </w:p>
    <w:p w14:paraId="2ED424A4" w14:textId="77777777" w:rsidR="001B7FF6" w:rsidRDefault="001B7FF6" w:rsidP="001B7FF6">
      <w:pPr>
        <w:spacing w:after="0" w:line="360" w:lineRule="auto"/>
        <w:rPr>
          <w:rFonts w:asciiTheme="majorBidi" w:hAnsiTheme="majorBidi" w:cstheme="majorBidi"/>
          <w:sz w:val="28"/>
          <w:szCs w:val="32"/>
        </w:rPr>
      </w:pPr>
    </w:p>
    <w:p w14:paraId="1B8E6A7E" w14:textId="5A8AF1EC" w:rsidR="001B7FF6" w:rsidRDefault="001B7FF6" w:rsidP="001B7FF6">
      <w:pPr>
        <w:spacing w:after="0" w:line="360" w:lineRule="auto"/>
        <w:rPr>
          <w:rFonts w:asciiTheme="majorBidi" w:hAnsiTheme="majorBidi" w:cstheme="majorBidi"/>
          <w:sz w:val="28"/>
          <w:szCs w:val="32"/>
        </w:rPr>
      </w:pPr>
      <w:r>
        <w:rPr>
          <w:rFonts w:asciiTheme="majorBidi" w:hAnsiTheme="majorBidi" w:cstheme="majorBidi"/>
          <w:sz w:val="28"/>
          <w:szCs w:val="32"/>
        </w:rPr>
        <w:t xml:space="preserve">Date final version: </w:t>
      </w:r>
      <w:r w:rsidR="0033060B">
        <w:rPr>
          <w:rFonts w:asciiTheme="majorBidi" w:hAnsiTheme="majorBidi" w:cstheme="majorBidi"/>
          <w:sz w:val="28"/>
          <w:szCs w:val="32"/>
        </w:rPr>
        <w:t>08-07-2019</w:t>
      </w:r>
    </w:p>
    <w:p w14:paraId="41A903B5" w14:textId="6B53AAEE" w:rsidR="001B7FF6" w:rsidRDefault="001B7FF6" w:rsidP="001B7FF6">
      <w:pPr>
        <w:spacing w:after="0" w:line="360" w:lineRule="auto"/>
        <w:rPr>
          <w:rFonts w:asciiTheme="majorBidi" w:hAnsiTheme="majorBidi" w:cstheme="majorBidi"/>
          <w:sz w:val="28"/>
          <w:szCs w:val="32"/>
        </w:rPr>
      </w:pPr>
      <w:r>
        <w:rPr>
          <w:rFonts w:asciiTheme="majorBidi" w:hAnsiTheme="majorBidi" w:cstheme="majorBidi"/>
          <w:sz w:val="28"/>
          <w:szCs w:val="32"/>
        </w:rPr>
        <w:t xml:space="preserve">Word count: </w:t>
      </w:r>
      <w:r w:rsidR="008C0428">
        <w:rPr>
          <w:rFonts w:asciiTheme="majorBidi" w:hAnsiTheme="majorBidi" w:cstheme="majorBidi"/>
          <w:sz w:val="28"/>
          <w:szCs w:val="32"/>
        </w:rPr>
        <w:t>12,</w:t>
      </w:r>
      <w:r w:rsidR="00970F26">
        <w:rPr>
          <w:rFonts w:asciiTheme="majorBidi" w:hAnsiTheme="majorBidi" w:cstheme="majorBidi"/>
          <w:sz w:val="28"/>
          <w:szCs w:val="32"/>
        </w:rPr>
        <w:t>540</w:t>
      </w:r>
    </w:p>
    <w:p w14:paraId="41981F1E" w14:textId="77777777" w:rsidR="001B7FF6" w:rsidRDefault="001B7FF6" w:rsidP="001B7FF6">
      <w:pPr>
        <w:spacing w:after="0" w:line="360" w:lineRule="auto"/>
        <w:rPr>
          <w:rFonts w:asciiTheme="majorBidi" w:hAnsiTheme="majorBidi" w:cstheme="majorBidi"/>
          <w:sz w:val="28"/>
          <w:szCs w:val="32"/>
        </w:rPr>
      </w:pPr>
    </w:p>
    <w:p w14:paraId="730A7CA4" w14:textId="77777777" w:rsidR="001B7FF6" w:rsidRDefault="001B7FF6" w:rsidP="001B7FF6">
      <w:pPr>
        <w:spacing w:after="0" w:line="360" w:lineRule="auto"/>
        <w:rPr>
          <w:rFonts w:asciiTheme="majorBidi" w:hAnsiTheme="majorBidi" w:cstheme="majorBidi"/>
          <w:sz w:val="28"/>
          <w:szCs w:val="32"/>
        </w:rPr>
      </w:pPr>
    </w:p>
    <w:p w14:paraId="745C9523" w14:textId="77777777" w:rsidR="001B7FF6" w:rsidRDefault="001B7FF6" w:rsidP="001B7FF6">
      <w:pPr>
        <w:spacing w:after="0" w:line="360" w:lineRule="auto"/>
        <w:rPr>
          <w:rFonts w:asciiTheme="majorBidi" w:hAnsiTheme="majorBidi" w:cstheme="majorBidi"/>
          <w:sz w:val="28"/>
          <w:szCs w:val="32"/>
        </w:rPr>
      </w:pPr>
    </w:p>
    <w:p w14:paraId="4A40F6FE" w14:textId="77777777" w:rsidR="001B7FF6" w:rsidRDefault="001B7FF6" w:rsidP="001B7FF6">
      <w:pPr>
        <w:spacing w:after="0" w:line="360" w:lineRule="auto"/>
      </w:pPr>
    </w:p>
    <w:p w14:paraId="4E59FC4C" w14:textId="7A522016" w:rsidR="009C2ADF" w:rsidRDefault="001B7FF6" w:rsidP="0024206F">
      <w:pPr>
        <w:spacing w:after="0" w:line="360" w:lineRule="auto"/>
      </w:pPr>
      <w:r>
        <w:t>The views stated in this thesis are those of the author and not necessarily those of Erasmus School of Economics or Erasmus University Rotterdam.</w:t>
      </w:r>
    </w:p>
    <w:p w14:paraId="5B7DF21C" w14:textId="77777777" w:rsidR="00FC55B9" w:rsidRDefault="00FC55B9">
      <w:pPr>
        <w:rPr>
          <w:rFonts w:ascii="Times New Roman" w:hAnsi="Times New Roman" w:cs="Times New Roman"/>
          <w:b/>
          <w:sz w:val="28"/>
        </w:rPr>
      </w:pPr>
    </w:p>
    <w:p w14:paraId="6114F7B3" w14:textId="77777777" w:rsidR="009C2ADF" w:rsidRDefault="009C2ADF">
      <w:pPr>
        <w:rPr>
          <w:rFonts w:ascii="Times New Roman" w:hAnsi="Times New Roman" w:cs="Times New Roman"/>
          <w:b/>
          <w:sz w:val="28"/>
        </w:rPr>
      </w:pPr>
      <w:r>
        <w:rPr>
          <w:rFonts w:ascii="Times New Roman" w:hAnsi="Times New Roman" w:cs="Times New Roman"/>
          <w:b/>
          <w:sz w:val="28"/>
        </w:rPr>
        <w:lastRenderedPageBreak/>
        <w:t>ABSTRACT</w:t>
      </w:r>
    </w:p>
    <w:p w14:paraId="3BA5E24E" w14:textId="51504531" w:rsidR="008C56D7" w:rsidRDefault="008C56D7" w:rsidP="0033060B">
      <w:pPr>
        <w:tabs>
          <w:tab w:val="left" w:pos="1052"/>
        </w:tabs>
        <w:spacing w:after="0" w:line="360" w:lineRule="auto"/>
        <w:jc w:val="both"/>
        <w:rPr>
          <w:rFonts w:ascii="Times New Roman" w:eastAsiaTheme="minorEastAsia" w:hAnsi="Times New Roman" w:cs="Times New Roman"/>
          <w:color w:val="222222"/>
          <w:sz w:val="24"/>
          <w:szCs w:val="20"/>
          <w:shd w:val="clear" w:color="auto" w:fill="FFFFFF"/>
        </w:rPr>
      </w:pPr>
      <w:r>
        <w:rPr>
          <w:rFonts w:ascii="Times New Roman" w:hAnsi="Times New Roman" w:cs="Times New Roman"/>
          <w:sz w:val="24"/>
        </w:rPr>
        <w:t xml:space="preserve">The abnormal and cumulative abnormal returns to Western European target firms in cross-border and domestic acquisitions are studied to test for a target company cross-border effect in Western Europe. The analysis focused on a sample of 654 and 435 domestic and cross-border deals, respectively, from 1990 to 2018. </w:t>
      </w:r>
      <w:r>
        <w:rPr>
          <w:rFonts w:ascii="Times New Roman" w:eastAsiaTheme="minorEastAsia" w:hAnsi="Times New Roman" w:cs="Times New Roman"/>
          <w:color w:val="222222"/>
          <w:sz w:val="24"/>
          <w:szCs w:val="20"/>
          <w:shd w:val="clear" w:color="auto" w:fill="FFFFFF"/>
        </w:rPr>
        <w:t>In the month of the bid, a</w:t>
      </w:r>
      <w:r w:rsidR="0033060B">
        <w:rPr>
          <w:rFonts w:ascii="Times New Roman" w:eastAsiaTheme="minorEastAsia" w:hAnsi="Times New Roman" w:cs="Times New Roman"/>
          <w:color w:val="222222"/>
          <w:sz w:val="24"/>
          <w:szCs w:val="20"/>
          <w:shd w:val="clear" w:color="auto" w:fill="FFFFFF"/>
        </w:rPr>
        <w:t>n insignificant</w:t>
      </w:r>
      <w:r>
        <w:rPr>
          <w:rFonts w:ascii="Times New Roman" w:eastAsiaTheme="minorEastAsia" w:hAnsi="Times New Roman" w:cs="Times New Roman"/>
          <w:color w:val="222222"/>
          <w:sz w:val="24"/>
          <w:szCs w:val="20"/>
          <w:shd w:val="clear" w:color="auto" w:fill="FFFFFF"/>
        </w:rPr>
        <w:t xml:space="preserve"> cross-border effect of, approximately, </w:t>
      </w:r>
      <w:r w:rsidRPr="00124DFB">
        <w:rPr>
          <w:rFonts w:ascii="Times New Roman" w:eastAsiaTheme="minorEastAsia" w:hAnsi="Times New Roman" w:cs="Times New Roman"/>
          <w:color w:val="222222"/>
          <w:sz w:val="24"/>
          <w:szCs w:val="20"/>
          <w:shd w:val="clear" w:color="auto" w:fill="FFFFFF"/>
        </w:rPr>
        <w:t>−6</w:t>
      </w:r>
      <w:r>
        <w:rPr>
          <w:rFonts w:ascii="Times New Roman" w:eastAsiaTheme="minorEastAsia" w:hAnsi="Times New Roman" w:cs="Times New Roman"/>
          <w:color w:val="222222"/>
          <w:sz w:val="24"/>
          <w:szCs w:val="20"/>
          <w:shd w:val="clear" w:color="auto" w:fill="FFFFFF"/>
        </w:rPr>
        <w:t>.8%</w:t>
      </w:r>
      <w:r w:rsidR="0033060B">
        <w:rPr>
          <w:rFonts w:ascii="Times New Roman" w:eastAsiaTheme="minorEastAsia" w:hAnsi="Times New Roman" w:cs="Times New Roman"/>
          <w:color w:val="222222"/>
          <w:sz w:val="24"/>
          <w:szCs w:val="20"/>
          <w:shd w:val="clear" w:color="auto" w:fill="FFFFFF"/>
        </w:rPr>
        <w:t xml:space="preserve"> is found</w:t>
      </w:r>
      <w:r>
        <w:rPr>
          <w:rFonts w:ascii="Times New Roman" w:eastAsiaTheme="minorEastAsia" w:hAnsi="Times New Roman" w:cs="Times New Roman"/>
          <w:color w:val="222222"/>
          <w:sz w:val="24"/>
          <w:szCs w:val="20"/>
          <w:shd w:val="clear" w:color="auto" w:fill="FFFFFF"/>
        </w:rPr>
        <w:t>, indicating that target firms in domestic deals outperform those in cross-border bids.</w:t>
      </w:r>
      <w:r w:rsidR="0033060B" w:rsidRPr="0033060B">
        <w:rPr>
          <w:rFonts w:ascii="Times New Roman" w:hAnsi="Times New Roman" w:cs="Times New Roman"/>
          <w:sz w:val="24"/>
        </w:rPr>
        <w:t xml:space="preserve"> </w:t>
      </w:r>
      <w:r w:rsidR="0033060B" w:rsidRPr="00AC50A8">
        <w:rPr>
          <w:rFonts w:ascii="Times New Roman" w:hAnsi="Times New Roman" w:cs="Times New Roman"/>
          <w:sz w:val="24"/>
        </w:rPr>
        <w:t xml:space="preserve">The highest difference in cumulative abnormal returns between </w:t>
      </w:r>
      <w:r w:rsidR="0033060B">
        <w:rPr>
          <w:rFonts w:ascii="Times New Roman" w:hAnsi="Times New Roman" w:cs="Times New Roman"/>
          <w:sz w:val="24"/>
        </w:rPr>
        <w:t>target firms in cross-border and domestic acquisitions</w:t>
      </w:r>
      <w:r w:rsidR="0033060B" w:rsidRPr="00AC50A8">
        <w:rPr>
          <w:rFonts w:ascii="Times New Roman" w:hAnsi="Times New Roman" w:cs="Times New Roman"/>
          <w:sz w:val="24"/>
        </w:rPr>
        <w:t xml:space="preserve"> is observed from day t0 to t-1 and t-1 to t+5, accounting to a highly significant positive cross-border effect of 5.7% and 3.3%</w:t>
      </w:r>
      <w:r w:rsidR="0033060B">
        <w:rPr>
          <w:rFonts w:ascii="Times New Roman" w:hAnsi="Times New Roman" w:cs="Times New Roman"/>
          <w:sz w:val="24"/>
        </w:rPr>
        <w:t>, respectively. The Western European target company cross-border effect seems to be explained by the market access premium and differences in bid and firm specific characteristics, in particular, the payment method, percentage of stake acquired, and industry of the target firm. Once the payment method, percentage of shares acquired, and the target firms’ industries are controlled for, the target company cross-border effect is found to be insignificant.</w:t>
      </w:r>
      <w:r>
        <w:rPr>
          <w:rFonts w:ascii="Times New Roman" w:eastAsiaTheme="minorEastAsia" w:hAnsi="Times New Roman" w:cs="Times New Roman"/>
          <w:color w:val="222222"/>
          <w:sz w:val="24"/>
          <w:szCs w:val="20"/>
          <w:shd w:val="clear" w:color="auto" w:fill="FFFFFF"/>
        </w:rPr>
        <w:t xml:space="preserve">   </w:t>
      </w:r>
    </w:p>
    <w:p w14:paraId="796C9A08" w14:textId="77777777" w:rsidR="0033060B" w:rsidRDefault="0033060B" w:rsidP="0033060B">
      <w:pPr>
        <w:tabs>
          <w:tab w:val="left" w:pos="1052"/>
        </w:tabs>
        <w:spacing w:after="0" w:line="360" w:lineRule="auto"/>
        <w:jc w:val="both"/>
        <w:rPr>
          <w:rFonts w:ascii="Times New Roman" w:eastAsiaTheme="minorEastAsia" w:hAnsi="Times New Roman" w:cs="Times New Roman"/>
          <w:color w:val="222222"/>
          <w:sz w:val="24"/>
          <w:szCs w:val="20"/>
          <w:shd w:val="clear" w:color="auto" w:fill="FFFFFF"/>
        </w:rPr>
      </w:pPr>
    </w:p>
    <w:p w14:paraId="565E11C7" w14:textId="77777777" w:rsidR="0033060B" w:rsidRDefault="0033060B" w:rsidP="0033060B">
      <w:pPr>
        <w:tabs>
          <w:tab w:val="left" w:pos="1052"/>
        </w:tabs>
        <w:spacing w:after="0" w:line="360" w:lineRule="auto"/>
        <w:jc w:val="both"/>
        <w:rPr>
          <w:rFonts w:ascii="Times New Roman" w:eastAsiaTheme="minorEastAsia" w:hAnsi="Times New Roman" w:cs="Times New Roman"/>
          <w:b/>
          <w:color w:val="222222"/>
          <w:sz w:val="24"/>
          <w:szCs w:val="20"/>
          <w:shd w:val="clear" w:color="auto" w:fill="FFFFFF"/>
        </w:rPr>
      </w:pPr>
    </w:p>
    <w:p w14:paraId="71DCD648" w14:textId="1AF3FFAF" w:rsidR="0033060B" w:rsidRPr="0033060B" w:rsidRDefault="0033060B" w:rsidP="0033060B">
      <w:pPr>
        <w:tabs>
          <w:tab w:val="left" w:pos="1052"/>
        </w:tabs>
        <w:spacing w:after="0" w:line="360" w:lineRule="auto"/>
        <w:jc w:val="both"/>
        <w:rPr>
          <w:rFonts w:ascii="Times New Roman" w:eastAsiaTheme="minorEastAsia" w:hAnsi="Times New Roman" w:cs="Times New Roman"/>
          <w:color w:val="222222"/>
          <w:sz w:val="24"/>
          <w:szCs w:val="20"/>
          <w:shd w:val="clear" w:color="auto" w:fill="FFFFFF"/>
        </w:rPr>
      </w:pPr>
      <w:r>
        <w:rPr>
          <w:rFonts w:ascii="Times New Roman" w:eastAsiaTheme="minorEastAsia" w:hAnsi="Times New Roman" w:cs="Times New Roman"/>
          <w:b/>
          <w:color w:val="222222"/>
          <w:sz w:val="24"/>
          <w:szCs w:val="20"/>
          <w:shd w:val="clear" w:color="auto" w:fill="FFFFFF"/>
        </w:rPr>
        <w:t xml:space="preserve">Keywords: </w:t>
      </w:r>
      <w:r>
        <w:rPr>
          <w:rFonts w:ascii="Times New Roman" w:eastAsiaTheme="minorEastAsia" w:hAnsi="Times New Roman" w:cs="Times New Roman"/>
          <w:color w:val="222222"/>
          <w:sz w:val="24"/>
          <w:szCs w:val="20"/>
          <w:shd w:val="clear" w:color="auto" w:fill="FFFFFF"/>
        </w:rPr>
        <w:t xml:space="preserve">merger and acquisitions; target firms; cross-border effect; target shareholder’s abnormal returns; target shareholder’s cumulative abnormal returns.  </w:t>
      </w:r>
    </w:p>
    <w:p w14:paraId="506CD5C7" w14:textId="35E9D99B" w:rsidR="001B39D5" w:rsidRPr="008C56D7" w:rsidRDefault="008C56D7" w:rsidP="008C56D7">
      <w:pPr>
        <w:rPr>
          <w:rFonts w:ascii="Times New Roman" w:eastAsiaTheme="minorEastAsia" w:hAnsi="Times New Roman" w:cs="Times New Roman"/>
          <w:color w:val="222222"/>
          <w:sz w:val="24"/>
          <w:szCs w:val="20"/>
          <w:shd w:val="clear" w:color="auto" w:fill="FFFFFF"/>
        </w:rPr>
      </w:pPr>
      <w:r>
        <w:rPr>
          <w:rFonts w:ascii="Times New Roman" w:eastAsiaTheme="minorEastAsia" w:hAnsi="Times New Roman" w:cs="Times New Roman"/>
          <w:color w:val="222222"/>
          <w:sz w:val="24"/>
          <w:szCs w:val="20"/>
          <w:shd w:val="clear" w:color="auto" w:fill="FFFFFF"/>
        </w:rPr>
        <w:br w:type="page"/>
      </w:r>
    </w:p>
    <w:sdt>
      <w:sdtPr>
        <w:rPr>
          <w:rFonts w:ascii="Times New Roman" w:eastAsiaTheme="minorEastAsia" w:hAnsi="Times New Roman" w:cs="Times New Roman"/>
          <w:b/>
          <w:color w:val="000000" w:themeColor="text1"/>
          <w:sz w:val="28"/>
          <w:szCs w:val="24"/>
        </w:rPr>
        <w:id w:val="-815259883"/>
        <w:docPartObj>
          <w:docPartGallery w:val="Table of Contents"/>
          <w:docPartUnique/>
        </w:docPartObj>
      </w:sdtPr>
      <w:sdtEndPr>
        <w:rPr>
          <w:b w:val="0"/>
          <w:color w:val="auto"/>
          <w:sz w:val="20"/>
          <w:szCs w:val="20"/>
        </w:rPr>
      </w:sdtEndPr>
      <w:sdtContent>
        <w:p w14:paraId="7D582C6D" w14:textId="33189AC6" w:rsidR="00E20AB2" w:rsidRPr="009C2ADF" w:rsidRDefault="00E20AB2" w:rsidP="004F1F6E">
          <w:pPr>
            <w:pStyle w:val="TOCHeading"/>
            <w:rPr>
              <w:rFonts w:ascii="Times New Roman" w:hAnsi="Times New Roman" w:cs="Times New Roman"/>
              <w:b/>
              <w:color w:val="000000" w:themeColor="text1"/>
              <w:sz w:val="28"/>
              <w:szCs w:val="24"/>
            </w:rPr>
          </w:pPr>
          <w:r w:rsidRPr="009C2ADF">
            <w:rPr>
              <w:rFonts w:ascii="Times New Roman" w:hAnsi="Times New Roman" w:cs="Times New Roman"/>
              <w:b/>
              <w:color w:val="000000" w:themeColor="text1"/>
              <w:sz w:val="28"/>
              <w:szCs w:val="24"/>
            </w:rPr>
            <w:t xml:space="preserve">Table of contents </w:t>
          </w:r>
        </w:p>
        <w:p w14:paraId="51F6632A" w14:textId="77777777" w:rsidR="004F1F6E" w:rsidRPr="009C2ADF" w:rsidRDefault="004F1F6E" w:rsidP="004F1F6E">
          <w:pPr>
            <w:rPr>
              <w:sz w:val="24"/>
              <w:szCs w:val="24"/>
            </w:rPr>
          </w:pPr>
        </w:p>
        <w:p w14:paraId="0F100311" w14:textId="4C6A28DB" w:rsidR="004F1F6E" w:rsidRPr="009C2ADF" w:rsidRDefault="004F1F6E" w:rsidP="004F1F6E">
          <w:pPr>
            <w:pStyle w:val="TOC1"/>
          </w:pPr>
          <w:r w:rsidRPr="009C2ADF">
            <w:t>Abstract</w:t>
          </w:r>
          <w:r w:rsidRPr="009C2ADF">
            <w:ptab w:relativeTo="margin" w:alignment="right" w:leader="dot"/>
          </w:r>
          <w:r w:rsidR="009D1534">
            <w:t>3</w:t>
          </w:r>
        </w:p>
        <w:p w14:paraId="74525A2C" w14:textId="7A9D2EB6" w:rsidR="004F1F6E" w:rsidRPr="009C2ADF" w:rsidRDefault="004F1F6E" w:rsidP="004F1F6E">
          <w:pPr>
            <w:pStyle w:val="TOC1"/>
          </w:pPr>
          <w:r w:rsidRPr="009C2ADF">
            <w:t>Table of contents</w:t>
          </w:r>
          <w:r w:rsidRPr="009C2ADF">
            <w:ptab w:relativeTo="margin" w:alignment="right" w:leader="dot"/>
          </w:r>
          <w:r w:rsidR="009D1534">
            <w:t>4</w:t>
          </w:r>
        </w:p>
        <w:p w14:paraId="65447A2D" w14:textId="169FFA67" w:rsidR="004F1F6E" w:rsidRPr="009C2ADF" w:rsidRDefault="004F1F6E" w:rsidP="004F1F6E">
          <w:pPr>
            <w:pStyle w:val="TOC1"/>
          </w:pPr>
          <w:r w:rsidRPr="009C2ADF">
            <w:t>List of tables and figures</w:t>
          </w:r>
          <w:r w:rsidRPr="009C2ADF">
            <w:ptab w:relativeTo="margin" w:alignment="right" w:leader="dot"/>
          </w:r>
          <w:r w:rsidR="009D1534">
            <w:t>5</w:t>
          </w:r>
        </w:p>
        <w:p w14:paraId="7B92D67B" w14:textId="076FBD8E" w:rsidR="001B39D5" w:rsidRPr="009C2ADF" w:rsidRDefault="00E20AB2" w:rsidP="00271DB2">
          <w:pPr>
            <w:pStyle w:val="TOC1"/>
          </w:pPr>
          <w:r w:rsidRPr="009C2ADF">
            <w:t>Chapter 1</w:t>
          </w:r>
          <w:r w:rsidRPr="009C2ADF">
            <w:rPr>
              <w:b/>
            </w:rPr>
            <w:t xml:space="preserve"> </w:t>
          </w:r>
          <w:r w:rsidRPr="009C2ADF">
            <w:t>Introduction</w:t>
          </w:r>
          <w:r w:rsidR="001B39D5" w:rsidRPr="009C2ADF">
            <w:ptab w:relativeTo="margin" w:alignment="right" w:leader="dot"/>
          </w:r>
          <w:r w:rsidR="009D1534">
            <w:t>6</w:t>
          </w:r>
        </w:p>
        <w:p w14:paraId="34C639C9" w14:textId="205F93D8" w:rsidR="001B39D5" w:rsidRPr="009C2ADF" w:rsidRDefault="00E20AB2" w:rsidP="00271DB2">
          <w:pPr>
            <w:pStyle w:val="TOC1"/>
          </w:pPr>
          <w:r w:rsidRPr="009C2ADF">
            <w:t>Chapter 2 Theoretical Framework</w:t>
          </w:r>
          <w:r w:rsidR="001B39D5" w:rsidRPr="009C2ADF">
            <w:ptab w:relativeTo="margin" w:alignment="right" w:leader="dot"/>
          </w:r>
          <w:r w:rsidR="009C2ADF" w:rsidRPr="009C2ADF">
            <w:t>8</w:t>
          </w:r>
        </w:p>
        <w:p w14:paraId="33A3AF6F" w14:textId="5DAE134D" w:rsidR="001B39D5" w:rsidRPr="009C2ADF" w:rsidRDefault="00E20AB2" w:rsidP="009C2ADF">
          <w:pPr>
            <w:pStyle w:val="TOC2"/>
          </w:pPr>
          <w:r w:rsidRPr="009C2ADF">
            <w:t>2.1 Cross-border effect</w:t>
          </w:r>
          <w:r w:rsidR="001B39D5" w:rsidRPr="009C2ADF">
            <w:ptab w:relativeTo="margin" w:alignment="right" w:leader="dot"/>
          </w:r>
          <w:r w:rsidR="0009484A">
            <w:t>8</w:t>
          </w:r>
        </w:p>
        <w:p w14:paraId="5C8EB23A" w14:textId="50EAE9A5" w:rsidR="001B39D5" w:rsidRPr="009C2ADF" w:rsidRDefault="00E20AB2" w:rsidP="00E20AB2">
          <w:pPr>
            <w:pStyle w:val="TOC3"/>
            <w:ind w:left="1886" w:firstLine="274"/>
            <w:rPr>
              <w:rFonts w:ascii="Times New Roman" w:hAnsi="Times New Roman"/>
              <w:sz w:val="20"/>
              <w:szCs w:val="20"/>
            </w:rPr>
          </w:pPr>
          <w:r w:rsidRPr="009C2ADF">
            <w:rPr>
              <w:rFonts w:ascii="Times New Roman" w:hAnsi="Times New Roman"/>
              <w:sz w:val="20"/>
              <w:szCs w:val="20"/>
            </w:rPr>
            <w:t>2.1.1 International risk diversification</w:t>
          </w:r>
          <w:r w:rsidR="001B39D5" w:rsidRPr="009C2ADF">
            <w:rPr>
              <w:rFonts w:ascii="Times New Roman" w:hAnsi="Times New Roman"/>
              <w:sz w:val="20"/>
              <w:szCs w:val="20"/>
            </w:rPr>
            <w:ptab w:relativeTo="margin" w:alignment="right" w:leader="dot"/>
          </w:r>
          <w:r w:rsidR="0009484A">
            <w:rPr>
              <w:rFonts w:ascii="Times New Roman" w:hAnsi="Times New Roman"/>
              <w:sz w:val="20"/>
              <w:szCs w:val="20"/>
            </w:rPr>
            <w:t>9</w:t>
          </w:r>
        </w:p>
        <w:p w14:paraId="52CFD2B0" w14:textId="5B6F076D" w:rsidR="00E20AB2" w:rsidRPr="009C2ADF" w:rsidRDefault="00E20AB2" w:rsidP="00E20AB2">
          <w:pPr>
            <w:pStyle w:val="TOC3"/>
            <w:ind w:left="1886" w:firstLine="274"/>
            <w:rPr>
              <w:rFonts w:ascii="Times New Roman" w:hAnsi="Times New Roman"/>
              <w:sz w:val="20"/>
              <w:szCs w:val="20"/>
            </w:rPr>
          </w:pPr>
          <w:r w:rsidRPr="009C2ADF">
            <w:rPr>
              <w:rFonts w:ascii="Times New Roman" w:hAnsi="Times New Roman"/>
              <w:sz w:val="20"/>
              <w:szCs w:val="20"/>
            </w:rPr>
            <w:t>2.1.2 Market access</w:t>
          </w:r>
          <w:r w:rsidRPr="009C2ADF">
            <w:rPr>
              <w:rFonts w:ascii="Times New Roman" w:hAnsi="Times New Roman"/>
              <w:sz w:val="20"/>
              <w:szCs w:val="20"/>
            </w:rPr>
            <w:ptab w:relativeTo="margin" w:alignment="right" w:leader="dot"/>
          </w:r>
          <w:r w:rsidR="0009484A">
            <w:rPr>
              <w:rFonts w:ascii="Times New Roman" w:hAnsi="Times New Roman"/>
              <w:sz w:val="20"/>
              <w:szCs w:val="20"/>
            </w:rPr>
            <w:t>10</w:t>
          </w:r>
        </w:p>
        <w:p w14:paraId="6A898CCF" w14:textId="48BDC1AE" w:rsidR="00E20AB2" w:rsidRPr="009C2ADF" w:rsidRDefault="00E20AB2" w:rsidP="00E20AB2">
          <w:pPr>
            <w:pStyle w:val="TOC3"/>
            <w:ind w:left="1886" w:firstLine="274"/>
            <w:rPr>
              <w:rFonts w:ascii="Times New Roman" w:hAnsi="Times New Roman"/>
              <w:sz w:val="20"/>
              <w:szCs w:val="20"/>
            </w:rPr>
          </w:pPr>
          <w:r w:rsidRPr="009C2ADF">
            <w:rPr>
              <w:rFonts w:ascii="Times New Roman" w:hAnsi="Times New Roman"/>
              <w:sz w:val="20"/>
              <w:szCs w:val="20"/>
            </w:rPr>
            <w:t>2</w:t>
          </w:r>
          <w:r w:rsidR="004F1F6E" w:rsidRPr="009C2ADF">
            <w:rPr>
              <w:rFonts w:ascii="Times New Roman" w:hAnsi="Times New Roman"/>
              <w:sz w:val="20"/>
              <w:szCs w:val="20"/>
            </w:rPr>
            <w:t>.1.3</w:t>
          </w:r>
          <w:r w:rsidRPr="009C2ADF">
            <w:rPr>
              <w:rFonts w:ascii="Times New Roman" w:hAnsi="Times New Roman"/>
              <w:sz w:val="20"/>
              <w:szCs w:val="20"/>
            </w:rPr>
            <w:t xml:space="preserve"> Exchange rate effect</w:t>
          </w:r>
          <w:r w:rsidRPr="009C2ADF">
            <w:rPr>
              <w:rFonts w:ascii="Times New Roman" w:hAnsi="Times New Roman"/>
              <w:sz w:val="20"/>
              <w:szCs w:val="20"/>
            </w:rPr>
            <w:ptab w:relativeTo="margin" w:alignment="right" w:leader="dot"/>
          </w:r>
          <w:r w:rsidR="0009484A">
            <w:rPr>
              <w:rFonts w:ascii="Times New Roman" w:hAnsi="Times New Roman"/>
              <w:sz w:val="20"/>
              <w:szCs w:val="20"/>
            </w:rPr>
            <w:t>11</w:t>
          </w:r>
        </w:p>
        <w:p w14:paraId="4464319B" w14:textId="75F3C2B3" w:rsidR="00E20AB2" w:rsidRPr="009C2ADF" w:rsidRDefault="00E20AB2" w:rsidP="00E20AB2">
          <w:pPr>
            <w:pStyle w:val="TOC3"/>
            <w:ind w:left="1886" w:firstLine="274"/>
            <w:rPr>
              <w:rFonts w:ascii="Times New Roman" w:hAnsi="Times New Roman"/>
              <w:sz w:val="20"/>
              <w:szCs w:val="20"/>
            </w:rPr>
          </w:pPr>
          <w:r w:rsidRPr="009C2ADF">
            <w:rPr>
              <w:rFonts w:ascii="Times New Roman" w:hAnsi="Times New Roman"/>
              <w:sz w:val="20"/>
              <w:szCs w:val="20"/>
            </w:rPr>
            <w:t>2</w:t>
          </w:r>
          <w:r w:rsidR="004F1F6E" w:rsidRPr="009C2ADF">
            <w:rPr>
              <w:rFonts w:ascii="Times New Roman" w:hAnsi="Times New Roman"/>
              <w:sz w:val="20"/>
              <w:szCs w:val="20"/>
            </w:rPr>
            <w:t>.1.4</w:t>
          </w:r>
          <w:r w:rsidRPr="009C2ADF">
            <w:rPr>
              <w:rFonts w:ascii="Times New Roman" w:hAnsi="Times New Roman"/>
              <w:sz w:val="20"/>
              <w:szCs w:val="20"/>
            </w:rPr>
            <w:t xml:space="preserve"> Managerial factors</w:t>
          </w:r>
          <w:r w:rsidRPr="009C2ADF">
            <w:rPr>
              <w:rFonts w:ascii="Times New Roman" w:hAnsi="Times New Roman"/>
              <w:sz w:val="20"/>
              <w:szCs w:val="20"/>
            </w:rPr>
            <w:ptab w:relativeTo="margin" w:alignment="right" w:leader="dot"/>
          </w:r>
          <w:r w:rsidR="0009484A">
            <w:rPr>
              <w:rFonts w:ascii="Times New Roman" w:hAnsi="Times New Roman"/>
              <w:sz w:val="20"/>
              <w:szCs w:val="20"/>
            </w:rPr>
            <w:t>12</w:t>
          </w:r>
        </w:p>
        <w:p w14:paraId="03DE2BF0" w14:textId="2EB10DE5" w:rsidR="00E20AB2" w:rsidRPr="009C2ADF" w:rsidRDefault="00E20AB2" w:rsidP="00E20AB2">
          <w:pPr>
            <w:pStyle w:val="TOC3"/>
            <w:ind w:left="1886" w:firstLine="274"/>
            <w:rPr>
              <w:rFonts w:ascii="Times New Roman" w:hAnsi="Times New Roman"/>
              <w:sz w:val="20"/>
              <w:szCs w:val="20"/>
            </w:rPr>
          </w:pPr>
          <w:r w:rsidRPr="009C2ADF">
            <w:rPr>
              <w:rFonts w:ascii="Times New Roman" w:hAnsi="Times New Roman"/>
              <w:sz w:val="20"/>
              <w:szCs w:val="20"/>
            </w:rPr>
            <w:t>2</w:t>
          </w:r>
          <w:r w:rsidR="004F1F6E" w:rsidRPr="009C2ADF">
            <w:rPr>
              <w:rFonts w:ascii="Times New Roman" w:hAnsi="Times New Roman"/>
              <w:sz w:val="20"/>
              <w:szCs w:val="20"/>
            </w:rPr>
            <w:t>.1.5</w:t>
          </w:r>
          <w:r w:rsidRPr="009C2ADF">
            <w:rPr>
              <w:rFonts w:ascii="Times New Roman" w:hAnsi="Times New Roman"/>
              <w:sz w:val="20"/>
              <w:szCs w:val="20"/>
            </w:rPr>
            <w:t xml:space="preserve"> Characteristics Factors</w:t>
          </w:r>
          <w:r w:rsidRPr="009C2ADF">
            <w:rPr>
              <w:rFonts w:ascii="Times New Roman" w:hAnsi="Times New Roman"/>
              <w:sz w:val="20"/>
              <w:szCs w:val="20"/>
            </w:rPr>
            <w:ptab w:relativeTo="margin" w:alignment="right" w:leader="dot"/>
          </w:r>
          <w:r w:rsidR="0009484A">
            <w:rPr>
              <w:rFonts w:ascii="Times New Roman" w:hAnsi="Times New Roman"/>
              <w:sz w:val="20"/>
              <w:szCs w:val="20"/>
            </w:rPr>
            <w:t>13</w:t>
          </w:r>
        </w:p>
        <w:p w14:paraId="0855A326" w14:textId="0B2F5B1D" w:rsidR="00E20AB2" w:rsidRPr="009C2ADF" w:rsidRDefault="00E20AB2" w:rsidP="00E20AB2">
          <w:pPr>
            <w:ind w:left="1276"/>
            <w:rPr>
              <w:sz w:val="20"/>
              <w:szCs w:val="20"/>
            </w:rPr>
          </w:pPr>
          <w:r w:rsidRPr="009C2ADF">
            <w:rPr>
              <w:rFonts w:ascii="Times New Roman" w:hAnsi="Times New Roman"/>
              <w:sz w:val="20"/>
              <w:szCs w:val="20"/>
            </w:rPr>
            <w:t>2.2 Hypotheses</w:t>
          </w:r>
          <w:r w:rsidRPr="009C2ADF">
            <w:rPr>
              <w:rFonts w:ascii="Times New Roman" w:hAnsi="Times New Roman" w:cs="Times New Roman"/>
              <w:sz w:val="20"/>
              <w:szCs w:val="20"/>
            </w:rPr>
            <w:ptab w:relativeTo="margin" w:alignment="right" w:leader="dot"/>
          </w:r>
          <w:r w:rsidR="0009484A">
            <w:rPr>
              <w:rFonts w:ascii="Times New Roman" w:hAnsi="Times New Roman" w:cs="Times New Roman"/>
              <w:sz w:val="20"/>
              <w:szCs w:val="20"/>
            </w:rPr>
            <w:t>15</w:t>
          </w:r>
        </w:p>
        <w:p w14:paraId="23D3A48A" w14:textId="197E499F" w:rsidR="001B39D5" w:rsidRPr="009C2ADF" w:rsidRDefault="00271DB2" w:rsidP="00271DB2">
          <w:pPr>
            <w:pStyle w:val="TOC1"/>
          </w:pPr>
          <w:r w:rsidRPr="009C2ADF">
            <w:t xml:space="preserve">Chapter 3 </w:t>
          </w:r>
          <w:r w:rsidR="001B39D5" w:rsidRPr="009C2ADF">
            <w:t>Data</w:t>
          </w:r>
          <w:r w:rsidR="001B39D5" w:rsidRPr="009C2ADF">
            <w:ptab w:relativeTo="margin" w:alignment="right" w:leader="dot"/>
          </w:r>
          <w:r w:rsidR="0009484A">
            <w:t>18</w:t>
          </w:r>
        </w:p>
        <w:p w14:paraId="1B3DD315" w14:textId="1B432865" w:rsidR="007C79C0" w:rsidRPr="009C2ADF" w:rsidRDefault="007C79C0" w:rsidP="009C2ADF">
          <w:pPr>
            <w:pStyle w:val="TOC2"/>
          </w:pPr>
          <w:r w:rsidRPr="009C2ADF">
            <w:t>3.1 Descriptive statistics</w:t>
          </w:r>
          <w:r w:rsidRPr="009C2ADF">
            <w:ptab w:relativeTo="margin" w:alignment="right" w:leader="dot"/>
          </w:r>
          <w:r w:rsidR="0009484A">
            <w:t>20</w:t>
          </w:r>
        </w:p>
        <w:p w14:paraId="4C889BC9" w14:textId="12489E45" w:rsidR="001B39D5" w:rsidRPr="009C2ADF" w:rsidRDefault="00271DB2" w:rsidP="00271DB2">
          <w:pPr>
            <w:pStyle w:val="TOC1"/>
          </w:pPr>
          <w:r w:rsidRPr="009C2ADF">
            <w:t xml:space="preserve">Chapter 4 </w:t>
          </w:r>
          <w:r w:rsidR="001B39D5" w:rsidRPr="009C2ADF">
            <w:t>Methodology</w:t>
          </w:r>
          <w:r w:rsidR="001B39D5" w:rsidRPr="009C2ADF">
            <w:ptab w:relativeTo="margin" w:alignment="right" w:leader="dot"/>
          </w:r>
          <w:r w:rsidR="00970F26">
            <w:t>23</w:t>
          </w:r>
        </w:p>
        <w:p w14:paraId="20F80D16" w14:textId="266DCF50" w:rsidR="007C79C0" w:rsidRPr="009C2ADF" w:rsidRDefault="007C79C0" w:rsidP="009C2ADF">
          <w:pPr>
            <w:pStyle w:val="TOC2"/>
          </w:pPr>
          <w:r w:rsidRPr="009C2ADF">
            <w:t>4.1 Event study</w:t>
          </w:r>
          <w:r w:rsidRPr="009C2ADF">
            <w:ptab w:relativeTo="margin" w:alignment="right" w:leader="dot"/>
          </w:r>
          <w:r w:rsidR="0009484A">
            <w:t>23</w:t>
          </w:r>
        </w:p>
        <w:p w14:paraId="0BFC37FE" w14:textId="38167120" w:rsidR="007C79C0" w:rsidRPr="009C2ADF" w:rsidRDefault="007C79C0" w:rsidP="007C79C0">
          <w:pPr>
            <w:pStyle w:val="TOC3"/>
            <w:ind w:left="1886" w:firstLine="274"/>
            <w:rPr>
              <w:rFonts w:ascii="Times New Roman" w:hAnsi="Times New Roman"/>
              <w:sz w:val="20"/>
              <w:szCs w:val="20"/>
            </w:rPr>
          </w:pPr>
          <w:r w:rsidRPr="009C2ADF">
            <w:rPr>
              <w:rFonts w:ascii="Times New Roman" w:hAnsi="Times New Roman"/>
              <w:sz w:val="20"/>
              <w:szCs w:val="20"/>
            </w:rPr>
            <w:t>4.1.1 Calculating the normal returns</w:t>
          </w:r>
          <w:r w:rsidRPr="009C2ADF">
            <w:rPr>
              <w:rFonts w:ascii="Times New Roman" w:hAnsi="Times New Roman"/>
              <w:sz w:val="20"/>
              <w:szCs w:val="20"/>
            </w:rPr>
            <w:ptab w:relativeTo="margin" w:alignment="right" w:leader="dot"/>
          </w:r>
          <w:r w:rsidR="00970F26">
            <w:rPr>
              <w:rFonts w:ascii="Times New Roman" w:hAnsi="Times New Roman"/>
              <w:sz w:val="20"/>
              <w:szCs w:val="20"/>
            </w:rPr>
            <w:t>24</w:t>
          </w:r>
        </w:p>
        <w:p w14:paraId="73975C37" w14:textId="64538FA9" w:rsidR="007C79C0" w:rsidRPr="009C2ADF" w:rsidRDefault="007C79C0" w:rsidP="007C79C0">
          <w:pPr>
            <w:pStyle w:val="TOC3"/>
            <w:ind w:left="1886" w:firstLine="274"/>
            <w:rPr>
              <w:rFonts w:ascii="Times New Roman" w:hAnsi="Times New Roman"/>
              <w:sz w:val="20"/>
              <w:szCs w:val="20"/>
            </w:rPr>
          </w:pPr>
          <w:r w:rsidRPr="009C2ADF">
            <w:rPr>
              <w:rFonts w:ascii="Times New Roman" w:hAnsi="Times New Roman"/>
              <w:sz w:val="20"/>
              <w:szCs w:val="20"/>
            </w:rPr>
            <w:t>4.1.2 Calculating the cumulative abnormal returns</w:t>
          </w:r>
          <w:r w:rsidRPr="009C2ADF">
            <w:rPr>
              <w:rFonts w:ascii="Times New Roman" w:hAnsi="Times New Roman"/>
              <w:sz w:val="20"/>
              <w:szCs w:val="20"/>
            </w:rPr>
            <w:ptab w:relativeTo="margin" w:alignment="right" w:leader="dot"/>
          </w:r>
          <w:r w:rsidR="0009484A">
            <w:rPr>
              <w:rFonts w:ascii="Times New Roman" w:hAnsi="Times New Roman"/>
              <w:sz w:val="20"/>
              <w:szCs w:val="20"/>
            </w:rPr>
            <w:t>25</w:t>
          </w:r>
        </w:p>
        <w:p w14:paraId="5748DAA0" w14:textId="4AB6651F" w:rsidR="007C79C0" w:rsidRPr="009C2ADF" w:rsidRDefault="007C79C0" w:rsidP="007C79C0">
          <w:pPr>
            <w:ind w:left="1276"/>
            <w:rPr>
              <w:rFonts w:ascii="Times New Roman" w:hAnsi="Times New Roman" w:cs="Times New Roman"/>
              <w:sz w:val="20"/>
              <w:szCs w:val="20"/>
            </w:rPr>
          </w:pPr>
          <w:r w:rsidRPr="009C2ADF">
            <w:rPr>
              <w:rFonts w:ascii="Times New Roman" w:hAnsi="Times New Roman"/>
              <w:sz w:val="20"/>
              <w:szCs w:val="20"/>
            </w:rPr>
            <w:t>4.2 Significance Test</w:t>
          </w:r>
          <w:r w:rsidRPr="009C2ADF">
            <w:rPr>
              <w:rFonts w:ascii="Times New Roman" w:hAnsi="Times New Roman" w:cs="Times New Roman"/>
              <w:sz w:val="20"/>
              <w:szCs w:val="20"/>
            </w:rPr>
            <w:ptab w:relativeTo="margin" w:alignment="right" w:leader="dot"/>
          </w:r>
          <w:r w:rsidR="0009484A">
            <w:rPr>
              <w:rFonts w:ascii="Times New Roman" w:hAnsi="Times New Roman" w:cs="Times New Roman"/>
              <w:sz w:val="20"/>
              <w:szCs w:val="20"/>
            </w:rPr>
            <w:t>26</w:t>
          </w:r>
        </w:p>
        <w:p w14:paraId="34ABBFC4" w14:textId="77E93E38" w:rsidR="007C79C0" w:rsidRPr="009C2ADF" w:rsidRDefault="007C79C0" w:rsidP="007C79C0">
          <w:pPr>
            <w:ind w:left="1276"/>
            <w:rPr>
              <w:rFonts w:ascii="Times New Roman" w:hAnsi="Times New Roman" w:cs="Times New Roman"/>
              <w:sz w:val="20"/>
              <w:szCs w:val="20"/>
            </w:rPr>
          </w:pPr>
          <w:r w:rsidRPr="009C2ADF">
            <w:rPr>
              <w:rFonts w:ascii="Times New Roman" w:hAnsi="Times New Roman"/>
              <w:sz w:val="20"/>
              <w:szCs w:val="20"/>
            </w:rPr>
            <w:t>4.3 Cross-sectional analysis</w:t>
          </w:r>
          <w:r w:rsidRPr="009C2ADF">
            <w:rPr>
              <w:rFonts w:ascii="Times New Roman" w:hAnsi="Times New Roman" w:cs="Times New Roman"/>
              <w:sz w:val="20"/>
              <w:szCs w:val="20"/>
            </w:rPr>
            <w:ptab w:relativeTo="margin" w:alignment="right" w:leader="dot"/>
          </w:r>
          <w:r w:rsidR="00970F26">
            <w:rPr>
              <w:rFonts w:ascii="Times New Roman" w:hAnsi="Times New Roman" w:cs="Times New Roman"/>
              <w:sz w:val="20"/>
              <w:szCs w:val="20"/>
            </w:rPr>
            <w:t>27</w:t>
          </w:r>
        </w:p>
        <w:p w14:paraId="75728680" w14:textId="39F46B31" w:rsidR="007C79C0" w:rsidRPr="009C2ADF" w:rsidRDefault="007C79C0" w:rsidP="007C79C0">
          <w:pPr>
            <w:pStyle w:val="TOC3"/>
            <w:ind w:left="1886" w:firstLine="274"/>
            <w:rPr>
              <w:rFonts w:ascii="Times New Roman" w:hAnsi="Times New Roman"/>
              <w:sz w:val="20"/>
              <w:szCs w:val="20"/>
            </w:rPr>
          </w:pPr>
          <w:r w:rsidRPr="009C2ADF">
            <w:rPr>
              <w:rFonts w:ascii="Times New Roman" w:hAnsi="Times New Roman"/>
              <w:sz w:val="20"/>
              <w:szCs w:val="20"/>
            </w:rPr>
            <w:t>4.3.1 Dependent variable</w:t>
          </w:r>
          <w:r w:rsidRPr="009C2ADF">
            <w:rPr>
              <w:rFonts w:ascii="Times New Roman" w:hAnsi="Times New Roman"/>
              <w:sz w:val="20"/>
              <w:szCs w:val="20"/>
            </w:rPr>
            <w:ptab w:relativeTo="margin" w:alignment="right" w:leader="dot"/>
          </w:r>
          <w:r w:rsidR="00970F26">
            <w:rPr>
              <w:rFonts w:ascii="Times New Roman" w:hAnsi="Times New Roman"/>
              <w:sz w:val="20"/>
              <w:szCs w:val="20"/>
            </w:rPr>
            <w:t>28</w:t>
          </w:r>
        </w:p>
        <w:p w14:paraId="459ED25D" w14:textId="6BEEE5FD" w:rsidR="007C79C0" w:rsidRPr="009C2ADF" w:rsidRDefault="007C79C0" w:rsidP="007C79C0">
          <w:pPr>
            <w:pStyle w:val="TOC3"/>
            <w:ind w:left="1886" w:firstLine="274"/>
            <w:rPr>
              <w:rFonts w:ascii="Times New Roman" w:hAnsi="Times New Roman"/>
              <w:sz w:val="20"/>
              <w:szCs w:val="20"/>
            </w:rPr>
          </w:pPr>
          <w:r w:rsidRPr="009C2ADF">
            <w:rPr>
              <w:rFonts w:ascii="Times New Roman" w:hAnsi="Times New Roman"/>
              <w:sz w:val="20"/>
              <w:szCs w:val="20"/>
            </w:rPr>
            <w:t>4.3.2 Independent variables</w:t>
          </w:r>
          <w:r w:rsidRPr="009C2ADF">
            <w:rPr>
              <w:rFonts w:ascii="Times New Roman" w:hAnsi="Times New Roman"/>
              <w:sz w:val="20"/>
              <w:szCs w:val="20"/>
            </w:rPr>
            <w:ptab w:relativeTo="margin" w:alignment="right" w:leader="dot"/>
          </w:r>
          <w:r w:rsidR="0009484A">
            <w:rPr>
              <w:rFonts w:ascii="Times New Roman" w:hAnsi="Times New Roman"/>
              <w:sz w:val="20"/>
              <w:szCs w:val="20"/>
            </w:rPr>
            <w:t>28</w:t>
          </w:r>
        </w:p>
        <w:p w14:paraId="61632C6A" w14:textId="7F03F1EC" w:rsidR="007C79C0" w:rsidRPr="009C2ADF" w:rsidRDefault="007C79C0" w:rsidP="007C79C0">
          <w:pPr>
            <w:pStyle w:val="TOC3"/>
            <w:ind w:left="1886" w:firstLine="274"/>
            <w:rPr>
              <w:rFonts w:ascii="Times New Roman" w:hAnsi="Times New Roman"/>
              <w:sz w:val="20"/>
              <w:szCs w:val="20"/>
            </w:rPr>
          </w:pPr>
          <w:r w:rsidRPr="009C2ADF">
            <w:rPr>
              <w:rFonts w:ascii="Times New Roman" w:hAnsi="Times New Roman"/>
              <w:sz w:val="20"/>
              <w:szCs w:val="20"/>
            </w:rPr>
            <w:t>4.3.1 Control variables</w:t>
          </w:r>
          <w:r w:rsidRPr="009C2ADF">
            <w:rPr>
              <w:rFonts w:ascii="Times New Roman" w:hAnsi="Times New Roman"/>
              <w:sz w:val="20"/>
              <w:szCs w:val="20"/>
            </w:rPr>
            <w:ptab w:relativeTo="margin" w:alignment="right" w:leader="dot"/>
          </w:r>
          <w:r w:rsidR="0009484A">
            <w:rPr>
              <w:rFonts w:ascii="Times New Roman" w:hAnsi="Times New Roman"/>
              <w:sz w:val="20"/>
              <w:szCs w:val="20"/>
            </w:rPr>
            <w:t>28</w:t>
          </w:r>
        </w:p>
        <w:p w14:paraId="3AC40AA6" w14:textId="36807997" w:rsidR="001B39D5" w:rsidRPr="009C2ADF" w:rsidRDefault="00271DB2" w:rsidP="00271DB2">
          <w:pPr>
            <w:pStyle w:val="TOC1"/>
          </w:pPr>
          <w:r w:rsidRPr="009C2ADF">
            <w:t xml:space="preserve">Chapter 5 </w:t>
          </w:r>
          <w:r w:rsidR="001B39D5" w:rsidRPr="009C2ADF">
            <w:t>Results</w:t>
          </w:r>
          <w:r w:rsidR="001B39D5" w:rsidRPr="009C2ADF">
            <w:ptab w:relativeTo="margin" w:alignment="right" w:leader="dot"/>
          </w:r>
          <w:r w:rsidR="00970F26">
            <w:t>29</w:t>
          </w:r>
        </w:p>
        <w:p w14:paraId="5CC1BCE2" w14:textId="275D85B3" w:rsidR="004F1F6E" w:rsidRPr="009C2ADF" w:rsidRDefault="004F1F6E" w:rsidP="009C2ADF">
          <w:pPr>
            <w:pStyle w:val="TOC2"/>
          </w:pPr>
          <w:r w:rsidRPr="009C2ADF">
            <w:t>5.1 The abnormal and cumulative abnormal returns to target firms in domestic deals</w:t>
          </w:r>
          <w:r w:rsidRPr="009C2ADF">
            <w:ptab w:relativeTo="margin" w:alignment="right" w:leader="dot"/>
          </w:r>
          <w:r w:rsidR="00970F26">
            <w:t>29</w:t>
          </w:r>
        </w:p>
        <w:p w14:paraId="5EE7B555" w14:textId="1C953D9F" w:rsidR="004F1F6E" w:rsidRPr="009C2ADF" w:rsidRDefault="004F1F6E" w:rsidP="009C2ADF">
          <w:pPr>
            <w:pStyle w:val="TOC2"/>
          </w:pPr>
          <w:r w:rsidRPr="009C2ADF">
            <w:t>5.2 The abnormal and cumulative abnormal returns to target firms in cross-border deals</w:t>
          </w:r>
          <w:r w:rsidRPr="009C2ADF">
            <w:ptab w:relativeTo="margin" w:alignment="right" w:leader="dot"/>
          </w:r>
          <w:r w:rsidR="0009484A">
            <w:t>29</w:t>
          </w:r>
        </w:p>
        <w:p w14:paraId="4ED50230" w14:textId="5C38CD95" w:rsidR="004F1F6E" w:rsidRPr="009C2ADF" w:rsidRDefault="004F1F6E" w:rsidP="009C2ADF">
          <w:pPr>
            <w:pStyle w:val="TOC2"/>
          </w:pPr>
          <w:r w:rsidRPr="009C2ADF">
            <w:t>5.3 The cross-border effect</w:t>
          </w:r>
          <w:r w:rsidRPr="009C2ADF">
            <w:ptab w:relativeTo="margin" w:alignment="right" w:leader="dot"/>
          </w:r>
          <w:r w:rsidR="0009484A">
            <w:t>31</w:t>
          </w:r>
        </w:p>
        <w:p w14:paraId="469FAD6E" w14:textId="7E7EBCE3" w:rsidR="004F1F6E" w:rsidRPr="009C2ADF" w:rsidRDefault="004F1F6E" w:rsidP="009C2ADF">
          <w:pPr>
            <w:pStyle w:val="TOC2"/>
          </w:pPr>
          <w:r w:rsidRPr="009C2ADF">
            <w:t>5.4 Cross-border target firms’ cross-sectional analysis</w:t>
          </w:r>
          <w:r w:rsidRPr="009C2ADF">
            <w:ptab w:relativeTo="margin" w:alignment="right" w:leader="dot"/>
          </w:r>
          <w:r w:rsidR="0009484A">
            <w:t>32</w:t>
          </w:r>
        </w:p>
        <w:p w14:paraId="0E7B47DE" w14:textId="1A79F4CE" w:rsidR="004F1F6E" w:rsidRPr="009C2ADF" w:rsidRDefault="004F1F6E" w:rsidP="004F1F6E">
          <w:pPr>
            <w:pStyle w:val="TOC3"/>
            <w:ind w:left="1886" w:firstLine="274"/>
            <w:rPr>
              <w:rFonts w:ascii="Times New Roman" w:hAnsi="Times New Roman"/>
              <w:sz w:val="20"/>
              <w:szCs w:val="20"/>
            </w:rPr>
          </w:pPr>
          <w:r w:rsidRPr="009C2ADF">
            <w:rPr>
              <w:rFonts w:ascii="Times New Roman" w:hAnsi="Times New Roman"/>
              <w:sz w:val="20"/>
              <w:szCs w:val="20"/>
            </w:rPr>
            <w:t>5.4.1 International risk diversification hypothesis</w:t>
          </w:r>
          <w:r w:rsidRPr="009C2ADF">
            <w:rPr>
              <w:rFonts w:ascii="Times New Roman" w:hAnsi="Times New Roman"/>
              <w:sz w:val="20"/>
              <w:szCs w:val="20"/>
            </w:rPr>
            <w:ptab w:relativeTo="margin" w:alignment="right" w:leader="dot"/>
          </w:r>
          <w:r w:rsidR="0009484A">
            <w:rPr>
              <w:rFonts w:ascii="Times New Roman" w:hAnsi="Times New Roman"/>
              <w:sz w:val="20"/>
              <w:szCs w:val="20"/>
            </w:rPr>
            <w:t>32</w:t>
          </w:r>
        </w:p>
        <w:p w14:paraId="2A80D69B" w14:textId="54F85922" w:rsidR="004F1F6E" w:rsidRPr="009C2ADF" w:rsidRDefault="004F1F6E" w:rsidP="004F1F6E">
          <w:pPr>
            <w:pStyle w:val="TOC3"/>
            <w:ind w:left="1886" w:firstLine="274"/>
            <w:rPr>
              <w:rFonts w:ascii="Times New Roman" w:hAnsi="Times New Roman"/>
              <w:sz w:val="20"/>
              <w:szCs w:val="20"/>
            </w:rPr>
          </w:pPr>
          <w:r w:rsidRPr="009C2ADF">
            <w:rPr>
              <w:rFonts w:ascii="Times New Roman" w:hAnsi="Times New Roman"/>
              <w:sz w:val="20"/>
              <w:szCs w:val="20"/>
            </w:rPr>
            <w:t>5.4.2 Market access hypothesis</w:t>
          </w:r>
          <w:r w:rsidRPr="009C2ADF">
            <w:rPr>
              <w:rFonts w:ascii="Times New Roman" w:hAnsi="Times New Roman"/>
              <w:sz w:val="20"/>
              <w:szCs w:val="20"/>
            </w:rPr>
            <w:ptab w:relativeTo="margin" w:alignment="right" w:leader="dot"/>
          </w:r>
          <w:r w:rsidR="0009484A">
            <w:rPr>
              <w:rFonts w:ascii="Times New Roman" w:hAnsi="Times New Roman"/>
              <w:sz w:val="20"/>
              <w:szCs w:val="20"/>
            </w:rPr>
            <w:t>33</w:t>
          </w:r>
        </w:p>
        <w:p w14:paraId="2BB5D2AC" w14:textId="12F2CC12" w:rsidR="004F1F6E" w:rsidRPr="009C2ADF" w:rsidRDefault="004F1F6E" w:rsidP="004F1F6E">
          <w:pPr>
            <w:pStyle w:val="TOC3"/>
            <w:ind w:left="1886" w:firstLine="274"/>
            <w:rPr>
              <w:rFonts w:ascii="Times New Roman" w:hAnsi="Times New Roman"/>
              <w:sz w:val="20"/>
              <w:szCs w:val="20"/>
            </w:rPr>
          </w:pPr>
          <w:r w:rsidRPr="009C2ADF">
            <w:rPr>
              <w:rFonts w:ascii="Times New Roman" w:hAnsi="Times New Roman"/>
              <w:sz w:val="20"/>
              <w:szCs w:val="20"/>
            </w:rPr>
            <w:t>5.4.3 Exchange rate hypothesis</w:t>
          </w:r>
          <w:r w:rsidRPr="009C2ADF">
            <w:rPr>
              <w:rFonts w:ascii="Times New Roman" w:hAnsi="Times New Roman"/>
              <w:sz w:val="20"/>
              <w:szCs w:val="20"/>
            </w:rPr>
            <w:ptab w:relativeTo="margin" w:alignment="right" w:leader="dot"/>
          </w:r>
          <w:r w:rsidR="0009484A">
            <w:rPr>
              <w:rFonts w:ascii="Times New Roman" w:hAnsi="Times New Roman"/>
              <w:sz w:val="20"/>
              <w:szCs w:val="20"/>
            </w:rPr>
            <w:t>34</w:t>
          </w:r>
        </w:p>
        <w:p w14:paraId="5991BA29" w14:textId="08E90B6E" w:rsidR="004F1F6E" w:rsidRPr="009C2ADF" w:rsidRDefault="004F1F6E" w:rsidP="004F1F6E">
          <w:pPr>
            <w:pStyle w:val="TOC3"/>
            <w:ind w:left="1886" w:firstLine="274"/>
            <w:rPr>
              <w:rFonts w:ascii="Times New Roman" w:hAnsi="Times New Roman"/>
              <w:sz w:val="20"/>
              <w:szCs w:val="20"/>
            </w:rPr>
          </w:pPr>
          <w:r w:rsidRPr="009C2ADF">
            <w:rPr>
              <w:rFonts w:ascii="Times New Roman" w:hAnsi="Times New Roman"/>
              <w:sz w:val="20"/>
              <w:szCs w:val="20"/>
            </w:rPr>
            <w:t>5.4.4 Difference in characteristics</w:t>
          </w:r>
          <w:r w:rsidRPr="009C2ADF">
            <w:rPr>
              <w:rFonts w:ascii="Times New Roman" w:hAnsi="Times New Roman"/>
              <w:sz w:val="20"/>
              <w:szCs w:val="20"/>
            </w:rPr>
            <w:ptab w:relativeTo="margin" w:alignment="right" w:leader="dot"/>
          </w:r>
          <w:r w:rsidR="0009484A">
            <w:rPr>
              <w:rFonts w:ascii="Times New Roman" w:hAnsi="Times New Roman"/>
              <w:sz w:val="20"/>
              <w:szCs w:val="20"/>
            </w:rPr>
            <w:t>37</w:t>
          </w:r>
        </w:p>
        <w:p w14:paraId="456D7220" w14:textId="67756921" w:rsidR="004F1F6E" w:rsidRPr="009C2ADF" w:rsidRDefault="004F1F6E" w:rsidP="009C2ADF">
          <w:pPr>
            <w:pStyle w:val="TOC2"/>
          </w:pPr>
          <w:r w:rsidRPr="009C2ADF">
            <w:t>5.5 Analysis of the cross-border effect</w:t>
          </w:r>
          <w:r w:rsidRPr="009C2ADF">
            <w:ptab w:relativeTo="margin" w:alignment="right" w:leader="dot"/>
          </w:r>
          <w:r w:rsidR="00510ADD">
            <w:t>38</w:t>
          </w:r>
        </w:p>
        <w:p w14:paraId="46CD2DA9" w14:textId="1AF7C87B" w:rsidR="001B39D5" w:rsidRPr="009C2ADF" w:rsidRDefault="00271DB2" w:rsidP="00271DB2">
          <w:pPr>
            <w:pStyle w:val="TOC1"/>
          </w:pPr>
          <w:r w:rsidRPr="009C2ADF">
            <w:lastRenderedPageBreak/>
            <w:t xml:space="preserve">Chapter 6 </w:t>
          </w:r>
          <w:r w:rsidR="001B39D5" w:rsidRPr="009C2ADF">
            <w:t>Conclusion</w:t>
          </w:r>
          <w:r w:rsidR="001B39D5" w:rsidRPr="009C2ADF">
            <w:ptab w:relativeTo="margin" w:alignment="right" w:leader="dot"/>
          </w:r>
          <w:r w:rsidR="00510ADD">
            <w:t>42</w:t>
          </w:r>
        </w:p>
        <w:p w14:paraId="36D3F428" w14:textId="6A207BDB" w:rsidR="004F1F6E" w:rsidRPr="009C2ADF" w:rsidRDefault="004F1F6E" w:rsidP="009C2ADF">
          <w:pPr>
            <w:pStyle w:val="TOC2"/>
          </w:pPr>
          <w:r w:rsidRPr="009C2ADF">
            <w:t>6.1 Limitations and future research</w:t>
          </w:r>
          <w:r w:rsidRPr="009C2ADF">
            <w:ptab w:relativeTo="margin" w:alignment="right" w:leader="dot"/>
          </w:r>
          <w:r w:rsidR="00510ADD">
            <w:t>44</w:t>
          </w:r>
        </w:p>
        <w:p w14:paraId="0FC2CF2F" w14:textId="7B3C5FCA" w:rsidR="00DB7D07" w:rsidRPr="009C2ADF" w:rsidRDefault="00DB7D07" w:rsidP="00DB7D07">
          <w:pPr>
            <w:pStyle w:val="TOC1"/>
          </w:pPr>
          <w:r w:rsidRPr="009C2ADF">
            <w:t>References</w:t>
          </w:r>
          <w:r w:rsidRPr="009C2ADF">
            <w:ptab w:relativeTo="margin" w:alignment="right" w:leader="dot"/>
          </w:r>
          <w:r w:rsidRPr="009C2ADF">
            <w:t>4</w:t>
          </w:r>
          <w:r w:rsidR="00510ADD">
            <w:t>5</w:t>
          </w:r>
        </w:p>
        <w:p w14:paraId="3F92FAD7" w14:textId="1ADC9D3D" w:rsidR="00DB7D07" w:rsidRPr="009C2ADF" w:rsidRDefault="00DB7D07" w:rsidP="00DB7D07">
          <w:pPr>
            <w:pStyle w:val="TOC1"/>
          </w:pPr>
          <w:r w:rsidRPr="009C2ADF">
            <w:t>Appendix</w:t>
          </w:r>
          <w:r w:rsidRPr="009C2ADF">
            <w:ptab w:relativeTo="margin" w:alignment="right" w:leader="dot"/>
          </w:r>
          <w:r w:rsidR="00510ADD">
            <w:t>49</w:t>
          </w:r>
        </w:p>
        <w:p w14:paraId="37076C99" w14:textId="4E828C52" w:rsidR="00DB7D07" w:rsidRPr="009C2ADF" w:rsidRDefault="00DB7D07" w:rsidP="009C2ADF">
          <w:pPr>
            <w:pStyle w:val="TOC2"/>
          </w:pPr>
          <w:r w:rsidRPr="009C2ADF">
            <w:t>A Description of the variables used in the analysis and their sources</w:t>
          </w:r>
          <w:r w:rsidRPr="009C2ADF">
            <w:ptab w:relativeTo="margin" w:alignment="right" w:leader="dot"/>
          </w:r>
          <w:r w:rsidR="00510ADD">
            <w:t>49</w:t>
          </w:r>
        </w:p>
        <w:p w14:paraId="0A756C94" w14:textId="28407611" w:rsidR="00DB7D07" w:rsidRPr="009C2ADF" w:rsidRDefault="00DB7D07" w:rsidP="009C2ADF">
          <w:pPr>
            <w:pStyle w:val="TOC2"/>
          </w:pPr>
          <w:r w:rsidRPr="009C2ADF">
            <w:t>B Tables for robustness checks</w:t>
          </w:r>
          <w:r w:rsidRPr="009C2ADF">
            <w:ptab w:relativeTo="margin" w:alignment="right" w:leader="dot"/>
          </w:r>
          <w:r w:rsidR="00510ADD">
            <w:t>51</w:t>
          </w:r>
        </w:p>
      </w:sdtContent>
    </w:sdt>
    <w:p w14:paraId="2AEADF95" w14:textId="77777777" w:rsidR="009C2ADF" w:rsidRDefault="001B39D5" w:rsidP="009C2ADF">
      <w:pPr>
        <w:pStyle w:val="TOCHeading"/>
      </w:pPr>
      <w:r>
        <w:br w:type="page"/>
      </w:r>
    </w:p>
    <w:sdt>
      <w:sdtPr>
        <w:rPr>
          <w:rFonts w:ascii="Times New Roman" w:eastAsiaTheme="minorEastAsia" w:hAnsi="Times New Roman" w:cs="Times New Roman"/>
          <w:b/>
          <w:color w:val="000000" w:themeColor="text1"/>
          <w:sz w:val="28"/>
          <w:szCs w:val="22"/>
        </w:rPr>
        <w:id w:val="-2146345899"/>
        <w:docPartObj>
          <w:docPartGallery w:val="Table of Contents"/>
          <w:docPartUnique/>
        </w:docPartObj>
      </w:sdtPr>
      <w:sdtEndPr>
        <w:rPr>
          <w:rFonts w:asciiTheme="minorHAnsi" w:hAnsiTheme="minorHAnsi"/>
          <w:b w:val="0"/>
          <w:color w:val="auto"/>
          <w:sz w:val="22"/>
        </w:rPr>
      </w:sdtEndPr>
      <w:sdtContent>
        <w:p w14:paraId="3EE99984" w14:textId="3039B5F4" w:rsidR="009C2ADF" w:rsidRPr="009C2ADF" w:rsidRDefault="009C2ADF" w:rsidP="009C2ADF">
          <w:pPr>
            <w:pStyle w:val="TOCHeading"/>
            <w:rPr>
              <w:rFonts w:ascii="Times New Roman" w:hAnsi="Times New Roman" w:cs="Times New Roman"/>
              <w:b/>
              <w:color w:val="000000" w:themeColor="text1"/>
              <w:sz w:val="28"/>
              <w:szCs w:val="24"/>
            </w:rPr>
          </w:pPr>
          <w:r w:rsidRPr="009C2ADF">
            <w:rPr>
              <w:rFonts w:ascii="Times New Roman" w:hAnsi="Times New Roman" w:cs="Times New Roman"/>
              <w:b/>
              <w:color w:val="000000" w:themeColor="text1"/>
              <w:sz w:val="28"/>
              <w:szCs w:val="24"/>
            </w:rPr>
            <w:t>List of Tables and figures</w:t>
          </w:r>
        </w:p>
        <w:p w14:paraId="22B3361F" w14:textId="77777777" w:rsidR="009C2ADF" w:rsidRPr="004F1F6E" w:rsidRDefault="009C2ADF" w:rsidP="009C2ADF">
          <w:pPr>
            <w:pStyle w:val="TOC1"/>
          </w:pPr>
        </w:p>
        <w:p w14:paraId="502FFC95" w14:textId="64C50997" w:rsidR="009C2ADF" w:rsidRPr="009C2ADF" w:rsidRDefault="00B147F0" w:rsidP="009C2ADF">
          <w:pPr>
            <w:pStyle w:val="TOC1"/>
            <w:spacing w:line="360" w:lineRule="auto"/>
          </w:pPr>
          <w:r>
            <w:t>Table 1</w:t>
          </w:r>
          <w:r>
            <w:tab/>
          </w:r>
          <w:r w:rsidR="009C2ADF" w:rsidRPr="00B147F0">
            <w:rPr>
              <w:sz w:val="22"/>
            </w:rPr>
            <w:t>Characteristics of the sample</w:t>
          </w:r>
          <w:r w:rsidR="009C2ADF" w:rsidRPr="009C2ADF">
            <w:tab/>
          </w:r>
          <w:r w:rsidR="0009484A">
            <w:tab/>
          </w:r>
          <w:r w:rsidR="0009484A">
            <w:tab/>
          </w:r>
          <w:r w:rsidR="0009484A">
            <w:tab/>
          </w:r>
          <w:r w:rsidR="0009484A">
            <w:tab/>
          </w:r>
          <w:r w:rsidR="0009484A">
            <w:tab/>
          </w:r>
          <w:r w:rsidR="0009484A">
            <w:tab/>
            <w:t>21</w:t>
          </w:r>
        </w:p>
        <w:p w14:paraId="33ED5C2A" w14:textId="09A2D768" w:rsidR="009C2ADF" w:rsidRPr="009C2ADF" w:rsidRDefault="00B147F0" w:rsidP="00B147F0">
          <w:pPr>
            <w:pStyle w:val="TOC1"/>
            <w:spacing w:line="360" w:lineRule="auto"/>
            <w:ind w:left="720" w:hanging="720"/>
          </w:pPr>
          <w:r>
            <w:t>Table 2</w:t>
          </w:r>
          <w:r w:rsidR="009C2ADF" w:rsidRPr="009C2ADF">
            <w:tab/>
          </w:r>
          <w:r w:rsidRPr="00B147F0">
            <w:rPr>
              <w:sz w:val="22"/>
            </w:rPr>
            <w:t xml:space="preserve">Target company abnormal return </w:t>
          </w:r>
          <w:r w:rsidR="0009484A">
            <w:tab/>
          </w:r>
          <w:r w:rsidR="0009484A">
            <w:tab/>
          </w:r>
          <w:r w:rsidR="0009484A">
            <w:tab/>
          </w:r>
          <w:r w:rsidR="0009484A">
            <w:tab/>
          </w:r>
          <w:r w:rsidR="0009484A">
            <w:tab/>
          </w:r>
          <w:r w:rsidR="0009484A">
            <w:tab/>
            <w:t>30</w:t>
          </w:r>
        </w:p>
        <w:p w14:paraId="33F57A9F" w14:textId="0E1044BE" w:rsidR="009C2ADF" w:rsidRPr="009C2ADF" w:rsidRDefault="00B147F0" w:rsidP="00B147F0">
          <w:pPr>
            <w:pStyle w:val="TOC1"/>
            <w:spacing w:line="360" w:lineRule="auto"/>
            <w:ind w:left="720" w:hanging="720"/>
          </w:pPr>
          <w:r>
            <w:t>Table 3</w:t>
          </w:r>
          <w:r w:rsidR="009C2ADF" w:rsidRPr="009C2ADF">
            <w:tab/>
          </w:r>
          <w:r w:rsidRPr="00B147F0">
            <w:rPr>
              <w:sz w:val="22"/>
            </w:rPr>
            <w:t>Cross-border target firms’ cross-sectional analysis</w:t>
          </w:r>
          <w:r>
            <w:tab/>
          </w:r>
          <w:r>
            <w:tab/>
          </w:r>
          <w:r>
            <w:tab/>
          </w:r>
          <w:r w:rsidR="0009484A">
            <w:tab/>
            <w:t>35</w:t>
          </w:r>
        </w:p>
        <w:p w14:paraId="6B6DE48D" w14:textId="56D876E9" w:rsidR="009C2ADF" w:rsidRPr="009C2ADF" w:rsidRDefault="00B147F0" w:rsidP="009C2ADF">
          <w:pPr>
            <w:pStyle w:val="TOC1"/>
            <w:spacing w:line="360" w:lineRule="auto"/>
          </w:pPr>
          <w:r>
            <w:t>Table 4</w:t>
          </w:r>
          <w:r w:rsidR="009C2ADF" w:rsidRPr="009C2ADF">
            <w:tab/>
          </w:r>
          <w:r w:rsidRPr="00B147F0">
            <w:rPr>
              <w:sz w:val="22"/>
            </w:rPr>
            <w:t>Target’s firm cross-sectional analysis</w:t>
          </w:r>
          <w:r w:rsidR="009C2ADF" w:rsidRPr="009C2ADF">
            <w:tab/>
          </w:r>
          <w:r>
            <w:tab/>
          </w:r>
          <w:r>
            <w:tab/>
          </w:r>
          <w:r>
            <w:tab/>
          </w:r>
          <w:r>
            <w:tab/>
          </w:r>
          <w:r>
            <w:tab/>
          </w:r>
          <w:r w:rsidR="00510ADD">
            <w:t>40</w:t>
          </w:r>
        </w:p>
        <w:p w14:paraId="71E5D74D" w14:textId="7305DBD3" w:rsidR="009C2ADF" w:rsidRPr="009C2ADF" w:rsidRDefault="00B147F0" w:rsidP="009C2ADF">
          <w:pPr>
            <w:pStyle w:val="TOC1"/>
            <w:spacing w:line="360" w:lineRule="auto"/>
          </w:pPr>
          <w:r>
            <w:t>Table 5</w:t>
          </w:r>
          <w:r w:rsidR="009C2ADF" w:rsidRPr="009C2ADF">
            <w:tab/>
          </w:r>
          <w:r w:rsidRPr="00B147F0">
            <w:rPr>
              <w:sz w:val="22"/>
            </w:rPr>
            <w:t>Cross-border target firms’ cross-sectional analysis (Excluding UK target firms )</w:t>
          </w:r>
          <w:r>
            <w:tab/>
          </w:r>
          <w:r w:rsidR="00510ADD">
            <w:t>51</w:t>
          </w:r>
        </w:p>
        <w:p w14:paraId="19819C56" w14:textId="1F27F2DD" w:rsidR="009C2ADF" w:rsidRPr="009C2ADF" w:rsidRDefault="00B147F0" w:rsidP="009C2ADF">
          <w:pPr>
            <w:pStyle w:val="TOC1"/>
            <w:spacing w:line="360" w:lineRule="auto"/>
          </w:pPr>
          <w:r>
            <w:t>Table 6</w:t>
          </w:r>
          <w:r w:rsidR="009C2ADF" w:rsidRPr="009C2ADF">
            <w:tab/>
          </w:r>
          <w:r w:rsidRPr="00B147F0">
            <w:rPr>
              <w:sz w:val="22"/>
            </w:rPr>
            <w:t>Target’s firm cross-sectional analysis</w:t>
          </w:r>
          <w:r>
            <w:rPr>
              <w:sz w:val="22"/>
            </w:rPr>
            <w:t xml:space="preserve"> (Excluding UK target firms)</w:t>
          </w:r>
          <w:r w:rsidR="009C2ADF" w:rsidRPr="009C2ADF">
            <w:tab/>
          </w:r>
          <w:r>
            <w:tab/>
          </w:r>
          <w:r w:rsidR="00510ADD">
            <w:t>53</w:t>
          </w:r>
        </w:p>
        <w:p w14:paraId="1C57505B" w14:textId="51517C9B" w:rsidR="009C2ADF" w:rsidRPr="009C2ADF" w:rsidRDefault="00B147F0" w:rsidP="009C2ADF">
          <w:pPr>
            <w:pStyle w:val="TOC1"/>
            <w:spacing w:line="360" w:lineRule="auto"/>
          </w:pPr>
          <w:r>
            <w:t>Figure</w:t>
          </w:r>
          <w:r w:rsidR="009C2ADF" w:rsidRPr="009C2ADF">
            <w:t xml:space="preserve"> 1</w:t>
          </w:r>
          <w:r w:rsidR="009C2ADF" w:rsidRPr="009C2ADF">
            <w:tab/>
          </w:r>
          <w:r>
            <w:t>Event study time line</w:t>
          </w:r>
          <w:r>
            <w:tab/>
          </w:r>
          <w:r w:rsidR="009C2ADF" w:rsidRPr="009C2ADF">
            <w:tab/>
          </w:r>
          <w:r w:rsidR="0009484A">
            <w:tab/>
          </w:r>
          <w:r w:rsidR="0009484A">
            <w:tab/>
          </w:r>
          <w:r w:rsidR="0009484A">
            <w:tab/>
          </w:r>
          <w:r w:rsidR="0009484A">
            <w:tab/>
          </w:r>
          <w:r w:rsidR="0009484A">
            <w:tab/>
          </w:r>
          <w:r w:rsidR="0009484A">
            <w:tab/>
            <w:t>24</w:t>
          </w:r>
        </w:p>
        <w:p w14:paraId="6AF40156" w14:textId="77777777" w:rsidR="009C2ADF" w:rsidRPr="009C2ADF" w:rsidRDefault="009C2ADF" w:rsidP="009C2ADF"/>
        <w:p w14:paraId="3F5472A4" w14:textId="31062603" w:rsidR="009C2ADF" w:rsidRDefault="005820E4" w:rsidP="009C2ADF">
          <w:pPr>
            <w:pStyle w:val="TOC3"/>
            <w:ind w:left="1886" w:firstLine="274"/>
          </w:pPr>
        </w:p>
      </w:sdtContent>
    </w:sdt>
    <w:p w14:paraId="71A9A9B4" w14:textId="3FC5AA6E" w:rsidR="001B7FF6" w:rsidRPr="001B39D5" w:rsidRDefault="009C2ADF" w:rsidP="001B39D5">
      <w:r>
        <w:br w:type="page"/>
      </w:r>
    </w:p>
    <w:p w14:paraId="2D484D93" w14:textId="0F323AA5" w:rsidR="00AF37A1" w:rsidRPr="004065CA" w:rsidRDefault="004065CA" w:rsidP="004065CA">
      <w:pPr>
        <w:spacing w:after="120" w:line="360" w:lineRule="auto"/>
        <w:rPr>
          <w:rFonts w:ascii="Times New Roman" w:hAnsi="Times New Roman" w:cs="Times New Roman"/>
          <w:b/>
          <w:sz w:val="24"/>
        </w:rPr>
      </w:pPr>
      <w:r w:rsidRPr="004065CA">
        <w:rPr>
          <w:rFonts w:ascii="Times New Roman" w:hAnsi="Times New Roman" w:cs="Times New Roman"/>
          <w:b/>
          <w:sz w:val="24"/>
        </w:rPr>
        <w:lastRenderedPageBreak/>
        <w:t>1.</w:t>
      </w:r>
      <w:r>
        <w:rPr>
          <w:rFonts w:ascii="Times New Roman" w:hAnsi="Times New Roman" w:cs="Times New Roman"/>
          <w:b/>
          <w:sz w:val="24"/>
        </w:rPr>
        <w:t xml:space="preserve"> </w:t>
      </w:r>
      <w:r w:rsidR="00AF37A1" w:rsidRPr="004065CA">
        <w:rPr>
          <w:rFonts w:ascii="Times New Roman" w:hAnsi="Times New Roman" w:cs="Times New Roman"/>
          <w:b/>
          <w:sz w:val="24"/>
        </w:rPr>
        <w:t xml:space="preserve">Introduction </w:t>
      </w:r>
    </w:p>
    <w:p w14:paraId="0464223D" w14:textId="77777777" w:rsidR="00DB0A33" w:rsidRPr="00DB0A33" w:rsidRDefault="00DB0A33" w:rsidP="00DB0A33">
      <w:pPr>
        <w:spacing w:after="0" w:line="360" w:lineRule="auto"/>
        <w:jc w:val="both"/>
        <w:rPr>
          <w:rFonts w:ascii="Times New Roman" w:hAnsi="Times New Roman" w:cs="Times New Roman"/>
          <w:sz w:val="24"/>
        </w:rPr>
      </w:pPr>
      <w:r w:rsidRPr="00DB0A33">
        <w:rPr>
          <w:rFonts w:ascii="Times New Roman" w:hAnsi="Times New Roman" w:cs="Times New Roman"/>
          <w:sz w:val="24"/>
        </w:rPr>
        <w:t xml:space="preserve">Cross-border bids have grown from 23% of the complete amount of mergers in 1998 to 45% in 2007 and decreased to 30% in 2010, globally (Erel, Liao, and Weisbach, 2012). In recent years, foreign direct investment (FDI) in mainland Europe, the United Kingdom, and the United States has been dominated by cross-border acquisitions, accounting for 80% of all (FDIs), rather than greenfield investments (Goergen, and Renneboog, 2004). Cross-border acquisitions seem to be motivated by the same domestic acquisition motives. The acquirer acquires a target that is expected to boost both firms’ combined value.                       </w:t>
      </w:r>
    </w:p>
    <w:p w14:paraId="1082390F" w14:textId="77777777" w:rsidR="00DB0A33" w:rsidRPr="00DB0A33" w:rsidRDefault="00DB0A33" w:rsidP="00DB0A33">
      <w:pPr>
        <w:spacing w:after="0" w:line="360" w:lineRule="auto"/>
        <w:ind w:firstLine="284"/>
        <w:jc w:val="both"/>
        <w:rPr>
          <w:rFonts w:ascii="Times New Roman" w:hAnsi="Times New Roman" w:cs="Times New Roman"/>
          <w:sz w:val="24"/>
        </w:rPr>
      </w:pPr>
      <w:r w:rsidRPr="00DB0A33">
        <w:rPr>
          <w:rFonts w:ascii="Times New Roman" w:hAnsi="Times New Roman" w:cs="Times New Roman"/>
          <w:sz w:val="24"/>
        </w:rPr>
        <w:t xml:space="preserve">Harris and Ravencraft (1991) asserted that if capital and corporate control markets are not segmented globally, the level of abnormal return to targets in cross-border and domestic deals should not differ. Kang (1993), however, argued that because of market imperfections, domestic firms have a competitive disadvantage over multinational corporations and domestic deals are, therefore, probable to generate less value than cross-border deals. He further elaborated that since targets reap more benefits from an acquisition, targets involved in cross-border deals, compared to those in domestic deals, will earn higher abnormal returns (Kang, 1993).    </w:t>
      </w:r>
    </w:p>
    <w:p w14:paraId="6ED39F15" w14:textId="77777777" w:rsidR="00DB0A33" w:rsidRPr="00DB0A33" w:rsidRDefault="00DB0A33" w:rsidP="00DB0A33">
      <w:pPr>
        <w:spacing w:after="0" w:line="360" w:lineRule="auto"/>
        <w:ind w:firstLine="284"/>
        <w:jc w:val="both"/>
        <w:rPr>
          <w:rFonts w:ascii="Times New Roman" w:hAnsi="Times New Roman" w:cs="Times New Roman"/>
          <w:sz w:val="24"/>
        </w:rPr>
      </w:pPr>
      <w:r w:rsidRPr="00DB0A33">
        <w:rPr>
          <w:rFonts w:ascii="Times New Roman" w:hAnsi="Times New Roman" w:cs="Times New Roman"/>
          <w:sz w:val="24"/>
        </w:rPr>
        <w:t xml:space="preserve">The cross-border effect is defined as the systematic difference in abnormal returns to target shareholders in cross-border and domestic bids. The relevance of this paper lies in examining the cross-border effect for target firms in Western Europe; in essence, I aspire to create the market of corporate control more efficient by decreasing the information asymmetry around this topic for market participants. In addition, target shareholders will be more informed for maximizing their wealth and identifying which deal, domestic or cross-border, is more beneficial. Although the topic of mergers and acquisitions is heavily discussed in the academic world, previous studies have been mixed on the magnitude and sign of the cross-border effect and what seems to drive it. Past papers, performed with a lower sample than the sample studied in this paper, are outdated and tend to be more focused on examining the effect in just one country, such as the US or UK, with little focus on various Western European countries.  Therefore, this paper aims to verify the existence of the cross-border effect; hence, the research question in this paper is as follow: </w:t>
      </w:r>
    </w:p>
    <w:p w14:paraId="478AD008" w14:textId="77777777" w:rsidR="00DB0A33" w:rsidRPr="00DB0A33" w:rsidRDefault="00DB0A33" w:rsidP="00DB0A33">
      <w:pPr>
        <w:spacing w:after="0" w:line="360" w:lineRule="auto"/>
        <w:ind w:firstLine="284"/>
        <w:jc w:val="both"/>
        <w:rPr>
          <w:rFonts w:ascii="Times New Roman" w:hAnsi="Times New Roman" w:cs="Times New Roman"/>
          <w:sz w:val="24"/>
        </w:rPr>
      </w:pPr>
    </w:p>
    <w:p w14:paraId="335B8FDC" w14:textId="77777777" w:rsidR="00DB0A33" w:rsidRPr="00DB0A33" w:rsidRDefault="00DB0A33" w:rsidP="00DB0A33">
      <w:pPr>
        <w:spacing w:after="0" w:line="360" w:lineRule="auto"/>
        <w:ind w:firstLine="284"/>
        <w:jc w:val="both"/>
        <w:rPr>
          <w:rFonts w:ascii="Times New Roman" w:hAnsi="Times New Roman" w:cs="Times New Roman"/>
          <w:i/>
          <w:sz w:val="24"/>
        </w:rPr>
      </w:pPr>
      <w:r w:rsidRPr="00DB0A33">
        <w:rPr>
          <w:rFonts w:ascii="Times New Roman" w:hAnsi="Times New Roman" w:cs="Times New Roman"/>
          <w:i/>
          <w:sz w:val="24"/>
        </w:rPr>
        <w:t>Do Western European Target firms experience cross-border effect, and, if so, what drives the cross-border effect?</w:t>
      </w:r>
    </w:p>
    <w:p w14:paraId="5AAAB34D" w14:textId="77777777" w:rsidR="00DB0A33" w:rsidRPr="00DB0A33" w:rsidRDefault="00DB0A33" w:rsidP="00DB0A33">
      <w:pPr>
        <w:spacing w:after="0" w:line="360" w:lineRule="auto"/>
        <w:ind w:firstLine="284"/>
        <w:jc w:val="both"/>
        <w:rPr>
          <w:rFonts w:ascii="Times New Roman" w:hAnsi="Times New Roman" w:cs="Times New Roman"/>
          <w:sz w:val="24"/>
        </w:rPr>
      </w:pPr>
    </w:p>
    <w:p w14:paraId="61AD7CA5" w14:textId="77777777" w:rsidR="00DB0A33" w:rsidRPr="00DB0A33" w:rsidRDefault="00DB0A33" w:rsidP="00DB0A33">
      <w:pPr>
        <w:spacing w:after="0" w:line="360" w:lineRule="auto"/>
        <w:ind w:firstLine="284"/>
        <w:jc w:val="both"/>
        <w:rPr>
          <w:rFonts w:ascii="Times New Roman" w:hAnsi="Times New Roman" w:cs="Times New Roman"/>
          <w:sz w:val="24"/>
        </w:rPr>
      </w:pPr>
      <w:r w:rsidRPr="00DB0A33">
        <w:rPr>
          <w:rFonts w:ascii="Times New Roman" w:hAnsi="Times New Roman" w:cs="Times New Roman"/>
          <w:sz w:val="24"/>
        </w:rPr>
        <w:lastRenderedPageBreak/>
        <w:t xml:space="preserve">In this paper, I will investigate multiple hypotheses as to why it can be expected for the shareholders of target firms to reap a greater amount of abnormal returns in cross-border than domestic bids.  These hypotheses will be tested on target firms from 10 different Western European countries for the 1990-2018 period on a total sample of 654 and 435 domestic and cross-border acquisitions, respectively. It was found that during the months prior to and of the announcement of the bid, the shareholders of target firms in cross-border and domestic deals gain, on average, highly positive and significant abnormal returns, amounting to 12.8% and 19.8% (12.95% and 19.96%), respectively, with the market model (capital asset pricing model) for targets in cross-border deals, and 18.8% and 26.95% (19% and 26.5%), respectively, for targets in domestic deals. For target firms in domestic acquisitions, the highest cumulative abnormal returns are reported for the period between day t-2 to t+1 and day t-8 to t+5, accounting for 20.96% and 26.18% (21% and 26.3%), respectively; while cross-border target firms generated the highest cumulative abnormal returns in the periods from day t-2 to t+1 and t-8 to t+5, accounting for 20.96% and 26.18% (21% and 26.31%), respectively. The cumulative abnormal returns to targets appear to be not related to the exchange rate effect nor international risk diversification hypothesis. An insignificant negative target company cross-border effect is observed in the months of t-5, t-4, t-1 to t+2, and t+4. For the periods from t0 to t-1 and t-1 to t+5 days, a significant cross-border effect of 5.7% and 3.3% (5.7% and 3.4%), respectively, is observed for the Western European target firms. The cross-border effect is found to be attributed to the market access premium and the differences in firm-specific and bid-specific characteristics, in particular, the payment method, percentage of shares acquired, target firm’s industry.  </w:t>
      </w:r>
    </w:p>
    <w:p w14:paraId="5D0C7C1E" w14:textId="5793A074" w:rsidR="004065CA" w:rsidRDefault="00DB0A33" w:rsidP="00DB0A33">
      <w:pPr>
        <w:spacing w:after="0" w:line="360" w:lineRule="auto"/>
        <w:ind w:firstLine="284"/>
        <w:jc w:val="both"/>
        <w:rPr>
          <w:rFonts w:ascii="Times New Roman" w:hAnsi="Times New Roman" w:cs="Times New Roman"/>
          <w:sz w:val="24"/>
        </w:rPr>
      </w:pPr>
      <w:r w:rsidRPr="00DB0A33">
        <w:rPr>
          <w:rFonts w:ascii="Times New Roman" w:hAnsi="Times New Roman" w:cs="Times New Roman"/>
          <w:sz w:val="24"/>
        </w:rPr>
        <w:t>The following is the organization of this paper. In chapter two, previous findings on the target firm cross-border effect will be presented and will continue with a review of the relevant literature as to what drives this cross-border effect. Following, chapters three and four will reflect on the data and methodology used. In chapter five the empirical results will be presented, which will include tests of the hypotheses developed in section two. Finally, the terminal chapter will include the conclusion, where the findings, limitations of the paper, and recommendations for future research will be discussed.</w:t>
      </w:r>
    </w:p>
    <w:p w14:paraId="4302821C" w14:textId="77777777" w:rsidR="004065CA" w:rsidRDefault="004065CA" w:rsidP="001B7FF6">
      <w:pPr>
        <w:spacing w:after="0" w:line="360" w:lineRule="auto"/>
        <w:ind w:firstLine="284"/>
        <w:jc w:val="both"/>
        <w:rPr>
          <w:rFonts w:ascii="Times New Roman" w:hAnsi="Times New Roman" w:cs="Times New Roman"/>
          <w:color w:val="FF0000"/>
          <w:sz w:val="24"/>
        </w:rPr>
      </w:pPr>
    </w:p>
    <w:p w14:paraId="71AAD48C" w14:textId="77777777" w:rsidR="001B7FF6" w:rsidRDefault="001B7FF6" w:rsidP="001B7FF6">
      <w:pPr>
        <w:spacing w:after="0" w:line="360" w:lineRule="auto"/>
        <w:ind w:firstLine="284"/>
        <w:jc w:val="both"/>
        <w:rPr>
          <w:rFonts w:ascii="Times New Roman" w:hAnsi="Times New Roman" w:cs="Times New Roman"/>
          <w:color w:val="FF0000"/>
          <w:sz w:val="24"/>
        </w:rPr>
      </w:pPr>
    </w:p>
    <w:p w14:paraId="0A7234D1" w14:textId="77777777" w:rsidR="00DF6DB2" w:rsidRPr="001B7FF6" w:rsidRDefault="00DF6DB2" w:rsidP="001B7FF6">
      <w:pPr>
        <w:spacing w:after="0" w:line="360" w:lineRule="auto"/>
        <w:ind w:firstLine="284"/>
        <w:jc w:val="both"/>
        <w:rPr>
          <w:rFonts w:ascii="Times New Roman" w:hAnsi="Times New Roman" w:cs="Times New Roman"/>
          <w:color w:val="FF0000"/>
          <w:sz w:val="24"/>
        </w:rPr>
      </w:pPr>
    </w:p>
    <w:p w14:paraId="651D8E63" w14:textId="1C97B6C8" w:rsidR="002B417A" w:rsidRPr="004065CA" w:rsidRDefault="004065CA" w:rsidP="004065CA">
      <w:pPr>
        <w:spacing w:after="120" w:line="360" w:lineRule="auto"/>
        <w:rPr>
          <w:rFonts w:ascii="Times New Roman" w:hAnsi="Times New Roman" w:cs="Times New Roman"/>
          <w:b/>
          <w:sz w:val="24"/>
        </w:rPr>
      </w:pPr>
      <w:r>
        <w:rPr>
          <w:rFonts w:ascii="Times New Roman" w:hAnsi="Times New Roman" w:cs="Times New Roman"/>
          <w:b/>
          <w:sz w:val="24"/>
        </w:rPr>
        <w:lastRenderedPageBreak/>
        <w:t xml:space="preserve">2. </w:t>
      </w:r>
      <w:r w:rsidR="005C546E" w:rsidRPr="004065CA">
        <w:rPr>
          <w:rFonts w:ascii="Times New Roman" w:hAnsi="Times New Roman" w:cs="Times New Roman"/>
          <w:b/>
          <w:sz w:val="24"/>
        </w:rPr>
        <w:t xml:space="preserve">Theoretical </w:t>
      </w:r>
      <w:r w:rsidR="001B39D5" w:rsidRPr="004065CA">
        <w:rPr>
          <w:rFonts w:ascii="Times New Roman" w:hAnsi="Times New Roman" w:cs="Times New Roman"/>
          <w:b/>
          <w:sz w:val="24"/>
        </w:rPr>
        <w:t xml:space="preserve">Framework </w:t>
      </w:r>
      <w:r w:rsidR="00753E4B" w:rsidRPr="004065CA">
        <w:rPr>
          <w:rFonts w:ascii="Times New Roman" w:hAnsi="Times New Roman" w:cs="Times New Roman"/>
          <w:b/>
          <w:sz w:val="24"/>
        </w:rPr>
        <w:t xml:space="preserve"> </w:t>
      </w:r>
      <w:r w:rsidR="005C546E" w:rsidRPr="004065CA">
        <w:rPr>
          <w:rFonts w:ascii="Times New Roman" w:hAnsi="Times New Roman" w:cs="Times New Roman"/>
          <w:b/>
          <w:sz w:val="24"/>
        </w:rPr>
        <w:t xml:space="preserve"> </w:t>
      </w:r>
    </w:p>
    <w:p w14:paraId="0DB4C67C" w14:textId="22E277E0" w:rsidR="00690D38" w:rsidRPr="00C56B34" w:rsidRDefault="00753E4B" w:rsidP="002B417A">
      <w:pPr>
        <w:spacing w:after="120" w:line="360" w:lineRule="auto"/>
        <w:jc w:val="both"/>
        <w:rPr>
          <w:rFonts w:asciiTheme="majorBidi" w:hAnsiTheme="majorBidi" w:cstheme="majorBidi"/>
          <w:b/>
          <w:sz w:val="32"/>
          <w:szCs w:val="32"/>
        </w:rPr>
      </w:pPr>
      <w:r w:rsidRPr="00C56B34">
        <w:rPr>
          <w:rFonts w:ascii="Times New Roman" w:hAnsi="Times New Roman" w:cs="Times New Roman"/>
          <w:i/>
          <w:sz w:val="24"/>
        </w:rPr>
        <w:t xml:space="preserve">2.1 The cross-border effect </w:t>
      </w:r>
    </w:p>
    <w:p w14:paraId="17C5F944" w14:textId="751152D1" w:rsidR="00690D38" w:rsidRPr="00C56B34" w:rsidRDefault="00DF0CE6" w:rsidP="00690D38">
      <w:pPr>
        <w:spacing w:after="0" w:line="360" w:lineRule="auto"/>
        <w:jc w:val="both"/>
        <w:rPr>
          <w:rFonts w:ascii="Times New Roman" w:hAnsi="Times New Roman" w:cs="Times New Roman"/>
          <w:b/>
          <w:sz w:val="24"/>
        </w:rPr>
      </w:pPr>
      <w:r w:rsidRPr="00C56B34">
        <w:rPr>
          <w:rFonts w:ascii="Times New Roman" w:hAnsi="Times New Roman" w:cs="Times New Roman"/>
          <w:bCs/>
          <w:sz w:val="24"/>
        </w:rPr>
        <w:t xml:space="preserve">Previous research on domestic merger and acquisitions </w:t>
      </w:r>
      <w:r w:rsidR="00F2202E" w:rsidRPr="00C56B34">
        <w:rPr>
          <w:rFonts w:ascii="Times New Roman" w:hAnsi="Times New Roman" w:cs="Times New Roman"/>
          <w:bCs/>
          <w:sz w:val="24"/>
        </w:rPr>
        <w:t>conducted</w:t>
      </w:r>
      <w:r w:rsidRPr="00C56B34">
        <w:rPr>
          <w:rFonts w:ascii="Times New Roman" w:hAnsi="Times New Roman" w:cs="Times New Roman"/>
          <w:bCs/>
          <w:sz w:val="24"/>
        </w:rPr>
        <w:t xml:space="preserve"> </w:t>
      </w:r>
      <w:r w:rsidR="00F2202E" w:rsidRPr="00C56B34">
        <w:rPr>
          <w:rFonts w:ascii="Times New Roman" w:hAnsi="Times New Roman" w:cs="Times New Roman"/>
          <w:bCs/>
          <w:sz w:val="24"/>
        </w:rPr>
        <w:t>for</w:t>
      </w:r>
      <w:r w:rsidRPr="00C56B34">
        <w:rPr>
          <w:rFonts w:ascii="Times New Roman" w:hAnsi="Times New Roman" w:cs="Times New Roman"/>
          <w:bCs/>
          <w:sz w:val="24"/>
        </w:rPr>
        <w:t xml:space="preserve"> several regions, such as the USA, </w:t>
      </w:r>
      <w:r w:rsidR="00F35942" w:rsidRPr="00C56B34">
        <w:rPr>
          <w:rFonts w:ascii="Times New Roman" w:hAnsi="Times New Roman" w:cs="Times New Roman"/>
          <w:bCs/>
          <w:sz w:val="24"/>
        </w:rPr>
        <w:t>and</w:t>
      </w:r>
      <w:r w:rsidRPr="00C56B34">
        <w:rPr>
          <w:rFonts w:ascii="Times New Roman" w:hAnsi="Times New Roman" w:cs="Times New Roman"/>
          <w:bCs/>
          <w:sz w:val="24"/>
        </w:rPr>
        <w:t xml:space="preserve"> Europe, indicate</w:t>
      </w:r>
      <w:r w:rsidR="001E3B41" w:rsidRPr="00C56B34">
        <w:rPr>
          <w:rFonts w:ascii="Times New Roman" w:hAnsi="Times New Roman" w:cs="Times New Roman"/>
          <w:bCs/>
          <w:sz w:val="24"/>
        </w:rPr>
        <w:t xml:space="preserve"> that</w:t>
      </w:r>
      <w:r w:rsidRPr="00C56B34">
        <w:rPr>
          <w:rFonts w:ascii="Times New Roman" w:hAnsi="Times New Roman" w:cs="Times New Roman"/>
          <w:bCs/>
          <w:sz w:val="24"/>
        </w:rPr>
        <w:t xml:space="preserve"> target shareholders reap significantly positive </w:t>
      </w:r>
      <w:r w:rsidR="00724950">
        <w:rPr>
          <w:rFonts w:ascii="Times New Roman" w:hAnsi="Times New Roman" w:cs="Times New Roman"/>
          <w:bCs/>
          <w:sz w:val="24"/>
        </w:rPr>
        <w:t xml:space="preserve">cumulative </w:t>
      </w:r>
      <w:r w:rsidRPr="00C56B34">
        <w:rPr>
          <w:rFonts w:ascii="Times New Roman" w:hAnsi="Times New Roman" w:cs="Times New Roman"/>
          <w:bCs/>
          <w:sz w:val="24"/>
        </w:rPr>
        <w:t xml:space="preserve">abnormal returns in the months around the announcement date (Franks and Harris, </w:t>
      </w:r>
      <w:r w:rsidR="00FE35E0" w:rsidRPr="00C56B34">
        <w:rPr>
          <w:rFonts w:ascii="Times New Roman" w:hAnsi="Times New Roman" w:cs="Times New Roman"/>
          <w:bCs/>
          <w:sz w:val="24"/>
        </w:rPr>
        <w:t>1989; Limmack, 1991; Erel</w:t>
      </w:r>
      <w:r w:rsidR="007F5CCA" w:rsidRPr="00C56B34">
        <w:rPr>
          <w:rFonts w:ascii="Times New Roman" w:hAnsi="Times New Roman" w:cs="Times New Roman"/>
          <w:bCs/>
          <w:sz w:val="24"/>
        </w:rPr>
        <w:t>, Liao</w:t>
      </w:r>
      <w:r w:rsidR="00FE35E0" w:rsidRPr="00C56B34">
        <w:rPr>
          <w:rFonts w:ascii="Times New Roman" w:hAnsi="Times New Roman" w:cs="Times New Roman"/>
          <w:bCs/>
          <w:sz w:val="24"/>
        </w:rPr>
        <w:t xml:space="preserve">, and Weisbach, 2012; Bena and Li, 2014).  One can argue that since targets reap </w:t>
      </w:r>
      <w:r w:rsidR="001E3B41" w:rsidRPr="00C56B34">
        <w:rPr>
          <w:rFonts w:ascii="Times New Roman" w:hAnsi="Times New Roman" w:cs="Times New Roman"/>
          <w:bCs/>
          <w:sz w:val="24"/>
        </w:rPr>
        <w:t xml:space="preserve">positive abnormal returns </w:t>
      </w:r>
      <w:r w:rsidR="00FE35E0" w:rsidRPr="00C56B34">
        <w:rPr>
          <w:rFonts w:ascii="Times New Roman" w:hAnsi="Times New Roman" w:cs="Times New Roman"/>
          <w:bCs/>
          <w:sz w:val="24"/>
        </w:rPr>
        <w:t xml:space="preserve">in domestic acquisitions, it should also be expected that </w:t>
      </w:r>
      <w:r w:rsidR="00724950">
        <w:rPr>
          <w:rFonts w:ascii="Times New Roman" w:hAnsi="Times New Roman" w:cs="Times New Roman"/>
          <w:bCs/>
          <w:sz w:val="24"/>
        </w:rPr>
        <w:t>favorable</w:t>
      </w:r>
      <w:r w:rsidR="00FE35E0" w:rsidRPr="00C56B34">
        <w:rPr>
          <w:rFonts w:ascii="Times New Roman" w:hAnsi="Times New Roman" w:cs="Times New Roman"/>
          <w:bCs/>
          <w:sz w:val="24"/>
        </w:rPr>
        <w:t xml:space="preserve"> abnormal returns will accrue to </w:t>
      </w:r>
      <w:r w:rsidR="0020432F">
        <w:rPr>
          <w:rFonts w:ascii="Times New Roman" w:hAnsi="Times New Roman" w:cs="Times New Roman"/>
          <w:bCs/>
          <w:sz w:val="24"/>
        </w:rPr>
        <w:t>the shareholders of target firms</w:t>
      </w:r>
      <w:r w:rsidR="00FE35E0" w:rsidRPr="00C56B34">
        <w:rPr>
          <w:rFonts w:ascii="Times New Roman" w:hAnsi="Times New Roman" w:cs="Times New Roman"/>
          <w:bCs/>
          <w:sz w:val="24"/>
        </w:rPr>
        <w:t xml:space="preserve"> in cross-border deal</w:t>
      </w:r>
      <w:r w:rsidR="001303CD" w:rsidRPr="00C56B34">
        <w:rPr>
          <w:rFonts w:ascii="Times New Roman" w:hAnsi="Times New Roman" w:cs="Times New Roman"/>
          <w:bCs/>
          <w:sz w:val="24"/>
        </w:rPr>
        <w:t xml:space="preserve">s; however, </w:t>
      </w:r>
      <w:r w:rsidR="00F35942" w:rsidRPr="00C56B34">
        <w:rPr>
          <w:rFonts w:ascii="Times New Roman" w:hAnsi="Times New Roman" w:cs="Times New Roman"/>
          <w:bCs/>
          <w:sz w:val="24"/>
        </w:rPr>
        <w:t>unlike several arguments, targets in cross-border deals should not expect</w:t>
      </w:r>
      <w:r w:rsidR="00E76B9E">
        <w:rPr>
          <w:rFonts w:ascii="Times New Roman" w:hAnsi="Times New Roman" w:cs="Times New Roman"/>
          <w:bCs/>
          <w:sz w:val="24"/>
        </w:rPr>
        <w:t xml:space="preserve"> the</w:t>
      </w:r>
      <w:r w:rsidR="00F35942" w:rsidRPr="00C56B34">
        <w:rPr>
          <w:rFonts w:ascii="Times New Roman" w:hAnsi="Times New Roman" w:cs="Times New Roman"/>
          <w:bCs/>
          <w:sz w:val="24"/>
        </w:rPr>
        <w:t xml:space="preserve"> negative cross-border effect. </w:t>
      </w:r>
    </w:p>
    <w:p w14:paraId="2507428C" w14:textId="300AF34B" w:rsidR="00E76B9E" w:rsidRDefault="00E76B9E" w:rsidP="00F43081">
      <w:pPr>
        <w:spacing w:after="0" w:line="360" w:lineRule="auto"/>
        <w:ind w:firstLine="284"/>
        <w:jc w:val="both"/>
        <w:rPr>
          <w:rFonts w:ascii="Times New Roman" w:hAnsi="Times New Roman" w:cs="Times New Roman"/>
          <w:bCs/>
          <w:sz w:val="24"/>
        </w:rPr>
      </w:pPr>
      <w:r w:rsidRPr="00E76B9E">
        <w:rPr>
          <w:rFonts w:ascii="Times New Roman" w:hAnsi="Times New Roman" w:cs="Times New Roman"/>
          <w:bCs/>
          <w:sz w:val="24"/>
        </w:rPr>
        <w:t xml:space="preserve">A prominent argument is that foreign investors, compared to domestic ones, are at a cost disadvantage, as culture differences, geographical distance, and economic and regulatory barriers will add to the cost and complexity of the </w:t>
      </w:r>
      <w:r w:rsidR="0020432F">
        <w:rPr>
          <w:rFonts w:ascii="Times New Roman" w:hAnsi="Times New Roman" w:cs="Times New Roman"/>
          <w:bCs/>
          <w:sz w:val="24"/>
        </w:rPr>
        <w:t>deal</w:t>
      </w:r>
      <w:r w:rsidRPr="00E76B9E">
        <w:rPr>
          <w:rFonts w:ascii="Times New Roman" w:hAnsi="Times New Roman" w:cs="Times New Roman"/>
          <w:bCs/>
          <w:sz w:val="24"/>
        </w:rPr>
        <w:t xml:space="preserve"> and reduce the </w:t>
      </w:r>
      <w:r w:rsidR="0020432F">
        <w:rPr>
          <w:rFonts w:ascii="Times New Roman" w:hAnsi="Times New Roman" w:cs="Times New Roman"/>
          <w:bCs/>
          <w:sz w:val="24"/>
        </w:rPr>
        <w:t>likelihood the transaction will succeed</w:t>
      </w:r>
      <w:r w:rsidRPr="00E76B9E">
        <w:rPr>
          <w:rFonts w:ascii="Times New Roman" w:hAnsi="Times New Roman" w:cs="Times New Roman"/>
          <w:bCs/>
          <w:sz w:val="24"/>
        </w:rPr>
        <w:t xml:space="preserve">.  Consequently, bidders are willing to pay lower merger premiums in cross-border than in domestic transactions (Hymer, 1976; Dewenter, 1995). Although these factors can deter bidders from engaging in a cross-border deal, they are not expected to cause a negative cross-border effect to target companies. Under the assumption that takeovers markets are competitive, targets engaged in cross-border deals would demand foreign bidders to pay at least as high as domestic bidders pay, despite the </w:t>
      </w:r>
      <w:r w:rsidR="0020432F">
        <w:rPr>
          <w:rFonts w:ascii="Times New Roman" w:hAnsi="Times New Roman" w:cs="Times New Roman"/>
          <w:bCs/>
          <w:sz w:val="24"/>
        </w:rPr>
        <w:t>additional expenses</w:t>
      </w:r>
      <w:r w:rsidRPr="00E76B9E">
        <w:rPr>
          <w:rFonts w:ascii="Times New Roman" w:hAnsi="Times New Roman" w:cs="Times New Roman"/>
          <w:bCs/>
          <w:sz w:val="24"/>
        </w:rPr>
        <w:t xml:space="preserve"> </w:t>
      </w:r>
      <w:r w:rsidR="0020432F">
        <w:rPr>
          <w:rFonts w:ascii="Times New Roman" w:hAnsi="Times New Roman" w:cs="Times New Roman"/>
          <w:bCs/>
          <w:sz w:val="24"/>
        </w:rPr>
        <w:t>of the</w:t>
      </w:r>
      <w:r w:rsidRPr="00E76B9E">
        <w:rPr>
          <w:rFonts w:ascii="Times New Roman" w:hAnsi="Times New Roman" w:cs="Times New Roman"/>
          <w:bCs/>
          <w:sz w:val="24"/>
        </w:rPr>
        <w:t xml:space="preserve"> cross-border deals (Danbolt, 2004). Although it is not expected to observe a negative target company cross-border effect, the statistical significance of the target company cross-border effect will be tested using two-tailed tests, later in the analysis section (Danbolt, 2004). </w:t>
      </w:r>
    </w:p>
    <w:p w14:paraId="3D035FC2" w14:textId="26E8151F" w:rsidR="00E76B9E" w:rsidRDefault="00E76B9E" w:rsidP="00A24AC5">
      <w:pPr>
        <w:spacing w:after="0" w:line="360" w:lineRule="auto"/>
        <w:ind w:firstLine="284"/>
        <w:jc w:val="both"/>
        <w:rPr>
          <w:rFonts w:ascii="Times New Roman" w:hAnsi="Times New Roman" w:cs="Times New Roman"/>
          <w:bCs/>
          <w:sz w:val="24"/>
        </w:rPr>
      </w:pPr>
      <w:r w:rsidRPr="00E76B9E">
        <w:rPr>
          <w:rFonts w:ascii="Times New Roman" w:hAnsi="Times New Roman" w:cs="Times New Roman"/>
          <w:bCs/>
          <w:sz w:val="24"/>
        </w:rPr>
        <w:t xml:space="preserve">Previous literature conducted in several regions and different markets have been mixed on which deal type, domestic or cross-border, will provide </w:t>
      </w:r>
      <w:r w:rsidR="00F05016">
        <w:rPr>
          <w:rFonts w:ascii="Times New Roman" w:hAnsi="Times New Roman" w:cs="Times New Roman"/>
          <w:bCs/>
          <w:sz w:val="24"/>
        </w:rPr>
        <w:t xml:space="preserve">the target shareholders with </w:t>
      </w:r>
      <w:r w:rsidR="00DB0A33">
        <w:rPr>
          <w:rFonts w:ascii="Times New Roman" w:hAnsi="Times New Roman" w:cs="Times New Roman"/>
          <w:bCs/>
          <w:sz w:val="24"/>
        </w:rPr>
        <w:t xml:space="preserve">a </w:t>
      </w:r>
      <w:r w:rsidR="00F05016">
        <w:rPr>
          <w:rFonts w:ascii="Times New Roman" w:hAnsi="Times New Roman" w:cs="Times New Roman"/>
          <w:bCs/>
          <w:sz w:val="24"/>
        </w:rPr>
        <w:t>higher return</w:t>
      </w:r>
      <w:r w:rsidRPr="00E76B9E">
        <w:rPr>
          <w:rFonts w:ascii="Times New Roman" w:hAnsi="Times New Roman" w:cs="Times New Roman"/>
          <w:bCs/>
          <w:sz w:val="24"/>
        </w:rPr>
        <w:t>. Harris and Ravenscraft (1991), Kang (1993), Swenson</w:t>
      </w:r>
      <w:r w:rsidR="00842687">
        <w:rPr>
          <w:rFonts w:ascii="Times New Roman" w:hAnsi="Times New Roman" w:cs="Times New Roman"/>
          <w:bCs/>
          <w:sz w:val="24"/>
        </w:rPr>
        <w:t xml:space="preserve"> (1993), Cheng and Chan (1995), </w:t>
      </w:r>
      <w:r w:rsidRPr="00E76B9E">
        <w:rPr>
          <w:rFonts w:ascii="Times New Roman" w:hAnsi="Times New Roman" w:cs="Times New Roman"/>
          <w:bCs/>
          <w:sz w:val="24"/>
        </w:rPr>
        <w:t xml:space="preserve">and Bena and Li (2014) have all found </w:t>
      </w:r>
      <w:r w:rsidR="00F05016">
        <w:rPr>
          <w:rFonts w:ascii="Times New Roman" w:hAnsi="Times New Roman" w:cs="Times New Roman"/>
          <w:bCs/>
          <w:sz w:val="24"/>
        </w:rPr>
        <w:t>American</w:t>
      </w:r>
      <w:r w:rsidR="00842687">
        <w:rPr>
          <w:rFonts w:ascii="Times New Roman" w:hAnsi="Times New Roman" w:cs="Times New Roman"/>
          <w:bCs/>
          <w:sz w:val="24"/>
        </w:rPr>
        <w:t xml:space="preserve"> and European target firms to gain more in cross-border than domestic </w:t>
      </w:r>
      <w:r w:rsidR="00F05016">
        <w:rPr>
          <w:rFonts w:ascii="Times New Roman" w:hAnsi="Times New Roman" w:cs="Times New Roman"/>
          <w:bCs/>
          <w:sz w:val="24"/>
        </w:rPr>
        <w:t>acquisitions</w:t>
      </w:r>
      <w:r w:rsidRPr="00E76B9E">
        <w:rPr>
          <w:rFonts w:ascii="Times New Roman" w:hAnsi="Times New Roman" w:cs="Times New Roman"/>
          <w:bCs/>
          <w:sz w:val="24"/>
        </w:rPr>
        <w:t xml:space="preserve">.  However, Wansley et al. (1983) and Dewenter (1995) have found no significant differences in </w:t>
      </w:r>
      <w:r w:rsidR="00842687">
        <w:rPr>
          <w:rFonts w:ascii="Times New Roman" w:hAnsi="Times New Roman" w:cs="Times New Roman"/>
          <w:bCs/>
          <w:sz w:val="24"/>
        </w:rPr>
        <w:t xml:space="preserve">the level of cumulative abnormal returns to the shareholders of target firms in cross-border and domestic </w:t>
      </w:r>
      <w:r w:rsidR="00F05016">
        <w:rPr>
          <w:rFonts w:ascii="Times New Roman" w:hAnsi="Times New Roman" w:cs="Times New Roman"/>
          <w:bCs/>
          <w:sz w:val="24"/>
        </w:rPr>
        <w:t>bids</w:t>
      </w:r>
      <w:r w:rsidRPr="00E76B9E">
        <w:rPr>
          <w:rFonts w:ascii="Times New Roman" w:hAnsi="Times New Roman" w:cs="Times New Roman"/>
          <w:bCs/>
          <w:sz w:val="24"/>
        </w:rPr>
        <w:t xml:space="preserve">.  </w:t>
      </w:r>
    </w:p>
    <w:p w14:paraId="15007FF2" w14:textId="4F391CA3" w:rsidR="004065CA" w:rsidRPr="00C56B34" w:rsidRDefault="00FE0092" w:rsidP="004065CA">
      <w:pPr>
        <w:spacing w:after="0" w:line="360" w:lineRule="auto"/>
        <w:ind w:firstLine="284"/>
        <w:jc w:val="both"/>
        <w:rPr>
          <w:rFonts w:ascii="Times New Roman" w:hAnsi="Times New Roman" w:cs="Times New Roman"/>
          <w:bCs/>
          <w:sz w:val="24"/>
        </w:rPr>
      </w:pPr>
      <w:r>
        <w:rPr>
          <w:rFonts w:ascii="Times New Roman" w:hAnsi="Times New Roman" w:cs="Times New Roman"/>
          <w:bCs/>
          <w:sz w:val="24"/>
        </w:rPr>
        <w:t>The existence of the target firm cross-border effect is still an open question</w:t>
      </w:r>
      <w:r w:rsidR="00C66C7D" w:rsidRPr="00C56B34">
        <w:rPr>
          <w:rFonts w:ascii="Times New Roman" w:hAnsi="Times New Roman" w:cs="Times New Roman"/>
          <w:bCs/>
          <w:sz w:val="24"/>
        </w:rPr>
        <w:t xml:space="preserve">. </w:t>
      </w:r>
      <w:r w:rsidR="00E76B9E">
        <w:rPr>
          <w:rFonts w:ascii="Times New Roman" w:hAnsi="Times New Roman" w:cs="Times New Roman"/>
          <w:bCs/>
          <w:sz w:val="24"/>
        </w:rPr>
        <w:t>P</w:t>
      </w:r>
      <w:r w:rsidR="00F43081" w:rsidRPr="00C56B34">
        <w:rPr>
          <w:rFonts w:ascii="Times New Roman" w:hAnsi="Times New Roman" w:cs="Times New Roman"/>
          <w:bCs/>
          <w:sz w:val="24"/>
        </w:rPr>
        <w:t xml:space="preserve">revious </w:t>
      </w:r>
      <w:r w:rsidR="00A24AC5" w:rsidRPr="00C56B34">
        <w:rPr>
          <w:rFonts w:ascii="Times New Roman" w:hAnsi="Times New Roman" w:cs="Times New Roman"/>
          <w:bCs/>
          <w:sz w:val="24"/>
        </w:rPr>
        <w:t>studies</w:t>
      </w:r>
      <w:r w:rsidR="00C66C7D" w:rsidRPr="00C56B34">
        <w:rPr>
          <w:rFonts w:ascii="Times New Roman" w:hAnsi="Times New Roman" w:cs="Times New Roman"/>
          <w:bCs/>
          <w:sz w:val="24"/>
        </w:rPr>
        <w:t xml:space="preserve"> </w:t>
      </w:r>
      <w:r w:rsidR="00A24AC5" w:rsidRPr="00C56B34">
        <w:rPr>
          <w:rFonts w:ascii="Times New Roman" w:hAnsi="Times New Roman" w:cs="Times New Roman"/>
          <w:bCs/>
          <w:sz w:val="24"/>
        </w:rPr>
        <w:t>have</w:t>
      </w:r>
      <w:r w:rsidR="00E76B9E">
        <w:rPr>
          <w:rFonts w:ascii="Times New Roman" w:hAnsi="Times New Roman" w:cs="Times New Roman"/>
          <w:bCs/>
          <w:sz w:val="24"/>
        </w:rPr>
        <w:t>, also,</w:t>
      </w:r>
      <w:r w:rsidR="00C66C7D" w:rsidRPr="00C56B34">
        <w:rPr>
          <w:rFonts w:ascii="Times New Roman" w:hAnsi="Times New Roman" w:cs="Times New Roman"/>
          <w:bCs/>
          <w:sz w:val="24"/>
        </w:rPr>
        <w:t xml:space="preserve"> been conflicted on what are the drivers of this effect. Factors suggested in previous </w:t>
      </w:r>
      <w:r w:rsidR="00753E4B" w:rsidRPr="00C56B34">
        <w:rPr>
          <w:rFonts w:ascii="Times New Roman" w:hAnsi="Times New Roman" w:cs="Times New Roman"/>
          <w:bCs/>
          <w:sz w:val="24"/>
        </w:rPr>
        <w:t>studies</w:t>
      </w:r>
      <w:r w:rsidR="00C66C7D" w:rsidRPr="00C56B34">
        <w:rPr>
          <w:rFonts w:ascii="Times New Roman" w:hAnsi="Times New Roman" w:cs="Times New Roman"/>
          <w:bCs/>
          <w:sz w:val="24"/>
        </w:rPr>
        <w:t xml:space="preserve"> to </w:t>
      </w:r>
      <w:r>
        <w:rPr>
          <w:rFonts w:ascii="Times New Roman" w:hAnsi="Times New Roman" w:cs="Times New Roman"/>
          <w:bCs/>
          <w:sz w:val="24"/>
        </w:rPr>
        <w:t>justify</w:t>
      </w:r>
      <w:r w:rsidR="00C66C7D" w:rsidRPr="00C56B34">
        <w:rPr>
          <w:rFonts w:ascii="Times New Roman" w:hAnsi="Times New Roman" w:cs="Times New Roman"/>
          <w:bCs/>
          <w:sz w:val="24"/>
        </w:rPr>
        <w:t xml:space="preserve"> the cross-border effect falls into five main categories: international risk </w:t>
      </w:r>
      <w:r w:rsidR="00C66C7D" w:rsidRPr="00C56B34">
        <w:rPr>
          <w:rFonts w:ascii="Times New Roman" w:hAnsi="Times New Roman" w:cs="Times New Roman"/>
          <w:bCs/>
          <w:sz w:val="24"/>
        </w:rPr>
        <w:lastRenderedPageBreak/>
        <w:t>diversification, market access, exchange rate effects</w:t>
      </w:r>
      <w:r w:rsidR="00753E4B" w:rsidRPr="00C56B34">
        <w:rPr>
          <w:rFonts w:ascii="Times New Roman" w:hAnsi="Times New Roman" w:cs="Times New Roman"/>
          <w:bCs/>
          <w:sz w:val="24"/>
        </w:rPr>
        <w:t xml:space="preserve">, </w:t>
      </w:r>
      <w:r w:rsidR="00C66C7D" w:rsidRPr="00C56B34">
        <w:rPr>
          <w:rFonts w:ascii="Times New Roman" w:hAnsi="Times New Roman" w:cs="Times New Roman"/>
          <w:bCs/>
          <w:sz w:val="24"/>
        </w:rPr>
        <w:t xml:space="preserve">managerial factors, and the </w:t>
      </w:r>
      <w:r w:rsidR="000F477D">
        <w:rPr>
          <w:rFonts w:ascii="Times New Roman" w:hAnsi="Times New Roman" w:cs="Times New Roman"/>
          <w:bCs/>
          <w:sz w:val="24"/>
        </w:rPr>
        <w:t>differences in firm and deal specific characteristics</w:t>
      </w:r>
      <w:r w:rsidR="00753E4B" w:rsidRPr="00C56B34">
        <w:rPr>
          <w:rFonts w:ascii="Times New Roman" w:hAnsi="Times New Roman" w:cs="Times New Roman"/>
          <w:bCs/>
          <w:sz w:val="24"/>
        </w:rPr>
        <w:t xml:space="preserve"> between cross-border and domestic </w:t>
      </w:r>
      <w:r w:rsidR="000F477D">
        <w:rPr>
          <w:rFonts w:ascii="Times New Roman" w:hAnsi="Times New Roman" w:cs="Times New Roman"/>
          <w:bCs/>
          <w:sz w:val="24"/>
        </w:rPr>
        <w:t>acquisitions</w:t>
      </w:r>
      <w:r w:rsidR="00753E4B" w:rsidRPr="00C56B34">
        <w:rPr>
          <w:rFonts w:ascii="Times New Roman" w:hAnsi="Times New Roman" w:cs="Times New Roman"/>
          <w:bCs/>
          <w:sz w:val="24"/>
        </w:rPr>
        <w:t xml:space="preserve">. </w:t>
      </w:r>
      <w:r w:rsidR="00C66C7D" w:rsidRPr="00C56B34">
        <w:rPr>
          <w:rFonts w:ascii="Times New Roman" w:hAnsi="Times New Roman" w:cs="Times New Roman"/>
          <w:bCs/>
          <w:sz w:val="24"/>
        </w:rPr>
        <w:t xml:space="preserve"> </w:t>
      </w:r>
    </w:p>
    <w:p w14:paraId="3A0C2A94" w14:textId="77777777" w:rsidR="00A24AC5" w:rsidRPr="00C56B34" w:rsidRDefault="00A24AC5" w:rsidP="00A24AC5">
      <w:pPr>
        <w:spacing w:after="0" w:line="360" w:lineRule="auto"/>
        <w:ind w:firstLine="284"/>
        <w:jc w:val="both"/>
        <w:rPr>
          <w:rFonts w:ascii="Times New Roman" w:hAnsi="Times New Roman" w:cs="Times New Roman"/>
          <w:bCs/>
          <w:sz w:val="24"/>
        </w:rPr>
      </w:pPr>
    </w:p>
    <w:p w14:paraId="393857DD" w14:textId="3BB6FBD4" w:rsidR="00231226" w:rsidRPr="00C56B34" w:rsidRDefault="00355C76" w:rsidP="00690D38">
      <w:pPr>
        <w:spacing w:after="120" w:line="360" w:lineRule="auto"/>
        <w:jc w:val="both"/>
        <w:rPr>
          <w:rFonts w:ascii="Times New Roman" w:hAnsi="Times New Roman" w:cs="Times New Roman"/>
          <w:i/>
          <w:sz w:val="24"/>
        </w:rPr>
      </w:pPr>
      <w:r w:rsidRPr="00C56B34">
        <w:rPr>
          <w:rFonts w:ascii="Times New Roman" w:hAnsi="Times New Roman" w:cs="Times New Roman"/>
          <w:i/>
          <w:sz w:val="24"/>
        </w:rPr>
        <w:t>2.1</w:t>
      </w:r>
      <w:r w:rsidR="00753E4B" w:rsidRPr="00C56B34">
        <w:rPr>
          <w:rFonts w:ascii="Times New Roman" w:hAnsi="Times New Roman" w:cs="Times New Roman"/>
          <w:i/>
          <w:sz w:val="24"/>
        </w:rPr>
        <w:t>.1</w:t>
      </w:r>
      <w:r w:rsidRPr="00C56B34">
        <w:rPr>
          <w:rFonts w:ascii="Times New Roman" w:hAnsi="Times New Roman" w:cs="Times New Roman"/>
          <w:i/>
          <w:sz w:val="24"/>
        </w:rPr>
        <w:t xml:space="preserve"> </w:t>
      </w:r>
      <w:r w:rsidR="00231226" w:rsidRPr="00C56B34">
        <w:rPr>
          <w:rFonts w:ascii="Times New Roman" w:hAnsi="Times New Roman" w:cs="Times New Roman"/>
          <w:i/>
          <w:sz w:val="24"/>
        </w:rPr>
        <w:t xml:space="preserve">International Risk Diversification </w:t>
      </w:r>
    </w:p>
    <w:p w14:paraId="24523343" w14:textId="19E07790" w:rsidR="00A24AC5" w:rsidRPr="00C56B34" w:rsidRDefault="002E001D" w:rsidP="00A24AC5">
      <w:pPr>
        <w:spacing w:after="0" w:line="360" w:lineRule="auto"/>
        <w:jc w:val="both"/>
        <w:rPr>
          <w:rFonts w:ascii="Times New Roman" w:hAnsi="Times New Roman" w:cs="Times New Roman"/>
          <w:sz w:val="24"/>
        </w:rPr>
      </w:pPr>
      <w:r w:rsidRPr="00C56B34">
        <w:rPr>
          <w:rFonts w:ascii="Times New Roman" w:hAnsi="Times New Roman" w:cs="Times New Roman"/>
          <w:sz w:val="24"/>
        </w:rPr>
        <w:t>A prominent reason for merger</w:t>
      </w:r>
      <w:r w:rsidR="00E76B9E">
        <w:rPr>
          <w:rFonts w:ascii="Times New Roman" w:hAnsi="Times New Roman" w:cs="Times New Roman"/>
          <w:sz w:val="24"/>
        </w:rPr>
        <w:t>s</w:t>
      </w:r>
      <w:r w:rsidRPr="00C56B34">
        <w:rPr>
          <w:rFonts w:ascii="Times New Roman" w:hAnsi="Times New Roman" w:cs="Times New Roman"/>
          <w:sz w:val="24"/>
        </w:rPr>
        <w:t xml:space="preserve"> and acquisitions is wealth creation to shareholders</w:t>
      </w:r>
      <w:r w:rsidR="000D5F05" w:rsidRPr="00C56B34">
        <w:rPr>
          <w:rFonts w:ascii="Times New Roman" w:hAnsi="Times New Roman" w:cs="Times New Roman"/>
          <w:sz w:val="24"/>
        </w:rPr>
        <w:t>, who are</w:t>
      </w:r>
      <w:r w:rsidR="001B74C0" w:rsidRPr="00C56B34">
        <w:rPr>
          <w:rFonts w:ascii="Times New Roman" w:hAnsi="Times New Roman" w:cs="Times New Roman"/>
          <w:sz w:val="24"/>
        </w:rPr>
        <w:t>, mostly,</w:t>
      </w:r>
      <w:r w:rsidR="000D5F05" w:rsidRPr="00C56B34">
        <w:rPr>
          <w:rFonts w:ascii="Times New Roman" w:hAnsi="Times New Roman" w:cs="Times New Roman"/>
          <w:sz w:val="24"/>
        </w:rPr>
        <w:t xml:space="preserve"> investors searching for opportunities to increase their wealth.</w:t>
      </w:r>
      <w:r w:rsidR="00CD7483" w:rsidRPr="00C56B34">
        <w:rPr>
          <w:rFonts w:ascii="Times New Roman" w:hAnsi="Times New Roman" w:cs="Times New Roman"/>
          <w:sz w:val="24"/>
        </w:rPr>
        <w:t xml:space="preserve"> Empirical observation has shown that covariance of returns in a single economy is higher than across different economies, indicating higher risk exposure for no higher returns </w:t>
      </w:r>
      <w:r w:rsidR="00CD7483" w:rsidRPr="00C56B34">
        <w:rPr>
          <w:rFonts w:ascii="Times New Roman" w:hAnsi="Times New Roman" w:cs="Times New Roman"/>
          <w:bCs/>
          <w:sz w:val="24"/>
        </w:rPr>
        <w:t>(Vasconcellos and Kish</w:t>
      </w:r>
      <w:r w:rsidR="00537F49" w:rsidRPr="00C56B34">
        <w:rPr>
          <w:rFonts w:ascii="Times New Roman" w:hAnsi="Times New Roman" w:cs="Times New Roman"/>
          <w:bCs/>
          <w:sz w:val="24"/>
        </w:rPr>
        <w:t>, 1998</w:t>
      </w:r>
      <w:r w:rsidR="00CD7483" w:rsidRPr="00C56B34">
        <w:rPr>
          <w:rFonts w:ascii="Times New Roman" w:hAnsi="Times New Roman" w:cs="Times New Roman"/>
          <w:bCs/>
          <w:sz w:val="24"/>
        </w:rPr>
        <w:t>).</w:t>
      </w:r>
      <w:r w:rsidR="000D5F05" w:rsidRPr="00C56B34">
        <w:rPr>
          <w:rFonts w:ascii="Times New Roman" w:hAnsi="Times New Roman" w:cs="Times New Roman"/>
          <w:sz w:val="24"/>
        </w:rPr>
        <w:t xml:space="preserve"> </w:t>
      </w:r>
      <w:r w:rsidR="00A24AC5" w:rsidRPr="00C56B34">
        <w:rPr>
          <w:rFonts w:ascii="Times New Roman" w:hAnsi="Times New Roman" w:cs="Times New Roman"/>
          <w:sz w:val="24"/>
        </w:rPr>
        <w:t xml:space="preserve"> </w:t>
      </w:r>
      <w:r w:rsidR="008A7623" w:rsidRPr="00C56B34">
        <w:rPr>
          <w:rFonts w:ascii="Times New Roman" w:hAnsi="Times New Roman" w:cs="Times New Roman"/>
          <w:sz w:val="24"/>
        </w:rPr>
        <w:t xml:space="preserve">Solnik (1974) and Davis (1991) have found that international portfolio diversification can increase investors return with lower </w:t>
      </w:r>
      <w:r w:rsidR="00CD7483" w:rsidRPr="00C56B34">
        <w:rPr>
          <w:rFonts w:ascii="Times New Roman" w:hAnsi="Times New Roman" w:cs="Times New Roman"/>
          <w:sz w:val="24"/>
        </w:rPr>
        <w:t>unsystematic-</w:t>
      </w:r>
      <w:r w:rsidR="008A7623" w:rsidRPr="00C56B34">
        <w:rPr>
          <w:rFonts w:ascii="Times New Roman" w:hAnsi="Times New Roman" w:cs="Times New Roman"/>
          <w:sz w:val="24"/>
        </w:rPr>
        <w:t xml:space="preserve">risk attributes; however, the benefits of international corporate diversification to investors is yet to be </w:t>
      </w:r>
      <w:r w:rsidR="00A24AC5" w:rsidRPr="00C56B34">
        <w:rPr>
          <w:rFonts w:ascii="Times New Roman" w:hAnsi="Times New Roman" w:cs="Times New Roman"/>
          <w:sz w:val="24"/>
        </w:rPr>
        <w:t>discussed</w:t>
      </w:r>
      <w:r w:rsidR="008A7623" w:rsidRPr="00C56B34">
        <w:rPr>
          <w:rFonts w:ascii="Times New Roman" w:hAnsi="Times New Roman" w:cs="Times New Roman"/>
          <w:sz w:val="24"/>
        </w:rPr>
        <w:t>.</w:t>
      </w:r>
      <w:r w:rsidR="00CD7483" w:rsidRPr="00C56B34">
        <w:rPr>
          <w:rFonts w:ascii="Times New Roman" w:hAnsi="Times New Roman" w:cs="Times New Roman"/>
          <w:sz w:val="24"/>
        </w:rPr>
        <w:t xml:space="preserve"> </w:t>
      </w:r>
      <w:r w:rsidR="00A24AC5" w:rsidRPr="00C56B34">
        <w:rPr>
          <w:rFonts w:ascii="Times New Roman" w:hAnsi="Times New Roman" w:cs="Times New Roman"/>
          <w:sz w:val="24"/>
        </w:rPr>
        <w:tab/>
      </w:r>
    </w:p>
    <w:p w14:paraId="4012AEB1" w14:textId="3130EEFF" w:rsidR="00720874" w:rsidRDefault="00903BC3" w:rsidP="00720874">
      <w:pPr>
        <w:spacing w:after="0" w:line="360" w:lineRule="auto"/>
        <w:ind w:firstLine="142"/>
        <w:jc w:val="both"/>
        <w:rPr>
          <w:rFonts w:ascii="Times New Roman" w:hAnsi="Times New Roman" w:cs="Times New Roman"/>
          <w:sz w:val="24"/>
        </w:rPr>
      </w:pPr>
      <w:r w:rsidRPr="00C56B34">
        <w:rPr>
          <w:rFonts w:ascii="Times New Roman" w:hAnsi="Times New Roman" w:cs="Times New Roman"/>
          <w:sz w:val="24"/>
        </w:rPr>
        <w:t>For corporate diversification to be beneficial for investors</w:t>
      </w:r>
      <w:r w:rsidR="00E76B9E">
        <w:rPr>
          <w:rFonts w:ascii="Times New Roman" w:hAnsi="Times New Roman" w:cs="Times New Roman"/>
          <w:sz w:val="24"/>
        </w:rPr>
        <w:t>,</w:t>
      </w:r>
      <w:r w:rsidRPr="00C56B34">
        <w:rPr>
          <w:rFonts w:ascii="Times New Roman" w:hAnsi="Times New Roman" w:cs="Times New Roman"/>
          <w:sz w:val="24"/>
        </w:rPr>
        <w:t xml:space="preserve"> it must provide them with a service they are </w:t>
      </w:r>
      <w:r w:rsidR="00BB3081" w:rsidRPr="00C56B34">
        <w:rPr>
          <w:rFonts w:ascii="Times New Roman" w:hAnsi="Times New Roman" w:cs="Times New Roman"/>
          <w:sz w:val="24"/>
        </w:rPr>
        <w:t>unable</w:t>
      </w:r>
      <w:r w:rsidRPr="00C56B34">
        <w:rPr>
          <w:rFonts w:ascii="Times New Roman" w:hAnsi="Times New Roman" w:cs="Times New Roman"/>
          <w:sz w:val="24"/>
        </w:rPr>
        <w:t xml:space="preserve"> to perform on their own.</w:t>
      </w:r>
      <w:r w:rsidR="0030021A" w:rsidRPr="00C56B34">
        <w:rPr>
          <w:rFonts w:ascii="Times New Roman" w:hAnsi="Times New Roman" w:cs="Times New Roman"/>
          <w:sz w:val="24"/>
        </w:rPr>
        <w:t xml:space="preserve"> Markides and Ittner (1994) and Danbolt (2004) </w:t>
      </w:r>
      <w:r w:rsidR="002E79EC" w:rsidRPr="00C56B34">
        <w:rPr>
          <w:rFonts w:ascii="Times New Roman" w:hAnsi="Times New Roman" w:cs="Times New Roman"/>
          <w:sz w:val="24"/>
        </w:rPr>
        <w:t xml:space="preserve">have </w:t>
      </w:r>
      <w:r w:rsidR="0030021A" w:rsidRPr="00C56B34">
        <w:rPr>
          <w:rFonts w:ascii="Times New Roman" w:hAnsi="Times New Roman" w:cs="Times New Roman"/>
          <w:sz w:val="24"/>
        </w:rPr>
        <w:t xml:space="preserve">argued that under </w:t>
      </w:r>
      <w:r w:rsidR="00DB3530">
        <w:rPr>
          <w:rFonts w:ascii="Times New Roman" w:hAnsi="Times New Roman" w:cs="Times New Roman"/>
          <w:sz w:val="24"/>
        </w:rPr>
        <w:t>some specific</w:t>
      </w:r>
      <w:r w:rsidR="0030021A" w:rsidRPr="00C56B34">
        <w:rPr>
          <w:rFonts w:ascii="Times New Roman" w:hAnsi="Times New Roman" w:cs="Times New Roman"/>
          <w:sz w:val="24"/>
        </w:rPr>
        <w:t xml:space="preserve"> market inefficiencies</w:t>
      </w:r>
      <w:r w:rsidR="00E76B9E">
        <w:rPr>
          <w:rFonts w:ascii="Times New Roman" w:hAnsi="Times New Roman" w:cs="Times New Roman"/>
          <w:sz w:val="24"/>
        </w:rPr>
        <w:t>,</w:t>
      </w:r>
      <w:r w:rsidR="0030021A" w:rsidRPr="00C56B34">
        <w:rPr>
          <w:rFonts w:ascii="Times New Roman" w:hAnsi="Times New Roman" w:cs="Times New Roman"/>
          <w:sz w:val="24"/>
        </w:rPr>
        <w:t xml:space="preserve"> shareholders can benefit from cross-border acquisitions. </w:t>
      </w:r>
      <w:r w:rsidRPr="00C56B34">
        <w:rPr>
          <w:rFonts w:ascii="Times New Roman" w:hAnsi="Times New Roman" w:cs="Times New Roman"/>
          <w:sz w:val="24"/>
        </w:rPr>
        <w:t xml:space="preserve">In an inefficient market with barriers to </w:t>
      </w:r>
      <w:r w:rsidR="00DB3530">
        <w:rPr>
          <w:rFonts w:ascii="Times New Roman" w:hAnsi="Times New Roman" w:cs="Times New Roman"/>
          <w:sz w:val="24"/>
        </w:rPr>
        <w:t>global</w:t>
      </w:r>
      <w:r w:rsidRPr="00C56B34">
        <w:rPr>
          <w:rFonts w:ascii="Times New Roman" w:hAnsi="Times New Roman" w:cs="Times New Roman"/>
          <w:sz w:val="24"/>
        </w:rPr>
        <w:t xml:space="preserve"> capital flow</w:t>
      </w:r>
      <w:r w:rsidR="00E76B9E">
        <w:rPr>
          <w:rFonts w:ascii="Times New Roman" w:hAnsi="Times New Roman" w:cs="Times New Roman"/>
          <w:sz w:val="24"/>
        </w:rPr>
        <w:t>, such as</w:t>
      </w:r>
      <w:r w:rsidR="00BB3081" w:rsidRPr="00C56B34">
        <w:rPr>
          <w:rFonts w:ascii="Times New Roman" w:hAnsi="Times New Roman" w:cs="Times New Roman"/>
          <w:sz w:val="24"/>
        </w:rPr>
        <w:t xml:space="preserve"> </w:t>
      </w:r>
      <w:r w:rsidR="00DB3530">
        <w:rPr>
          <w:rFonts w:ascii="Times New Roman" w:hAnsi="Times New Roman" w:cs="Times New Roman"/>
          <w:sz w:val="24"/>
        </w:rPr>
        <w:t>distinct country-wide tax systems</w:t>
      </w:r>
      <w:r w:rsidR="00BB3081" w:rsidRPr="00C56B34">
        <w:rPr>
          <w:rFonts w:ascii="Times New Roman" w:hAnsi="Times New Roman" w:cs="Times New Roman"/>
          <w:sz w:val="24"/>
        </w:rPr>
        <w:t xml:space="preserve">, </w:t>
      </w:r>
      <w:r w:rsidR="00DB3530">
        <w:rPr>
          <w:rFonts w:ascii="Times New Roman" w:hAnsi="Times New Roman" w:cs="Times New Roman"/>
          <w:sz w:val="24"/>
        </w:rPr>
        <w:t>distict</w:t>
      </w:r>
      <w:r w:rsidR="00BB3081" w:rsidRPr="00C56B34">
        <w:rPr>
          <w:rFonts w:ascii="Times New Roman" w:hAnsi="Times New Roman" w:cs="Times New Roman"/>
          <w:sz w:val="24"/>
        </w:rPr>
        <w:t xml:space="preserve"> accounting standards and security regulations, and </w:t>
      </w:r>
      <w:r w:rsidR="00DB3530">
        <w:rPr>
          <w:rFonts w:ascii="Times New Roman" w:hAnsi="Times New Roman" w:cs="Times New Roman"/>
          <w:sz w:val="24"/>
        </w:rPr>
        <w:t>various</w:t>
      </w:r>
      <w:r w:rsidR="00BB3081" w:rsidRPr="00C56B34">
        <w:rPr>
          <w:rFonts w:ascii="Times New Roman" w:hAnsi="Times New Roman" w:cs="Times New Roman"/>
          <w:sz w:val="24"/>
        </w:rPr>
        <w:t xml:space="preserve"> political and economic risks, investors are unable to optimally diversify their portfolios</w:t>
      </w:r>
      <w:r w:rsidR="00D647AB" w:rsidRPr="00C56B34">
        <w:rPr>
          <w:rFonts w:ascii="Times New Roman" w:hAnsi="Times New Roman" w:cs="Times New Roman"/>
          <w:sz w:val="24"/>
        </w:rPr>
        <w:t xml:space="preserve">. </w:t>
      </w:r>
      <w:r w:rsidR="00BB3081" w:rsidRPr="00C56B34">
        <w:rPr>
          <w:rFonts w:ascii="Times New Roman" w:hAnsi="Times New Roman" w:cs="Times New Roman"/>
          <w:sz w:val="24"/>
        </w:rPr>
        <w:t>Consequently, these investors can optimally diversify their portfolios, indirectly, by purchasing shares in multinational companies</w:t>
      </w:r>
      <w:r w:rsidR="00D647AB" w:rsidRPr="00C56B34">
        <w:rPr>
          <w:rFonts w:ascii="Times New Roman" w:hAnsi="Times New Roman" w:cs="Times New Roman"/>
          <w:sz w:val="24"/>
        </w:rPr>
        <w:t xml:space="preserve"> </w:t>
      </w:r>
      <w:r w:rsidR="00C935A6" w:rsidRPr="00C56B34">
        <w:rPr>
          <w:rFonts w:ascii="Times New Roman" w:hAnsi="Times New Roman" w:cs="Times New Roman"/>
          <w:sz w:val="24"/>
        </w:rPr>
        <w:t>(Markides</w:t>
      </w:r>
      <w:r w:rsidR="00BB3081" w:rsidRPr="00C56B34">
        <w:rPr>
          <w:rFonts w:ascii="Times New Roman" w:hAnsi="Times New Roman" w:cs="Times New Roman"/>
          <w:sz w:val="24"/>
        </w:rPr>
        <w:t xml:space="preserve"> and Ittner, 1994). </w:t>
      </w:r>
      <w:r w:rsidR="00C935A6" w:rsidRPr="00C56B34">
        <w:rPr>
          <w:rFonts w:ascii="Times New Roman" w:hAnsi="Times New Roman" w:cs="Times New Roman"/>
          <w:sz w:val="24"/>
        </w:rPr>
        <w:t xml:space="preserve"> </w:t>
      </w:r>
      <w:r w:rsidR="00183413" w:rsidRPr="00C56B34">
        <w:rPr>
          <w:rFonts w:ascii="Times New Roman" w:hAnsi="Times New Roman" w:cs="Times New Roman"/>
          <w:sz w:val="24"/>
        </w:rPr>
        <w:t xml:space="preserve">The fact that investors </w:t>
      </w:r>
      <w:r w:rsidR="00731711">
        <w:rPr>
          <w:rFonts w:ascii="Times New Roman" w:hAnsi="Times New Roman" w:cs="Times New Roman"/>
          <w:sz w:val="24"/>
        </w:rPr>
        <w:t>generally</w:t>
      </w:r>
      <w:r w:rsidR="00183413" w:rsidRPr="00C56B34">
        <w:rPr>
          <w:rFonts w:ascii="Times New Roman" w:hAnsi="Times New Roman" w:cs="Times New Roman"/>
          <w:sz w:val="24"/>
        </w:rPr>
        <w:t xml:space="preserve"> </w:t>
      </w:r>
      <w:r w:rsidR="00731711">
        <w:rPr>
          <w:rFonts w:ascii="Times New Roman" w:hAnsi="Times New Roman" w:cs="Times New Roman"/>
          <w:sz w:val="24"/>
        </w:rPr>
        <w:t>maintain</w:t>
      </w:r>
      <w:r w:rsidR="00183413" w:rsidRPr="00C56B34">
        <w:rPr>
          <w:rFonts w:ascii="Times New Roman" w:hAnsi="Times New Roman" w:cs="Times New Roman"/>
          <w:sz w:val="24"/>
        </w:rPr>
        <w:t xml:space="preserve"> more in </w:t>
      </w:r>
      <w:r w:rsidR="00731711">
        <w:rPr>
          <w:rFonts w:ascii="Times New Roman" w:hAnsi="Times New Roman" w:cs="Times New Roman"/>
          <w:sz w:val="24"/>
        </w:rPr>
        <w:t>local</w:t>
      </w:r>
      <w:r w:rsidR="00183413" w:rsidRPr="00C56B34">
        <w:rPr>
          <w:rFonts w:ascii="Times New Roman" w:hAnsi="Times New Roman" w:cs="Times New Roman"/>
          <w:sz w:val="24"/>
        </w:rPr>
        <w:t xml:space="preserve"> stocks than what is optimally required can be evidence that barriers to international capital flow exist (Lessard, 1976). </w:t>
      </w:r>
      <w:r w:rsidR="0030021A" w:rsidRPr="00C56B34">
        <w:rPr>
          <w:rFonts w:ascii="Times New Roman" w:hAnsi="Times New Roman" w:cs="Times New Roman"/>
          <w:sz w:val="24"/>
        </w:rPr>
        <w:t>Moreover, Danbolt</w:t>
      </w:r>
      <w:r w:rsidR="001A3EFB" w:rsidRPr="00C56B34">
        <w:rPr>
          <w:rFonts w:ascii="Times New Roman" w:hAnsi="Times New Roman" w:cs="Times New Roman"/>
          <w:sz w:val="24"/>
        </w:rPr>
        <w:t xml:space="preserve"> (2004)</w:t>
      </w:r>
      <w:r w:rsidR="0030021A" w:rsidRPr="00C56B34">
        <w:rPr>
          <w:rFonts w:ascii="Times New Roman" w:hAnsi="Times New Roman" w:cs="Times New Roman"/>
          <w:sz w:val="24"/>
        </w:rPr>
        <w:t xml:space="preserve"> has argued that </w:t>
      </w:r>
      <w:r w:rsidR="008A7623" w:rsidRPr="00C56B34">
        <w:rPr>
          <w:rFonts w:ascii="Times New Roman" w:hAnsi="Times New Roman" w:cs="Times New Roman"/>
          <w:sz w:val="24"/>
        </w:rPr>
        <w:t xml:space="preserve">in a market where information asymmetry exists, firms are better informed than investors; hence, firms </w:t>
      </w:r>
      <w:r w:rsidR="00C935A6" w:rsidRPr="00C56B34">
        <w:rPr>
          <w:rFonts w:ascii="Times New Roman" w:hAnsi="Times New Roman" w:cs="Times New Roman"/>
          <w:sz w:val="24"/>
        </w:rPr>
        <w:t>can</w:t>
      </w:r>
      <w:r w:rsidR="000C09E0" w:rsidRPr="00C56B34">
        <w:rPr>
          <w:rFonts w:ascii="Times New Roman" w:hAnsi="Times New Roman" w:cs="Times New Roman"/>
          <w:sz w:val="24"/>
        </w:rPr>
        <w:t xml:space="preserve"> make better </w:t>
      </w:r>
      <w:r w:rsidR="00183413" w:rsidRPr="00C56B34">
        <w:rPr>
          <w:rFonts w:ascii="Times New Roman" w:hAnsi="Times New Roman" w:cs="Times New Roman"/>
          <w:sz w:val="24"/>
        </w:rPr>
        <w:t xml:space="preserve">investment </w:t>
      </w:r>
      <w:r w:rsidR="000C09E0" w:rsidRPr="00C56B34">
        <w:rPr>
          <w:rFonts w:ascii="Times New Roman" w:hAnsi="Times New Roman" w:cs="Times New Roman"/>
          <w:sz w:val="24"/>
        </w:rPr>
        <w:t>decisions</w:t>
      </w:r>
      <w:r w:rsidR="009A570F" w:rsidRPr="00C56B34">
        <w:rPr>
          <w:rFonts w:ascii="Times New Roman" w:hAnsi="Times New Roman" w:cs="Times New Roman"/>
          <w:sz w:val="24"/>
        </w:rPr>
        <w:t xml:space="preserve"> </w:t>
      </w:r>
      <w:r w:rsidR="00720874">
        <w:rPr>
          <w:rFonts w:ascii="Times New Roman" w:hAnsi="Times New Roman" w:cs="Times New Roman"/>
          <w:sz w:val="24"/>
        </w:rPr>
        <w:t>to their</w:t>
      </w:r>
      <w:r w:rsidR="009A570F" w:rsidRPr="00C56B34">
        <w:rPr>
          <w:rFonts w:ascii="Times New Roman" w:hAnsi="Times New Roman" w:cs="Times New Roman"/>
          <w:sz w:val="24"/>
        </w:rPr>
        <w:t xml:space="preserve"> shareholders</w:t>
      </w:r>
      <w:r w:rsidR="000C09E0" w:rsidRPr="00C56B34">
        <w:rPr>
          <w:rFonts w:ascii="Times New Roman" w:hAnsi="Times New Roman" w:cs="Times New Roman"/>
          <w:sz w:val="24"/>
        </w:rPr>
        <w:t>. Corporate international div</w:t>
      </w:r>
      <w:r w:rsidR="0000097C" w:rsidRPr="00C56B34">
        <w:rPr>
          <w:rFonts w:ascii="Times New Roman" w:hAnsi="Times New Roman" w:cs="Times New Roman"/>
          <w:sz w:val="24"/>
        </w:rPr>
        <w:t xml:space="preserve">ersification can, therefore, be </w:t>
      </w:r>
      <w:r w:rsidR="000C09E0" w:rsidRPr="00C56B34">
        <w:rPr>
          <w:rFonts w:ascii="Times New Roman" w:hAnsi="Times New Roman" w:cs="Times New Roman"/>
          <w:sz w:val="24"/>
        </w:rPr>
        <w:t xml:space="preserve">beneficial to shareholders because it allows investors </w:t>
      </w:r>
      <w:r w:rsidR="0000097C" w:rsidRPr="00C56B34">
        <w:rPr>
          <w:rFonts w:ascii="Times New Roman" w:hAnsi="Times New Roman" w:cs="Times New Roman"/>
          <w:sz w:val="24"/>
        </w:rPr>
        <w:t>to, indirectly,</w:t>
      </w:r>
      <w:r w:rsidR="000C09E0" w:rsidRPr="00C56B34">
        <w:rPr>
          <w:rFonts w:ascii="Times New Roman" w:hAnsi="Times New Roman" w:cs="Times New Roman"/>
          <w:sz w:val="24"/>
        </w:rPr>
        <w:t xml:space="preserve"> diversify their portfolios</w:t>
      </w:r>
      <w:r w:rsidR="0000097C" w:rsidRPr="00C56B34">
        <w:rPr>
          <w:rFonts w:ascii="Times New Roman" w:hAnsi="Times New Roman" w:cs="Times New Roman"/>
          <w:sz w:val="24"/>
        </w:rPr>
        <w:t xml:space="preserve"> in a </w:t>
      </w:r>
      <w:r w:rsidR="00183413" w:rsidRPr="00C56B34">
        <w:rPr>
          <w:rFonts w:ascii="Times New Roman" w:hAnsi="Times New Roman" w:cs="Times New Roman"/>
          <w:sz w:val="24"/>
        </w:rPr>
        <w:t>better-informed</w:t>
      </w:r>
      <w:r w:rsidR="0000097C" w:rsidRPr="00C56B34">
        <w:rPr>
          <w:rFonts w:ascii="Times New Roman" w:hAnsi="Times New Roman" w:cs="Times New Roman"/>
          <w:sz w:val="24"/>
        </w:rPr>
        <w:t xml:space="preserve"> way</w:t>
      </w:r>
      <w:r w:rsidR="000C09E0" w:rsidRPr="00C56B34">
        <w:rPr>
          <w:rFonts w:ascii="Times New Roman" w:hAnsi="Times New Roman" w:cs="Times New Roman"/>
          <w:sz w:val="24"/>
        </w:rPr>
        <w:t xml:space="preserve"> </w:t>
      </w:r>
      <w:r w:rsidR="0000097C" w:rsidRPr="00C56B34">
        <w:rPr>
          <w:rFonts w:ascii="Times New Roman" w:hAnsi="Times New Roman" w:cs="Times New Roman"/>
          <w:sz w:val="24"/>
        </w:rPr>
        <w:t>(Danbolt, 2004</w:t>
      </w:r>
      <w:r w:rsidR="00720874" w:rsidRPr="00720874">
        <w:rPr>
          <w:rFonts w:ascii="Times New Roman" w:hAnsi="Times New Roman" w:cs="Times New Roman"/>
          <w:sz w:val="24"/>
        </w:rPr>
        <w:t xml:space="preserve"> Hence, one can argue that multinational companies are performing a valuable service to their investors, and international diversification will yield an extra form of financial synergy to the bidder's shareholders (Adler and Dutnas, 1983). </w:t>
      </w:r>
    </w:p>
    <w:p w14:paraId="13CBC443" w14:textId="4ACE280F" w:rsidR="00FA3D92" w:rsidRPr="00C56B34" w:rsidRDefault="008E14CD" w:rsidP="00720874">
      <w:pPr>
        <w:spacing w:after="0" w:line="360" w:lineRule="auto"/>
        <w:ind w:firstLine="142"/>
        <w:jc w:val="both"/>
        <w:rPr>
          <w:rFonts w:ascii="Times New Roman" w:hAnsi="Times New Roman" w:cs="Times New Roman"/>
          <w:sz w:val="24"/>
        </w:rPr>
      </w:pPr>
      <w:r w:rsidRPr="00C56B34">
        <w:rPr>
          <w:rFonts w:ascii="Times New Roman" w:hAnsi="Times New Roman" w:cs="Times New Roman"/>
          <w:sz w:val="24"/>
        </w:rPr>
        <w:t>I</w:t>
      </w:r>
      <w:r w:rsidR="000C09E0" w:rsidRPr="00C56B34">
        <w:rPr>
          <w:rFonts w:ascii="Times New Roman" w:hAnsi="Times New Roman" w:cs="Times New Roman"/>
          <w:sz w:val="24"/>
        </w:rPr>
        <w:t xml:space="preserve">f </w:t>
      </w:r>
      <w:r w:rsidR="0000097C" w:rsidRPr="00C56B34">
        <w:rPr>
          <w:rFonts w:ascii="Times New Roman" w:hAnsi="Times New Roman" w:cs="Times New Roman"/>
          <w:sz w:val="24"/>
        </w:rPr>
        <w:t>international</w:t>
      </w:r>
      <w:r w:rsidR="000C09E0" w:rsidRPr="00C56B34">
        <w:rPr>
          <w:rFonts w:ascii="Times New Roman" w:hAnsi="Times New Roman" w:cs="Times New Roman"/>
          <w:sz w:val="24"/>
        </w:rPr>
        <w:t xml:space="preserve"> diversification is a synergy to </w:t>
      </w:r>
      <w:r w:rsidR="0000097C" w:rsidRPr="00C56B34">
        <w:rPr>
          <w:rFonts w:ascii="Times New Roman" w:hAnsi="Times New Roman" w:cs="Times New Roman"/>
          <w:sz w:val="24"/>
        </w:rPr>
        <w:t xml:space="preserve">foreign bidders, then bidders </w:t>
      </w:r>
      <w:r w:rsidR="009A570F" w:rsidRPr="00C56B34">
        <w:rPr>
          <w:rFonts w:ascii="Times New Roman" w:hAnsi="Times New Roman" w:cs="Times New Roman"/>
          <w:sz w:val="24"/>
        </w:rPr>
        <w:t xml:space="preserve">will </w:t>
      </w:r>
      <w:r w:rsidR="00A24AC5" w:rsidRPr="00C56B34">
        <w:rPr>
          <w:rFonts w:ascii="Times New Roman" w:hAnsi="Times New Roman" w:cs="Times New Roman"/>
          <w:sz w:val="24"/>
        </w:rPr>
        <w:t xml:space="preserve">be </w:t>
      </w:r>
      <w:r w:rsidR="009A570F" w:rsidRPr="00C56B34">
        <w:rPr>
          <w:rFonts w:ascii="Times New Roman" w:hAnsi="Times New Roman" w:cs="Times New Roman"/>
          <w:sz w:val="24"/>
        </w:rPr>
        <w:t>or are constrained by target firm</w:t>
      </w:r>
      <w:r w:rsidRPr="00C56B34">
        <w:rPr>
          <w:rFonts w:ascii="Times New Roman" w:hAnsi="Times New Roman" w:cs="Times New Roman"/>
          <w:sz w:val="24"/>
        </w:rPr>
        <w:t>s</w:t>
      </w:r>
      <w:r w:rsidR="009A570F" w:rsidRPr="00C56B34">
        <w:rPr>
          <w:rFonts w:ascii="Times New Roman" w:hAnsi="Times New Roman" w:cs="Times New Roman"/>
          <w:sz w:val="24"/>
        </w:rPr>
        <w:t xml:space="preserve"> to </w:t>
      </w:r>
      <w:r w:rsidRPr="00C56B34">
        <w:rPr>
          <w:rFonts w:ascii="Times New Roman" w:hAnsi="Times New Roman" w:cs="Times New Roman"/>
          <w:sz w:val="24"/>
        </w:rPr>
        <w:t>transfer</w:t>
      </w:r>
      <w:r w:rsidR="009A570F" w:rsidRPr="00C56B34">
        <w:rPr>
          <w:rFonts w:ascii="Times New Roman" w:hAnsi="Times New Roman" w:cs="Times New Roman"/>
          <w:sz w:val="24"/>
        </w:rPr>
        <w:t xml:space="preserve"> part of this </w:t>
      </w:r>
      <w:r w:rsidR="0000097C" w:rsidRPr="00C56B34">
        <w:rPr>
          <w:rFonts w:ascii="Times New Roman" w:hAnsi="Times New Roman" w:cs="Times New Roman"/>
          <w:sz w:val="24"/>
        </w:rPr>
        <w:t xml:space="preserve">synergy; hence, it can be expected for target </w:t>
      </w:r>
      <w:r w:rsidR="009A570F" w:rsidRPr="00C56B34">
        <w:rPr>
          <w:rFonts w:ascii="Times New Roman" w:hAnsi="Times New Roman" w:cs="Times New Roman"/>
          <w:sz w:val="24"/>
        </w:rPr>
        <w:t>firms</w:t>
      </w:r>
      <w:r w:rsidR="0000097C" w:rsidRPr="00C56B34">
        <w:rPr>
          <w:rFonts w:ascii="Times New Roman" w:hAnsi="Times New Roman" w:cs="Times New Roman"/>
          <w:sz w:val="24"/>
        </w:rPr>
        <w:t xml:space="preserve"> to </w:t>
      </w:r>
      <w:r w:rsidR="00731711">
        <w:rPr>
          <w:rFonts w:ascii="Times New Roman" w:hAnsi="Times New Roman" w:cs="Times New Roman"/>
          <w:sz w:val="24"/>
        </w:rPr>
        <w:t>reap higher abnormal returns</w:t>
      </w:r>
      <w:r w:rsidR="0000097C" w:rsidRPr="00C56B34">
        <w:rPr>
          <w:rFonts w:ascii="Times New Roman" w:hAnsi="Times New Roman" w:cs="Times New Roman"/>
          <w:sz w:val="24"/>
        </w:rPr>
        <w:t xml:space="preserve"> in cross-border than domestic </w:t>
      </w:r>
      <w:r w:rsidR="00731711">
        <w:rPr>
          <w:rFonts w:ascii="Times New Roman" w:hAnsi="Times New Roman" w:cs="Times New Roman"/>
          <w:sz w:val="24"/>
        </w:rPr>
        <w:t>bids</w:t>
      </w:r>
      <w:r w:rsidR="00C91251" w:rsidRPr="00C56B34">
        <w:rPr>
          <w:rFonts w:ascii="Times New Roman" w:hAnsi="Times New Roman" w:cs="Times New Roman"/>
          <w:sz w:val="24"/>
        </w:rPr>
        <w:t xml:space="preserve"> (Danbolt, 2004)</w:t>
      </w:r>
      <w:r w:rsidR="0000097C" w:rsidRPr="00C56B34">
        <w:rPr>
          <w:rFonts w:ascii="Times New Roman" w:hAnsi="Times New Roman" w:cs="Times New Roman"/>
          <w:sz w:val="24"/>
        </w:rPr>
        <w:t>.</w:t>
      </w:r>
      <w:r w:rsidR="007E73D0" w:rsidRPr="00C56B34">
        <w:rPr>
          <w:rFonts w:ascii="Times New Roman" w:hAnsi="Times New Roman" w:cs="Times New Roman"/>
          <w:sz w:val="24"/>
        </w:rPr>
        <w:t xml:space="preserve"> </w:t>
      </w:r>
      <w:r w:rsidR="00F2441B" w:rsidRPr="00C56B34">
        <w:rPr>
          <w:rFonts w:ascii="Times New Roman" w:hAnsi="Times New Roman" w:cs="Times New Roman"/>
          <w:bCs/>
          <w:sz w:val="24"/>
        </w:rPr>
        <w:t xml:space="preserve">The </w:t>
      </w:r>
      <w:r w:rsidR="00F2441B" w:rsidRPr="00C56B34">
        <w:rPr>
          <w:rFonts w:ascii="Times New Roman" w:hAnsi="Times New Roman" w:cs="Times New Roman"/>
          <w:bCs/>
          <w:sz w:val="24"/>
        </w:rPr>
        <w:lastRenderedPageBreak/>
        <w:t>international</w:t>
      </w:r>
      <w:r w:rsidRPr="00C56B34">
        <w:rPr>
          <w:rFonts w:ascii="Times New Roman" w:hAnsi="Times New Roman" w:cs="Times New Roman"/>
          <w:bCs/>
          <w:sz w:val="24"/>
        </w:rPr>
        <w:t xml:space="preserve"> diversification hypothesis will be examined </w:t>
      </w:r>
      <w:r w:rsidR="00F2441B" w:rsidRPr="00C56B34">
        <w:rPr>
          <w:rFonts w:ascii="Times New Roman" w:hAnsi="Times New Roman" w:cs="Times New Roman"/>
          <w:bCs/>
          <w:sz w:val="24"/>
        </w:rPr>
        <w:t xml:space="preserve">in the cross-sectional </w:t>
      </w:r>
      <w:r w:rsidR="00731711">
        <w:rPr>
          <w:rFonts w:ascii="Times New Roman" w:hAnsi="Times New Roman" w:cs="Times New Roman"/>
          <w:bCs/>
          <w:sz w:val="24"/>
        </w:rPr>
        <w:t>inquiry</w:t>
      </w:r>
      <w:r w:rsidR="00F2441B" w:rsidRPr="00C56B34">
        <w:rPr>
          <w:rFonts w:ascii="Times New Roman" w:hAnsi="Times New Roman" w:cs="Times New Roman"/>
          <w:bCs/>
          <w:sz w:val="24"/>
        </w:rPr>
        <w:t>; in essence,</w:t>
      </w:r>
      <w:r w:rsidR="0048254B">
        <w:rPr>
          <w:rFonts w:ascii="Times New Roman" w:hAnsi="Times New Roman" w:cs="Times New Roman"/>
          <w:bCs/>
          <w:sz w:val="24"/>
        </w:rPr>
        <w:t xml:space="preserve"> I will test</w:t>
      </w:r>
      <w:r w:rsidR="00F2441B" w:rsidRPr="00C56B34">
        <w:rPr>
          <w:rFonts w:ascii="Times New Roman" w:hAnsi="Times New Roman" w:cs="Times New Roman"/>
          <w:bCs/>
          <w:sz w:val="24"/>
        </w:rPr>
        <w:t xml:space="preserve"> if the bidder’s location will </w:t>
      </w:r>
      <w:r w:rsidR="001B46C9" w:rsidRPr="00C56B34">
        <w:rPr>
          <w:rFonts w:ascii="Times New Roman" w:hAnsi="Times New Roman" w:cs="Times New Roman"/>
          <w:bCs/>
          <w:sz w:val="24"/>
        </w:rPr>
        <w:t>influence</w:t>
      </w:r>
      <w:r w:rsidR="00F2441B" w:rsidRPr="00C56B34">
        <w:rPr>
          <w:rFonts w:ascii="Times New Roman" w:hAnsi="Times New Roman" w:cs="Times New Roman"/>
          <w:bCs/>
          <w:sz w:val="24"/>
        </w:rPr>
        <w:t xml:space="preserve"> the target’s abnormal return</w:t>
      </w:r>
      <w:r w:rsidR="007E73D0" w:rsidRPr="00C56B34">
        <w:rPr>
          <w:rFonts w:ascii="Times New Roman" w:hAnsi="Times New Roman" w:cs="Times New Roman"/>
          <w:bCs/>
          <w:sz w:val="24"/>
        </w:rPr>
        <w:t>.</w:t>
      </w:r>
      <w:r w:rsidR="00FA3D92" w:rsidRPr="00C56B34">
        <w:rPr>
          <w:rFonts w:ascii="Times New Roman" w:hAnsi="Times New Roman" w:cs="Times New Roman"/>
          <w:bCs/>
          <w:sz w:val="24"/>
        </w:rPr>
        <w:t xml:space="preserve"> </w:t>
      </w:r>
    </w:p>
    <w:p w14:paraId="6516EE0B" w14:textId="77777777" w:rsidR="004F5ADC" w:rsidRPr="00C56B34" w:rsidRDefault="004F5ADC" w:rsidP="00A24AC5">
      <w:pPr>
        <w:spacing w:after="0" w:line="360" w:lineRule="auto"/>
        <w:jc w:val="both"/>
        <w:rPr>
          <w:rFonts w:ascii="Times New Roman" w:hAnsi="Times New Roman" w:cs="Times New Roman"/>
          <w:bCs/>
          <w:i/>
          <w:iCs/>
          <w:sz w:val="24"/>
        </w:rPr>
      </w:pPr>
    </w:p>
    <w:p w14:paraId="7865F737" w14:textId="22C11A33" w:rsidR="00FA3D92" w:rsidRPr="00C56B34" w:rsidRDefault="00355C76" w:rsidP="00A24AC5">
      <w:pPr>
        <w:spacing w:after="120" w:line="360" w:lineRule="auto"/>
        <w:jc w:val="both"/>
        <w:rPr>
          <w:rFonts w:ascii="Times New Roman" w:hAnsi="Times New Roman" w:cs="Times New Roman"/>
          <w:i/>
          <w:sz w:val="24"/>
        </w:rPr>
      </w:pPr>
      <w:r w:rsidRPr="00C56B34">
        <w:rPr>
          <w:rFonts w:ascii="Times New Roman" w:hAnsi="Times New Roman" w:cs="Times New Roman"/>
          <w:i/>
          <w:sz w:val="24"/>
        </w:rPr>
        <w:t>2.</w:t>
      </w:r>
      <w:r w:rsidR="00753E4B" w:rsidRPr="00C56B34">
        <w:rPr>
          <w:rFonts w:ascii="Times New Roman" w:hAnsi="Times New Roman" w:cs="Times New Roman"/>
          <w:i/>
          <w:sz w:val="24"/>
        </w:rPr>
        <w:t>1.</w:t>
      </w:r>
      <w:r w:rsidRPr="00C56B34">
        <w:rPr>
          <w:rFonts w:ascii="Times New Roman" w:hAnsi="Times New Roman" w:cs="Times New Roman"/>
          <w:i/>
          <w:sz w:val="24"/>
        </w:rPr>
        <w:t xml:space="preserve">2 </w:t>
      </w:r>
      <w:r w:rsidR="00FA3D92" w:rsidRPr="00C56B34">
        <w:rPr>
          <w:rFonts w:ascii="Times New Roman" w:hAnsi="Times New Roman" w:cs="Times New Roman"/>
          <w:i/>
          <w:sz w:val="24"/>
        </w:rPr>
        <w:t>Market Access</w:t>
      </w:r>
    </w:p>
    <w:p w14:paraId="28582FFF" w14:textId="0E173964" w:rsidR="00A24AC5" w:rsidRPr="00C56B34" w:rsidRDefault="00FC1E62" w:rsidP="00A24AC5">
      <w:pPr>
        <w:spacing w:after="0" w:line="360" w:lineRule="auto"/>
        <w:jc w:val="both"/>
        <w:rPr>
          <w:rFonts w:ascii="Times New Roman" w:hAnsi="Times New Roman" w:cs="Times New Roman"/>
          <w:bCs/>
          <w:sz w:val="24"/>
        </w:rPr>
      </w:pPr>
      <w:r w:rsidRPr="00C56B34">
        <w:rPr>
          <w:rFonts w:ascii="Times New Roman" w:hAnsi="Times New Roman" w:cs="Times New Roman"/>
          <w:bCs/>
          <w:sz w:val="24"/>
        </w:rPr>
        <w:t>Cross-border acquisitions</w:t>
      </w:r>
      <w:r w:rsidR="00A760EB" w:rsidRPr="00C56B34">
        <w:rPr>
          <w:rFonts w:ascii="Times New Roman" w:hAnsi="Times New Roman" w:cs="Times New Roman"/>
          <w:bCs/>
          <w:sz w:val="24"/>
        </w:rPr>
        <w:t xml:space="preserve">, which </w:t>
      </w:r>
      <w:r w:rsidR="00A24AC5" w:rsidRPr="00C56B34">
        <w:rPr>
          <w:rFonts w:ascii="Times New Roman" w:hAnsi="Times New Roman" w:cs="Times New Roman"/>
          <w:bCs/>
          <w:sz w:val="24"/>
        </w:rPr>
        <w:t>are</w:t>
      </w:r>
      <w:r w:rsidR="00A760EB" w:rsidRPr="00C56B34">
        <w:rPr>
          <w:rFonts w:ascii="Times New Roman" w:hAnsi="Times New Roman" w:cs="Times New Roman"/>
          <w:bCs/>
          <w:sz w:val="24"/>
        </w:rPr>
        <w:t xml:space="preserve"> </w:t>
      </w:r>
      <w:r w:rsidRPr="00C56B34">
        <w:rPr>
          <w:rFonts w:ascii="Times New Roman" w:hAnsi="Times New Roman" w:cs="Times New Roman"/>
          <w:bCs/>
          <w:sz w:val="24"/>
        </w:rPr>
        <w:t>an integral part of foreign direct investment (FDI)</w:t>
      </w:r>
      <w:r w:rsidR="00A760EB" w:rsidRPr="00C56B34">
        <w:rPr>
          <w:rFonts w:ascii="Times New Roman" w:hAnsi="Times New Roman" w:cs="Times New Roman"/>
          <w:bCs/>
          <w:sz w:val="24"/>
        </w:rPr>
        <w:t>, can, thus, be used by overseas bidders</w:t>
      </w:r>
      <w:r w:rsidR="007E73D0" w:rsidRPr="00C56B34">
        <w:rPr>
          <w:rFonts w:ascii="Times New Roman" w:hAnsi="Times New Roman" w:cs="Times New Roman"/>
          <w:bCs/>
          <w:sz w:val="24"/>
        </w:rPr>
        <w:t>,</w:t>
      </w:r>
      <w:r w:rsidR="00A760EB" w:rsidRPr="00C56B34">
        <w:rPr>
          <w:rFonts w:ascii="Times New Roman" w:hAnsi="Times New Roman" w:cs="Times New Roman"/>
          <w:bCs/>
          <w:sz w:val="24"/>
        </w:rPr>
        <w:t xml:space="preserve"> trying to </w:t>
      </w:r>
      <w:r w:rsidR="00731711">
        <w:rPr>
          <w:rFonts w:ascii="Times New Roman" w:hAnsi="Times New Roman" w:cs="Times New Roman"/>
          <w:bCs/>
          <w:sz w:val="24"/>
        </w:rPr>
        <w:t>produce</w:t>
      </w:r>
      <w:r w:rsidR="00A760EB" w:rsidRPr="00C56B34">
        <w:rPr>
          <w:rFonts w:ascii="Times New Roman" w:hAnsi="Times New Roman" w:cs="Times New Roman"/>
          <w:bCs/>
          <w:sz w:val="24"/>
        </w:rPr>
        <w:t xml:space="preserve"> locally</w:t>
      </w:r>
      <w:r w:rsidR="007E73D0" w:rsidRPr="00C56B34">
        <w:rPr>
          <w:rFonts w:ascii="Times New Roman" w:hAnsi="Times New Roman" w:cs="Times New Roman"/>
          <w:bCs/>
          <w:sz w:val="24"/>
        </w:rPr>
        <w:t>,</w:t>
      </w:r>
      <w:r w:rsidR="00A760EB" w:rsidRPr="00C56B34">
        <w:rPr>
          <w:rFonts w:ascii="Times New Roman" w:hAnsi="Times New Roman" w:cs="Times New Roman"/>
          <w:bCs/>
          <w:sz w:val="24"/>
        </w:rPr>
        <w:t xml:space="preserve"> to </w:t>
      </w:r>
      <w:r w:rsidR="00731711">
        <w:rPr>
          <w:rFonts w:ascii="Times New Roman" w:hAnsi="Times New Roman" w:cs="Times New Roman"/>
          <w:bCs/>
          <w:sz w:val="24"/>
        </w:rPr>
        <w:t>bypass</w:t>
      </w:r>
      <w:r w:rsidR="00A760EB" w:rsidRPr="00C56B34">
        <w:rPr>
          <w:rFonts w:ascii="Times New Roman" w:hAnsi="Times New Roman" w:cs="Times New Roman"/>
          <w:bCs/>
          <w:sz w:val="24"/>
        </w:rPr>
        <w:t xml:space="preserve"> trade barriers</w:t>
      </w:r>
      <w:r w:rsidR="00670F33" w:rsidRPr="00C56B34">
        <w:rPr>
          <w:rFonts w:ascii="Times New Roman" w:hAnsi="Times New Roman" w:cs="Times New Roman"/>
          <w:bCs/>
          <w:sz w:val="24"/>
        </w:rPr>
        <w:t xml:space="preserve"> (Danbolt, 2004)</w:t>
      </w:r>
      <w:r w:rsidR="00A760EB" w:rsidRPr="00C56B34">
        <w:rPr>
          <w:rFonts w:ascii="Times New Roman" w:hAnsi="Times New Roman" w:cs="Times New Roman"/>
          <w:bCs/>
          <w:sz w:val="24"/>
        </w:rPr>
        <w:t>.</w:t>
      </w:r>
      <w:r w:rsidR="00670F33" w:rsidRPr="00C56B34">
        <w:rPr>
          <w:rFonts w:ascii="Times New Roman" w:hAnsi="Times New Roman" w:cs="Times New Roman"/>
          <w:bCs/>
          <w:sz w:val="24"/>
        </w:rPr>
        <w:t xml:space="preserve"> This argument can be observed </w:t>
      </w:r>
      <w:r w:rsidR="00C71392" w:rsidRPr="00C56B34">
        <w:rPr>
          <w:rFonts w:ascii="Times New Roman" w:hAnsi="Times New Roman" w:cs="Times New Roman"/>
          <w:bCs/>
          <w:sz w:val="24"/>
        </w:rPr>
        <w:t>through the difference</w:t>
      </w:r>
      <w:r w:rsidR="00A24AC5" w:rsidRPr="00C56B34">
        <w:rPr>
          <w:rFonts w:ascii="Times New Roman" w:hAnsi="Times New Roman" w:cs="Times New Roman"/>
          <w:bCs/>
          <w:sz w:val="24"/>
        </w:rPr>
        <w:t>s</w:t>
      </w:r>
      <w:r w:rsidR="00C71392" w:rsidRPr="00C56B34">
        <w:rPr>
          <w:rFonts w:ascii="Times New Roman" w:hAnsi="Times New Roman" w:cs="Times New Roman"/>
          <w:bCs/>
          <w:sz w:val="24"/>
        </w:rPr>
        <w:t xml:space="preserve"> in</w:t>
      </w:r>
      <w:r w:rsidR="00670F33" w:rsidRPr="00C56B34">
        <w:rPr>
          <w:rFonts w:ascii="Times New Roman" w:hAnsi="Times New Roman" w:cs="Times New Roman"/>
          <w:bCs/>
          <w:sz w:val="24"/>
        </w:rPr>
        <w:t xml:space="preserve"> the volume of acquisition of European firms before and after the formation of </w:t>
      </w:r>
      <w:r w:rsidR="00731711">
        <w:rPr>
          <w:rFonts w:ascii="Times New Roman" w:hAnsi="Times New Roman" w:cs="Times New Roman"/>
          <w:bCs/>
          <w:sz w:val="24"/>
        </w:rPr>
        <w:t>the Single European A</w:t>
      </w:r>
      <w:r w:rsidR="00670F33" w:rsidRPr="00C56B34">
        <w:rPr>
          <w:rFonts w:ascii="Times New Roman" w:hAnsi="Times New Roman" w:cs="Times New Roman"/>
          <w:bCs/>
          <w:sz w:val="24"/>
        </w:rPr>
        <w:t>ct.</w:t>
      </w:r>
      <w:r w:rsidR="00A760EB" w:rsidRPr="00C56B34">
        <w:rPr>
          <w:rFonts w:ascii="Times New Roman" w:hAnsi="Times New Roman" w:cs="Times New Roman"/>
          <w:bCs/>
          <w:sz w:val="24"/>
        </w:rPr>
        <w:t xml:space="preserve"> </w:t>
      </w:r>
      <w:r w:rsidR="00721DDF" w:rsidRPr="00C56B34">
        <w:rPr>
          <w:rFonts w:ascii="Times New Roman" w:hAnsi="Times New Roman" w:cs="Times New Roman"/>
          <w:bCs/>
          <w:sz w:val="24"/>
        </w:rPr>
        <w:t xml:space="preserve">Since the formation of </w:t>
      </w:r>
      <w:r w:rsidR="00731711">
        <w:rPr>
          <w:rFonts w:ascii="Times New Roman" w:hAnsi="Times New Roman" w:cs="Times New Roman"/>
          <w:bCs/>
          <w:sz w:val="24"/>
        </w:rPr>
        <w:t xml:space="preserve">that </w:t>
      </w:r>
      <w:r w:rsidR="00721DDF" w:rsidRPr="00C56B34">
        <w:rPr>
          <w:rFonts w:ascii="Times New Roman" w:hAnsi="Times New Roman" w:cs="Times New Roman"/>
          <w:bCs/>
          <w:sz w:val="24"/>
        </w:rPr>
        <w:t xml:space="preserve">act in 1985, a flux of non-European </w:t>
      </w:r>
      <w:r w:rsidR="00731711">
        <w:rPr>
          <w:rFonts w:ascii="Times New Roman" w:hAnsi="Times New Roman" w:cs="Times New Roman"/>
          <w:bCs/>
          <w:sz w:val="24"/>
        </w:rPr>
        <w:t>firms</w:t>
      </w:r>
      <w:r w:rsidR="00721DDF" w:rsidRPr="00C56B34">
        <w:rPr>
          <w:rFonts w:ascii="Times New Roman" w:hAnsi="Times New Roman" w:cs="Times New Roman"/>
          <w:bCs/>
          <w:sz w:val="24"/>
        </w:rPr>
        <w:t xml:space="preserve"> </w:t>
      </w:r>
      <w:r w:rsidR="00874702" w:rsidRPr="00C56B34">
        <w:rPr>
          <w:rFonts w:ascii="Times New Roman" w:hAnsi="Times New Roman" w:cs="Times New Roman"/>
          <w:bCs/>
          <w:sz w:val="24"/>
        </w:rPr>
        <w:t xml:space="preserve">was </w:t>
      </w:r>
      <w:r w:rsidR="00721DDF" w:rsidRPr="00C56B34">
        <w:rPr>
          <w:rFonts w:ascii="Times New Roman" w:hAnsi="Times New Roman" w:cs="Times New Roman"/>
          <w:bCs/>
          <w:sz w:val="24"/>
        </w:rPr>
        <w:t xml:space="preserve">actively acquiring </w:t>
      </w:r>
      <w:r w:rsidR="00874702" w:rsidRPr="00C56B34">
        <w:rPr>
          <w:rFonts w:ascii="Times New Roman" w:hAnsi="Times New Roman" w:cs="Times New Roman"/>
          <w:bCs/>
          <w:sz w:val="24"/>
        </w:rPr>
        <w:t xml:space="preserve">firms </w:t>
      </w:r>
      <w:r w:rsidR="00721DDF" w:rsidRPr="00C56B34">
        <w:rPr>
          <w:rFonts w:ascii="Times New Roman" w:hAnsi="Times New Roman" w:cs="Times New Roman"/>
          <w:bCs/>
          <w:sz w:val="24"/>
        </w:rPr>
        <w:t>in Europe to access the single European market</w:t>
      </w:r>
      <w:r w:rsidR="00874702" w:rsidRPr="00C56B34">
        <w:rPr>
          <w:rFonts w:ascii="Times New Roman" w:hAnsi="Times New Roman" w:cs="Times New Roman"/>
          <w:bCs/>
          <w:sz w:val="24"/>
        </w:rPr>
        <w:t xml:space="preserve"> </w:t>
      </w:r>
      <w:r w:rsidR="00721DDF" w:rsidRPr="00C56B34">
        <w:rPr>
          <w:rFonts w:ascii="Times New Roman" w:hAnsi="Times New Roman" w:cs="Times New Roman"/>
          <w:bCs/>
          <w:sz w:val="24"/>
        </w:rPr>
        <w:t>(Vasconcellos and Kish</w:t>
      </w:r>
      <w:r w:rsidR="00A24AC5" w:rsidRPr="00C56B34">
        <w:rPr>
          <w:rFonts w:ascii="Times New Roman" w:hAnsi="Times New Roman" w:cs="Times New Roman"/>
          <w:bCs/>
          <w:sz w:val="24"/>
        </w:rPr>
        <w:t>, 1998</w:t>
      </w:r>
      <w:r w:rsidR="00721DDF" w:rsidRPr="00C56B34">
        <w:rPr>
          <w:rFonts w:ascii="Times New Roman" w:hAnsi="Times New Roman" w:cs="Times New Roman"/>
          <w:bCs/>
          <w:sz w:val="24"/>
        </w:rPr>
        <w:t>).</w:t>
      </w:r>
      <w:r w:rsidR="00670F33" w:rsidRPr="00C56B34">
        <w:rPr>
          <w:rFonts w:ascii="Times New Roman" w:hAnsi="Times New Roman" w:cs="Times New Roman"/>
          <w:bCs/>
          <w:sz w:val="24"/>
        </w:rPr>
        <w:t xml:space="preserve"> This surge of acquiring firms in Europe demonstrates the need </w:t>
      </w:r>
      <w:r w:rsidR="00DB0A33">
        <w:rPr>
          <w:rFonts w:ascii="Times New Roman" w:hAnsi="Times New Roman" w:cs="Times New Roman"/>
          <w:bCs/>
          <w:sz w:val="24"/>
        </w:rPr>
        <w:t>for</w:t>
      </w:r>
      <w:r w:rsidR="00670F33" w:rsidRPr="00C56B34">
        <w:rPr>
          <w:rFonts w:ascii="Times New Roman" w:hAnsi="Times New Roman" w:cs="Times New Roman"/>
          <w:bCs/>
          <w:sz w:val="24"/>
        </w:rPr>
        <w:t xml:space="preserve"> foreign firms to become an insider in the single European market; consequently, from this surge of acquisitions</w:t>
      </w:r>
      <w:r w:rsidR="00720874">
        <w:rPr>
          <w:rFonts w:ascii="Times New Roman" w:hAnsi="Times New Roman" w:cs="Times New Roman"/>
          <w:bCs/>
          <w:sz w:val="24"/>
        </w:rPr>
        <w:t>,</w:t>
      </w:r>
      <w:r w:rsidR="00670F33" w:rsidRPr="00C56B34">
        <w:rPr>
          <w:rFonts w:ascii="Times New Roman" w:hAnsi="Times New Roman" w:cs="Times New Roman"/>
          <w:bCs/>
          <w:sz w:val="24"/>
        </w:rPr>
        <w:t xml:space="preserve"> it is obvious that market access is </w:t>
      </w:r>
      <w:r w:rsidR="00EE16BC" w:rsidRPr="00C56B34">
        <w:rPr>
          <w:rFonts w:ascii="Times New Roman" w:hAnsi="Times New Roman" w:cs="Times New Roman"/>
          <w:bCs/>
          <w:sz w:val="24"/>
        </w:rPr>
        <w:t xml:space="preserve">a </w:t>
      </w:r>
      <w:r w:rsidR="00670F33" w:rsidRPr="00C56B34">
        <w:rPr>
          <w:rFonts w:ascii="Times New Roman" w:hAnsi="Times New Roman" w:cs="Times New Roman"/>
          <w:bCs/>
          <w:sz w:val="24"/>
        </w:rPr>
        <w:t>major operational synergy to the acquirer.</w:t>
      </w:r>
      <w:r w:rsidR="00865177" w:rsidRPr="00C56B34">
        <w:rPr>
          <w:rFonts w:ascii="Times New Roman" w:hAnsi="Times New Roman" w:cs="Times New Roman"/>
          <w:bCs/>
          <w:sz w:val="24"/>
        </w:rPr>
        <w:t xml:space="preserve"> Because market access is seen by the bidder as an operating synergy, operating locally to avoid trade barriers (Pringle, 1991, p.9), it can be anticipated that bidding </w:t>
      </w:r>
      <w:r w:rsidR="00DE1035">
        <w:rPr>
          <w:rFonts w:ascii="Times New Roman" w:hAnsi="Times New Roman" w:cs="Times New Roman"/>
          <w:bCs/>
          <w:sz w:val="24"/>
        </w:rPr>
        <w:t>companies</w:t>
      </w:r>
      <w:r w:rsidR="00865177" w:rsidRPr="00C56B34">
        <w:rPr>
          <w:rFonts w:ascii="Times New Roman" w:hAnsi="Times New Roman" w:cs="Times New Roman"/>
          <w:bCs/>
          <w:sz w:val="24"/>
        </w:rPr>
        <w:t xml:space="preserve"> are </w:t>
      </w:r>
      <w:r w:rsidR="00DE1035">
        <w:rPr>
          <w:rFonts w:ascii="Times New Roman" w:hAnsi="Times New Roman" w:cs="Times New Roman"/>
          <w:bCs/>
          <w:sz w:val="24"/>
        </w:rPr>
        <w:t>prepared</w:t>
      </w:r>
      <w:r w:rsidR="00865177" w:rsidRPr="00C56B34">
        <w:rPr>
          <w:rFonts w:ascii="Times New Roman" w:hAnsi="Times New Roman" w:cs="Times New Roman"/>
          <w:bCs/>
          <w:sz w:val="24"/>
        </w:rPr>
        <w:t xml:space="preserve"> to pay higher merger premium to targets in markets they have no access to </w:t>
      </w:r>
      <w:r w:rsidR="00A24AC5" w:rsidRPr="00C56B34">
        <w:rPr>
          <w:rFonts w:ascii="Times New Roman" w:hAnsi="Times New Roman" w:cs="Times New Roman"/>
          <w:bCs/>
          <w:sz w:val="24"/>
        </w:rPr>
        <w:t xml:space="preserve">(Geroski and Vlassopoulos, 1990). </w:t>
      </w:r>
    </w:p>
    <w:p w14:paraId="7A49C1EC" w14:textId="4D8A98BD" w:rsidR="00366E47" w:rsidRDefault="00366E47" w:rsidP="005C68C4">
      <w:pPr>
        <w:spacing w:after="0" w:line="360" w:lineRule="auto"/>
        <w:ind w:firstLine="284"/>
        <w:jc w:val="both"/>
        <w:rPr>
          <w:rFonts w:ascii="Times New Roman" w:hAnsi="Times New Roman" w:cs="Times New Roman"/>
          <w:bCs/>
          <w:sz w:val="24"/>
        </w:rPr>
      </w:pPr>
      <w:r w:rsidRPr="00366E47">
        <w:rPr>
          <w:rFonts w:ascii="Times New Roman" w:hAnsi="Times New Roman" w:cs="Times New Roman"/>
          <w:bCs/>
          <w:sz w:val="24"/>
        </w:rPr>
        <w:t xml:space="preserve">Caves (1971), Hymer (1976), and Teece (1986) have intensively discussed in their works the operational benefits and transaction-cost economies involved in cross-border </w:t>
      </w:r>
      <w:r w:rsidR="00DE1035">
        <w:rPr>
          <w:rFonts w:ascii="Times New Roman" w:hAnsi="Times New Roman" w:cs="Times New Roman"/>
          <w:bCs/>
          <w:sz w:val="24"/>
        </w:rPr>
        <w:t>transactions</w:t>
      </w:r>
      <w:r w:rsidRPr="00366E47">
        <w:rPr>
          <w:rFonts w:ascii="Times New Roman" w:hAnsi="Times New Roman" w:cs="Times New Roman"/>
          <w:bCs/>
          <w:sz w:val="24"/>
        </w:rPr>
        <w:t xml:space="preserve">. They </w:t>
      </w:r>
      <w:r w:rsidR="00DE1035">
        <w:rPr>
          <w:rFonts w:ascii="Times New Roman" w:hAnsi="Times New Roman" w:cs="Times New Roman"/>
          <w:bCs/>
          <w:sz w:val="24"/>
        </w:rPr>
        <w:t>asserted</w:t>
      </w:r>
      <w:r w:rsidRPr="00366E47">
        <w:rPr>
          <w:rFonts w:ascii="Times New Roman" w:hAnsi="Times New Roman" w:cs="Times New Roman"/>
          <w:bCs/>
          <w:sz w:val="24"/>
        </w:rPr>
        <w:t xml:space="preserve"> that firms invest in </w:t>
      </w:r>
      <w:r w:rsidR="00DE1035">
        <w:rPr>
          <w:rFonts w:ascii="Times New Roman" w:hAnsi="Times New Roman" w:cs="Times New Roman"/>
          <w:bCs/>
          <w:sz w:val="24"/>
        </w:rPr>
        <w:t>overseas</w:t>
      </w:r>
      <w:r w:rsidRPr="00366E47">
        <w:rPr>
          <w:rFonts w:ascii="Times New Roman" w:hAnsi="Times New Roman" w:cs="Times New Roman"/>
          <w:bCs/>
          <w:sz w:val="24"/>
        </w:rPr>
        <w:t xml:space="preserve"> </w:t>
      </w:r>
      <w:r w:rsidR="00DE1035">
        <w:rPr>
          <w:rFonts w:ascii="Times New Roman" w:hAnsi="Times New Roman" w:cs="Times New Roman"/>
          <w:bCs/>
          <w:sz w:val="24"/>
        </w:rPr>
        <w:t>transactions</w:t>
      </w:r>
      <w:r w:rsidRPr="00366E47">
        <w:rPr>
          <w:rFonts w:ascii="Times New Roman" w:hAnsi="Times New Roman" w:cs="Times New Roman"/>
          <w:bCs/>
          <w:sz w:val="24"/>
        </w:rPr>
        <w:t xml:space="preserve"> to exploit </w:t>
      </w:r>
      <w:r w:rsidR="00DE1035">
        <w:rPr>
          <w:rFonts w:ascii="Times New Roman" w:hAnsi="Times New Roman" w:cs="Times New Roman"/>
          <w:bCs/>
          <w:sz w:val="24"/>
        </w:rPr>
        <w:t>company-specific intangible</w:t>
      </w:r>
      <w:r w:rsidRPr="00366E47">
        <w:rPr>
          <w:rFonts w:ascii="Times New Roman" w:hAnsi="Times New Roman" w:cs="Times New Roman"/>
          <w:bCs/>
          <w:sz w:val="24"/>
        </w:rPr>
        <w:t xml:space="preserve"> assets. The market for intangible firm-specific assets, which includes </w:t>
      </w:r>
      <w:r w:rsidR="00DE1035" w:rsidRPr="00366E47">
        <w:rPr>
          <w:rFonts w:ascii="Times New Roman" w:hAnsi="Times New Roman" w:cs="Times New Roman"/>
          <w:bCs/>
          <w:sz w:val="24"/>
        </w:rPr>
        <w:t>government regulations that increase entry barriers for new firms</w:t>
      </w:r>
      <w:r w:rsidRPr="00366E47">
        <w:rPr>
          <w:rFonts w:ascii="Times New Roman" w:hAnsi="Times New Roman" w:cs="Times New Roman"/>
          <w:bCs/>
          <w:sz w:val="24"/>
        </w:rPr>
        <w:t xml:space="preserve">, product differentiation, </w:t>
      </w:r>
      <w:r w:rsidR="00DE1035" w:rsidRPr="00366E47">
        <w:rPr>
          <w:rFonts w:ascii="Times New Roman" w:hAnsi="Times New Roman" w:cs="Times New Roman"/>
          <w:bCs/>
          <w:sz w:val="24"/>
        </w:rPr>
        <w:t xml:space="preserve">economies of scale, </w:t>
      </w:r>
      <w:r w:rsidRPr="00366E47">
        <w:rPr>
          <w:rFonts w:ascii="Times New Roman" w:hAnsi="Times New Roman" w:cs="Times New Roman"/>
          <w:bCs/>
          <w:sz w:val="24"/>
        </w:rPr>
        <w:t>patent-protected technology, and</w:t>
      </w:r>
      <w:r w:rsidR="00DE1035" w:rsidRPr="00DE1035">
        <w:rPr>
          <w:rFonts w:ascii="Times New Roman" w:hAnsi="Times New Roman" w:cs="Times New Roman"/>
          <w:bCs/>
          <w:sz w:val="24"/>
        </w:rPr>
        <w:t xml:space="preserve"> </w:t>
      </w:r>
      <w:r w:rsidR="00DE1035" w:rsidRPr="00366E47">
        <w:rPr>
          <w:rFonts w:ascii="Times New Roman" w:hAnsi="Times New Roman" w:cs="Times New Roman"/>
          <w:bCs/>
          <w:sz w:val="24"/>
        </w:rPr>
        <w:t xml:space="preserve">superior </w:t>
      </w:r>
      <w:r w:rsidR="00DE1035">
        <w:rPr>
          <w:rFonts w:ascii="Times New Roman" w:hAnsi="Times New Roman" w:cs="Times New Roman"/>
          <w:bCs/>
          <w:sz w:val="24"/>
        </w:rPr>
        <w:t>marketing and managerial</w:t>
      </w:r>
      <w:r w:rsidR="00DE1035" w:rsidRPr="00366E47">
        <w:rPr>
          <w:rFonts w:ascii="Times New Roman" w:hAnsi="Times New Roman" w:cs="Times New Roman"/>
          <w:bCs/>
          <w:sz w:val="24"/>
        </w:rPr>
        <w:t xml:space="preserve"> skills</w:t>
      </w:r>
      <w:r w:rsidR="00DE1035">
        <w:rPr>
          <w:rFonts w:ascii="Times New Roman" w:hAnsi="Times New Roman" w:cs="Times New Roman"/>
          <w:bCs/>
          <w:sz w:val="24"/>
        </w:rPr>
        <w:t>,</w:t>
      </w:r>
      <w:r w:rsidRPr="00366E47">
        <w:rPr>
          <w:rFonts w:ascii="Times New Roman" w:hAnsi="Times New Roman" w:cs="Times New Roman"/>
          <w:bCs/>
          <w:sz w:val="24"/>
        </w:rPr>
        <w:t xml:space="preserve"> is characterized by</w:t>
      </w:r>
      <w:r w:rsidR="00DB0A33">
        <w:rPr>
          <w:rFonts w:ascii="Times New Roman" w:hAnsi="Times New Roman" w:cs="Times New Roman"/>
          <w:bCs/>
          <w:sz w:val="24"/>
        </w:rPr>
        <w:t xml:space="preserve"> several imperfections, such as</w:t>
      </w:r>
      <w:r w:rsidRPr="00366E47">
        <w:rPr>
          <w:rFonts w:ascii="Times New Roman" w:hAnsi="Times New Roman" w:cs="Times New Roman"/>
          <w:bCs/>
          <w:sz w:val="24"/>
        </w:rPr>
        <w:t xml:space="preserve"> limited information, monopoly, and immobility, </w:t>
      </w:r>
      <w:r w:rsidR="00C6025D" w:rsidRPr="00C6025D">
        <w:rPr>
          <w:rFonts w:ascii="Times New Roman" w:hAnsi="Times New Roman" w:cs="Times New Roman"/>
          <w:bCs/>
          <w:sz w:val="24"/>
        </w:rPr>
        <w:t xml:space="preserve">that will prevent a company from reaping financial benefits overseas in any other manner </w:t>
      </w:r>
      <w:r w:rsidR="00C6025D">
        <w:rPr>
          <w:rFonts w:ascii="Times New Roman" w:hAnsi="Times New Roman" w:cs="Times New Roman"/>
          <w:bCs/>
          <w:sz w:val="24"/>
        </w:rPr>
        <w:t xml:space="preserve">than by internalizing the market </w:t>
      </w:r>
      <w:r w:rsidRPr="00366E47">
        <w:rPr>
          <w:rFonts w:ascii="Times New Roman" w:hAnsi="Times New Roman" w:cs="Times New Roman"/>
          <w:bCs/>
          <w:sz w:val="24"/>
        </w:rPr>
        <w:t xml:space="preserve">(Markides and Ittner, 1994). Therefore, one can argue that </w:t>
      </w:r>
      <w:r w:rsidR="00C6025D">
        <w:rPr>
          <w:rFonts w:ascii="Times New Roman" w:hAnsi="Times New Roman" w:cs="Times New Roman"/>
          <w:bCs/>
          <w:sz w:val="24"/>
        </w:rPr>
        <w:t>due to the imperfection in the market</w:t>
      </w:r>
      <w:r w:rsidRPr="00366E47">
        <w:rPr>
          <w:rFonts w:ascii="Times New Roman" w:hAnsi="Times New Roman" w:cs="Times New Roman"/>
          <w:bCs/>
          <w:sz w:val="24"/>
        </w:rPr>
        <w:t xml:space="preserve">, cross-border </w:t>
      </w:r>
      <w:r w:rsidR="00C6025D">
        <w:rPr>
          <w:rFonts w:ascii="Times New Roman" w:hAnsi="Times New Roman" w:cs="Times New Roman"/>
          <w:bCs/>
          <w:sz w:val="24"/>
        </w:rPr>
        <w:t>transactions</w:t>
      </w:r>
      <w:r w:rsidRPr="00366E47">
        <w:rPr>
          <w:rFonts w:ascii="Times New Roman" w:hAnsi="Times New Roman" w:cs="Times New Roman"/>
          <w:bCs/>
          <w:sz w:val="24"/>
        </w:rPr>
        <w:t xml:space="preserve"> allow firms to exploit the benefits of intangible firm-specific assets, and once bidders reap these benefits, through cross-border transactions, it will be reflected in their market value. Consequently, foreign bidders are </w:t>
      </w:r>
      <w:r w:rsidR="00C6025D">
        <w:rPr>
          <w:rFonts w:ascii="Times New Roman" w:hAnsi="Times New Roman" w:cs="Times New Roman"/>
          <w:bCs/>
          <w:sz w:val="24"/>
        </w:rPr>
        <w:t>prepared</w:t>
      </w:r>
      <w:r w:rsidRPr="00366E47">
        <w:rPr>
          <w:rFonts w:ascii="Times New Roman" w:hAnsi="Times New Roman" w:cs="Times New Roman"/>
          <w:bCs/>
          <w:sz w:val="24"/>
        </w:rPr>
        <w:t xml:space="preserve"> to pay </w:t>
      </w:r>
      <w:r w:rsidR="00C6025D">
        <w:rPr>
          <w:rFonts w:ascii="Times New Roman" w:hAnsi="Times New Roman" w:cs="Times New Roman"/>
          <w:bCs/>
          <w:sz w:val="24"/>
        </w:rPr>
        <w:t>greater</w:t>
      </w:r>
      <w:r w:rsidRPr="00366E47">
        <w:rPr>
          <w:rFonts w:ascii="Times New Roman" w:hAnsi="Times New Roman" w:cs="Times New Roman"/>
          <w:bCs/>
          <w:sz w:val="24"/>
        </w:rPr>
        <w:t xml:space="preserve"> merger premiums to targets than what domestic bidders are willing to pay; hence, </w:t>
      </w:r>
      <w:r w:rsidR="00C6025D">
        <w:rPr>
          <w:rFonts w:ascii="Times New Roman" w:hAnsi="Times New Roman" w:cs="Times New Roman"/>
          <w:bCs/>
          <w:sz w:val="24"/>
        </w:rPr>
        <w:t xml:space="preserve">in cross-border acquisitions, target firms will </w:t>
      </w:r>
      <w:r w:rsidR="00F855B2">
        <w:rPr>
          <w:rFonts w:ascii="Times New Roman" w:hAnsi="Times New Roman" w:cs="Times New Roman"/>
          <w:bCs/>
          <w:sz w:val="24"/>
        </w:rPr>
        <w:t>have higher abnormal returns than those in domestic deals</w:t>
      </w:r>
      <w:r w:rsidRPr="00366E47">
        <w:rPr>
          <w:rFonts w:ascii="Times New Roman" w:hAnsi="Times New Roman" w:cs="Times New Roman"/>
          <w:bCs/>
          <w:sz w:val="24"/>
        </w:rPr>
        <w:t xml:space="preserve">. </w:t>
      </w:r>
    </w:p>
    <w:p w14:paraId="1CC0F33D" w14:textId="7849B1A2" w:rsidR="00E87E99" w:rsidRDefault="00366E47" w:rsidP="00E87E99">
      <w:pPr>
        <w:spacing w:after="0" w:line="360" w:lineRule="auto"/>
        <w:ind w:firstLine="284"/>
        <w:jc w:val="both"/>
        <w:rPr>
          <w:rFonts w:ascii="Times New Roman" w:hAnsi="Times New Roman" w:cs="Times New Roman"/>
          <w:sz w:val="24"/>
        </w:rPr>
      </w:pPr>
      <w:r w:rsidRPr="00366E47">
        <w:rPr>
          <w:rFonts w:ascii="Times New Roman" w:hAnsi="Times New Roman" w:cs="Times New Roman"/>
          <w:sz w:val="24"/>
        </w:rPr>
        <w:lastRenderedPageBreak/>
        <w:t xml:space="preserve">A cross-border acquisition can, also, be driven by the motivation of hindering opponents and allowing, engaging, bidders to seize emerging niches or opportunities (Markides and Ittner, 1994). In his main thesis, Caves (1990) rationally explained the strategic benefits from international acquisitions, which can </w:t>
      </w:r>
      <w:r w:rsidR="00F855B2">
        <w:rPr>
          <w:rFonts w:ascii="Times New Roman" w:hAnsi="Times New Roman" w:cs="Times New Roman"/>
          <w:sz w:val="24"/>
        </w:rPr>
        <w:t>be considered as</w:t>
      </w:r>
      <w:r w:rsidRPr="00366E47">
        <w:rPr>
          <w:rFonts w:ascii="Times New Roman" w:hAnsi="Times New Roman" w:cs="Times New Roman"/>
          <w:sz w:val="24"/>
        </w:rPr>
        <w:t xml:space="preserve"> a competition between oligopolistic firms for new opportunities. He also has argued that with the industrial changes and market progress, new configuration or opportunities emerge. Following, he argued that firms who acquire these configurations, or the right to these specific assets, can differentiate their products and seize the opportunity. Consequently, the competitor, who seizes this opportunity first, will enjoy higher profits; while, profits </w:t>
      </w:r>
      <w:r w:rsidR="00F855B2">
        <w:rPr>
          <w:rFonts w:ascii="Times New Roman" w:hAnsi="Times New Roman" w:cs="Times New Roman"/>
          <w:sz w:val="24"/>
        </w:rPr>
        <w:t>for rival firms are reduced</w:t>
      </w:r>
      <w:r w:rsidRPr="00366E47">
        <w:rPr>
          <w:rFonts w:ascii="Times New Roman" w:hAnsi="Times New Roman" w:cs="Times New Roman"/>
          <w:sz w:val="24"/>
        </w:rPr>
        <w:t xml:space="preserve"> (Caves, 1990). Therefore, an international acquisition is beneficial for the bidders because by acquiring a foreign competitor, foreign bidders will have a more </w:t>
      </w:r>
      <w:r w:rsidR="00F855B2">
        <w:rPr>
          <w:rFonts w:ascii="Times New Roman" w:hAnsi="Times New Roman" w:cs="Times New Roman"/>
          <w:sz w:val="24"/>
        </w:rPr>
        <w:t>diversified</w:t>
      </w:r>
      <w:r w:rsidRPr="00366E47">
        <w:rPr>
          <w:rFonts w:ascii="Times New Roman" w:hAnsi="Times New Roman" w:cs="Times New Roman"/>
          <w:sz w:val="24"/>
        </w:rPr>
        <w:t xml:space="preserve"> </w:t>
      </w:r>
      <w:r w:rsidR="00F855B2">
        <w:rPr>
          <w:rFonts w:ascii="Times New Roman" w:hAnsi="Times New Roman" w:cs="Times New Roman"/>
          <w:sz w:val="24"/>
        </w:rPr>
        <w:t>inventory</w:t>
      </w:r>
      <w:r w:rsidRPr="00366E47">
        <w:rPr>
          <w:rFonts w:ascii="Times New Roman" w:hAnsi="Times New Roman" w:cs="Times New Roman"/>
          <w:sz w:val="24"/>
        </w:rPr>
        <w:t xml:space="preserve"> of </w:t>
      </w:r>
      <w:r w:rsidR="00F855B2">
        <w:rPr>
          <w:rFonts w:ascii="Times New Roman" w:hAnsi="Times New Roman" w:cs="Times New Roman"/>
          <w:sz w:val="24"/>
        </w:rPr>
        <w:t>unique</w:t>
      </w:r>
      <w:r w:rsidRPr="00366E47">
        <w:rPr>
          <w:rFonts w:ascii="Times New Roman" w:hAnsi="Times New Roman" w:cs="Times New Roman"/>
          <w:sz w:val="24"/>
        </w:rPr>
        <w:t xml:space="preserve"> assets and can, therefore, </w:t>
      </w:r>
      <w:r w:rsidR="00F855B2">
        <w:rPr>
          <w:rFonts w:ascii="Times New Roman" w:hAnsi="Times New Roman" w:cs="Times New Roman"/>
          <w:sz w:val="24"/>
        </w:rPr>
        <w:t>take advantage of</w:t>
      </w:r>
      <w:r w:rsidRPr="00366E47">
        <w:rPr>
          <w:rFonts w:ascii="Times New Roman" w:hAnsi="Times New Roman" w:cs="Times New Roman"/>
          <w:sz w:val="24"/>
        </w:rPr>
        <w:t xml:space="preserve"> new opportunities and preempt competitors from new emerging niches or opportunities (Markides and Ittner, 1994). </w:t>
      </w:r>
    </w:p>
    <w:p w14:paraId="1418F6CE" w14:textId="5B0D36B7" w:rsidR="00E87E99" w:rsidRDefault="00E87E99" w:rsidP="00C24177">
      <w:pPr>
        <w:spacing w:after="0" w:line="360" w:lineRule="auto"/>
        <w:ind w:firstLine="284"/>
        <w:jc w:val="both"/>
        <w:rPr>
          <w:rFonts w:ascii="Times New Roman" w:hAnsi="Times New Roman" w:cs="Times New Roman"/>
          <w:sz w:val="24"/>
        </w:rPr>
      </w:pPr>
      <w:r w:rsidRPr="00E87E99">
        <w:rPr>
          <w:rFonts w:ascii="Times New Roman" w:hAnsi="Times New Roman" w:cs="Times New Roman"/>
          <w:sz w:val="24"/>
        </w:rPr>
        <w:t xml:space="preserve">The market access hypothesis has been supported in numerous different studies, using different performance measures. Dunning (1973), Leftwich (1974), Errunza and Senbet (1981), and Grant (1987), have found multinationals to be more </w:t>
      </w:r>
      <w:r w:rsidR="00F855B2">
        <w:rPr>
          <w:rFonts w:ascii="Times New Roman" w:hAnsi="Times New Roman" w:cs="Times New Roman"/>
          <w:sz w:val="24"/>
        </w:rPr>
        <w:t>lucrative</w:t>
      </w:r>
      <w:r w:rsidRPr="00E87E99">
        <w:rPr>
          <w:rFonts w:ascii="Times New Roman" w:hAnsi="Times New Roman" w:cs="Times New Roman"/>
          <w:sz w:val="24"/>
        </w:rPr>
        <w:t xml:space="preserve"> than </w:t>
      </w:r>
      <w:r w:rsidR="00F855B2">
        <w:rPr>
          <w:rFonts w:ascii="Times New Roman" w:hAnsi="Times New Roman" w:cs="Times New Roman"/>
          <w:sz w:val="24"/>
        </w:rPr>
        <w:t>national</w:t>
      </w:r>
      <w:r w:rsidRPr="00E87E99">
        <w:rPr>
          <w:rFonts w:ascii="Times New Roman" w:hAnsi="Times New Roman" w:cs="Times New Roman"/>
          <w:sz w:val="24"/>
        </w:rPr>
        <w:t xml:space="preserve"> firms; therefore, one can argue that market access is valuable to foreign bidders; hence, </w:t>
      </w:r>
      <w:r w:rsidR="00C24177">
        <w:rPr>
          <w:rFonts w:ascii="Times New Roman" w:hAnsi="Times New Roman" w:cs="Times New Roman"/>
          <w:sz w:val="24"/>
        </w:rPr>
        <w:t>overseas</w:t>
      </w:r>
      <w:r w:rsidR="00C24177" w:rsidRPr="00C24177">
        <w:rPr>
          <w:rFonts w:ascii="Times New Roman" w:hAnsi="Times New Roman" w:cs="Times New Roman"/>
          <w:sz w:val="24"/>
        </w:rPr>
        <w:t xml:space="preserve"> bidders </w:t>
      </w:r>
      <w:r w:rsidR="00C24177">
        <w:rPr>
          <w:rFonts w:ascii="Times New Roman" w:hAnsi="Times New Roman" w:cs="Times New Roman"/>
          <w:sz w:val="24"/>
        </w:rPr>
        <w:t xml:space="preserve">will </w:t>
      </w:r>
      <w:r w:rsidR="00C24177" w:rsidRPr="00C24177">
        <w:rPr>
          <w:rFonts w:ascii="Times New Roman" w:hAnsi="Times New Roman" w:cs="Times New Roman"/>
          <w:sz w:val="24"/>
        </w:rPr>
        <w:t>pay the target companies a higher consolidation premiu</w:t>
      </w:r>
      <w:r w:rsidR="00C24177">
        <w:rPr>
          <w:rFonts w:ascii="Times New Roman" w:hAnsi="Times New Roman" w:cs="Times New Roman"/>
          <w:sz w:val="24"/>
        </w:rPr>
        <w:t>m than the domestic bidders pay</w:t>
      </w:r>
      <w:r w:rsidRPr="00E87E99">
        <w:rPr>
          <w:rFonts w:ascii="Times New Roman" w:hAnsi="Times New Roman" w:cs="Times New Roman"/>
          <w:sz w:val="24"/>
        </w:rPr>
        <w:t xml:space="preserve">. </w:t>
      </w:r>
      <w:r w:rsidR="00C24177" w:rsidRPr="00C24177">
        <w:rPr>
          <w:rFonts w:ascii="Times New Roman" w:hAnsi="Times New Roman" w:cs="Times New Roman"/>
          <w:sz w:val="24"/>
        </w:rPr>
        <w:t>In the cross-sectional analysis, the market access hypothesis will be evaluated by evaluating the level of abnormal returns to target firms and whether it is affected by the overseas bidder having access to European markets before the announcement of the offer.</w:t>
      </w:r>
    </w:p>
    <w:p w14:paraId="24F8DF87" w14:textId="77777777" w:rsidR="00C24177" w:rsidRPr="00C56B34" w:rsidRDefault="00C24177" w:rsidP="00C24177">
      <w:pPr>
        <w:spacing w:after="0" w:line="360" w:lineRule="auto"/>
        <w:ind w:firstLine="284"/>
        <w:jc w:val="both"/>
        <w:rPr>
          <w:rFonts w:ascii="Times New Roman" w:hAnsi="Times New Roman" w:cs="Times New Roman"/>
          <w:b/>
          <w:bCs/>
          <w:sz w:val="24"/>
        </w:rPr>
      </w:pPr>
    </w:p>
    <w:p w14:paraId="7A82AE6E" w14:textId="1DBDD581" w:rsidR="0098214F" w:rsidRPr="00C56B34" w:rsidRDefault="00355C76" w:rsidP="005C68C4">
      <w:pPr>
        <w:spacing w:after="120" w:line="360" w:lineRule="auto"/>
        <w:jc w:val="both"/>
        <w:rPr>
          <w:rFonts w:ascii="Times New Roman" w:hAnsi="Times New Roman" w:cs="Times New Roman"/>
          <w:bCs/>
          <w:i/>
          <w:sz w:val="24"/>
        </w:rPr>
      </w:pPr>
      <w:r w:rsidRPr="00C56B34">
        <w:rPr>
          <w:rFonts w:ascii="Times New Roman" w:hAnsi="Times New Roman" w:cs="Times New Roman"/>
          <w:bCs/>
          <w:i/>
          <w:sz w:val="24"/>
        </w:rPr>
        <w:t>2.</w:t>
      </w:r>
      <w:r w:rsidR="00753E4B" w:rsidRPr="00C56B34">
        <w:rPr>
          <w:rFonts w:ascii="Times New Roman" w:hAnsi="Times New Roman" w:cs="Times New Roman"/>
          <w:bCs/>
          <w:i/>
          <w:sz w:val="24"/>
        </w:rPr>
        <w:t>1.</w:t>
      </w:r>
      <w:r w:rsidRPr="00C56B34">
        <w:rPr>
          <w:rFonts w:ascii="Times New Roman" w:hAnsi="Times New Roman" w:cs="Times New Roman"/>
          <w:bCs/>
          <w:i/>
          <w:sz w:val="24"/>
        </w:rPr>
        <w:t xml:space="preserve">3 </w:t>
      </w:r>
      <w:r w:rsidR="008C0CA9" w:rsidRPr="00C56B34">
        <w:rPr>
          <w:rFonts w:ascii="Times New Roman" w:hAnsi="Times New Roman" w:cs="Times New Roman"/>
          <w:bCs/>
          <w:i/>
          <w:sz w:val="24"/>
        </w:rPr>
        <w:t xml:space="preserve">Exchange Rate Effect </w:t>
      </w:r>
    </w:p>
    <w:p w14:paraId="75E92AA4" w14:textId="77777777" w:rsidR="00DB0A33" w:rsidRPr="00DB0A33" w:rsidRDefault="00DB0A33" w:rsidP="00DB0A33">
      <w:pPr>
        <w:spacing w:after="0" w:line="360" w:lineRule="auto"/>
        <w:jc w:val="both"/>
        <w:rPr>
          <w:rFonts w:ascii="Times New Roman" w:hAnsi="Times New Roman" w:cs="Times New Roman"/>
          <w:sz w:val="24"/>
        </w:rPr>
      </w:pPr>
      <w:r w:rsidRPr="00DB0A33">
        <w:rPr>
          <w:rFonts w:ascii="Times New Roman" w:hAnsi="Times New Roman" w:cs="Times New Roman"/>
          <w:sz w:val="24"/>
        </w:rPr>
        <w:t xml:space="preserve">Previous research has shed light on the influence the currency exchange rate has on the frequency of cross-border offers and abnormal returns of target firms. While some argue that the weaker the currency of the target compared to that of the overseas bidder the greater the level of abnormal returns to target firms' shareholders will be, others contend that the exchange rate does not affect the level of abnormal returns to targets in domestic and cross-border transactions. Because previous academic literature has reached different conclusions concurring the effect of the exchange rate, one can argue that the dominated effect of it is still an empirical question. </w:t>
      </w:r>
    </w:p>
    <w:p w14:paraId="0D15CE4B" w14:textId="1786F23D" w:rsidR="00DB0A33" w:rsidRPr="00DB0A33" w:rsidRDefault="00DB0A33" w:rsidP="00DB0A33">
      <w:pPr>
        <w:spacing w:after="0" w:line="360" w:lineRule="auto"/>
        <w:ind w:firstLine="284"/>
        <w:jc w:val="both"/>
        <w:rPr>
          <w:rFonts w:ascii="Times New Roman" w:hAnsi="Times New Roman" w:cs="Times New Roman"/>
          <w:sz w:val="24"/>
        </w:rPr>
      </w:pPr>
      <w:r w:rsidRPr="00DB0A33">
        <w:rPr>
          <w:rFonts w:ascii="Times New Roman" w:hAnsi="Times New Roman" w:cs="Times New Roman"/>
          <w:sz w:val="24"/>
        </w:rPr>
        <w:lastRenderedPageBreak/>
        <w:t>In their studies, Swenson (1993) and Vasconcellos and Kish (1998) noted that the amount of overseas bidders acquiring US companies rises when the dollar is relatively depreciated; indicating that a weaker dollar makes US target firms more attractive to foreign bidders. Froot and Stein (1991) also asserted that the currency exchange rate has an impact on the frequency of overseas acquisitions. They argued that due to information asymmetry, external financing is costly; hence, the entrepreneur’s cost of capital will be lower the wealthier he is. Consequently, because foreign bidders will hold most of their wealth in their own currency, a depreciation of the target’s currency relative to that of the bidder will increase the bidder’s relative wealth, and, therefore, decreases the foreign bidder’s cost of capital. Lower cost of capital means that foreign bidders can bid more aggressively for assets, thus increasing the number of cross-border deals (Froot and Stein, 1991). In addition, Erel, Liao, and Weisbach (2012) have found that in cross-border transactions targets tend to be from countries where the currency has recently depreci</w:t>
      </w:r>
      <w:r>
        <w:rPr>
          <w:rFonts w:ascii="Times New Roman" w:hAnsi="Times New Roman" w:cs="Times New Roman"/>
          <w:sz w:val="24"/>
        </w:rPr>
        <w:t xml:space="preserve">ated, and the economy and stock </w:t>
      </w:r>
      <w:r w:rsidRPr="00DB0A33">
        <w:rPr>
          <w:rFonts w:ascii="Times New Roman" w:hAnsi="Times New Roman" w:cs="Times New Roman"/>
          <w:sz w:val="24"/>
        </w:rPr>
        <w:t xml:space="preserve">market are underperforming. </w:t>
      </w:r>
    </w:p>
    <w:p w14:paraId="1897B857" w14:textId="77777777" w:rsidR="00DB0A33" w:rsidRPr="00DB0A33" w:rsidRDefault="00DB0A33" w:rsidP="00DB0A33">
      <w:pPr>
        <w:spacing w:after="0" w:line="360" w:lineRule="auto"/>
        <w:ind w:firstLine="284"/>
        <w:jc w:val="both"/>
        <w:rPr>
          <w:rFonts w:ascii="Times New Roman" w:hAnsi="Times New Roman" w:cs="Times New Roman"/>
          <w:sz w:val="24"/>
        </w:rPr>
      </w:pPr>
      <w:r w:rsidRPr="00DB0A33">
        <w:rPr>
          <w:rFonts w:ascii="Times New Roman" w:hAnsi="Times New Roman" w:cs="Times New Roman"/>
          <w:sz w:val="24"/>
        </w:rPr>
        <w:t>Target’s abnormal return, in overseas bids, can also be affected by the fluctuations in the rate of exchange (Danbolt, 2004). Previous studies done on US target firms have found that in cross-border acquisitions, shareholders of target companies will earn more if the currency of the overseas bidder appreciates relative to the US dollar (Harris and Ravenscraft, 1991; Kang, 1993; Swenson, 1993). However, Dewenter (1995) failed to determine a significant effect of the currency exchange rate on the rate of abnormal returns to the target firms; in addition, some have argued that a depreciated dollar means that the US is a cheaper place for any firm, domestic or foreign (Froot and Stein, 1991).  Vasconcellos and Kish (1998) also argued that a low dollar exchange rate does not justify the elevated prices for U.S. target companies because, while a depreciated dollar could allow overseas bidders to obtain U.S. targets at a discount, the dollar produced investment returns will be lower, if transformed back to the currency of the bidder at the present rate.</w:t>
      </w:r>
    </w:p>
    <w:p w14:paraId="1CC65613" w14:textId="0F8791B6" w:rsidR="0098214F" w:rsidRDefault="00DB0A33" w:rsidP="00DB0A33">
      <w:pPr>
        <w:spacing w:after="0" w:line="360" w:lineRule="auto"/>
        <w:jc w:val="both"/>
        <w:rPr>
          <w:rFonts w:ascii="Times New Roman" w:hAnsi="Times New Roman" w:cs="Times New Roman"/>
          <w:sz w:val="24"/>
        </w:rPr>
      </w:pPr>
      <w:r w:rsidRPr="00DB0A33">
        <w:rPr>
          <w:rFonts w:ascii="Times New Roman" w:hAnsi="Times New Roman" w:cs="Times New Roman"/>
          <w:sz w:val="24"/>
        </w:rPr>
        <w:t xml:space="preserve">The impact of the exchange rate on target shareholders ' level of abnormal returns remains an empirical mystery. In the cross-sectional analysis, it will be tested if the currency rate of exchange has an impact on the level of cumulative abnormal returns to European target firms.   </w:t>
      </w:r>
    </w:p>
    <w:p w14:paraId="5EEDBE1E" w14:textId="77777777" w:rsidR="00DB0A33" w:rsidRPr="00C56B34" w:rsidRDefault="00DB0A33" w:rsidP="00DB0A33">
      <w:pPr>
        <w:spacing w:after="0" w:line="360" w:lineRule="auto"/>
        <w:jc w:val="both"/>
        <w:rPr>
          <w:rFonts w:ascii="Times New Roman" w:hAnsi="Times New Roman" w:cs="Times New Roman"/>
          <w:b/>
          <w:sz w:val="24"/>
        </w:rPr>
      </w:pPr>
    </w:p>
    <w:p w14:paraId="0162FCCF" w14:textId="77777777" w:rsidR="00644815" w:rsidRPr="00C56B34" w:rsidRDefault="00907131" w:rsidP="00644815">
      <w:pPr>
        <w:spacing w:after="120" w:line="360" w:lineRule="auto"/>
        <w:jc w:val="both"/>
        <w:rPr>
          <w:rFonts w:ascii="Times New Roman" w:hAnsi="Times New Roman" w:cs="Times New Roman"/>
          <w:i/>
          <w:sz w:val="24"/>
        </w:rPr>
      </w:pPr>
      <w:r w:rsidRPr="00C56B34">
        <w:rPr>
          <w:rFonts w:ascii="Times New Roman" w:hAnsi="Times New Roman" w:cs="Times New Roman"/>
          <w:i/>
          <w:sz w:val="24"/>
        </w:rPr>
        <w:t>2.</w:t>
      </w:r>
      <w:r w:rsidR="00753E4B" w:rsidRPr="00C56B34">
        <w:rPr>
          <w:rFonts w:ascii="Times New Roman" w:hAnsi="Times New Roman" w:cs="Times New Roman"/>
          <w:i/>
          <w:sz w:val="24"/>
        </w:rPr>
        <w:t>1.</w:t>
      </w:r>
      <w:r w:rsidRPr="00C56B34">
        <w:rPr>
          <w:rFonts w:ascii="Times New Roman" w:hAnsi="Times New Roman" w:cs="Times New Roman"/>
          <w:i/>
          <w:sz w:val="24"/>
        </w:rPr>
        <w:t xml:space="preserve">4 Managerial Factors </w:t>
      </w:r>
    </w:p>
    <w:p w14:paraId="7089B517" w14:textId="6110430E" w:rsidR="00644815" w:rsidRPr="00C56B34" w:rsidRDefault="00FE7008" w:rsidP="00644815">
      <w:pPr>
        <w:spacing w:after="0" w:line="360" w:lineRule="auto"/>
        <w:jc w:val="both"/>
        <w:rPr>
          <w:rFonts w:ascii="Times New Roman" w:hAnsi="Times New Roman" w:cs="Times New Roman"/>
          <w:sz w:val="24"/>
        </w:rPr>
      </w:pPr>
      <w:r w:rsidRPr="00C56B34">
        <w:rPr>
          <w:rFonts w:ascii="Times New Roman" w:hAnsi="Times New Roman" w:cs="Times New Roman"/>
          <w:sz w:val="24"/>
        </w:rPr>
        <w:t xml:space="preserve">Jensen </w:t>
      </w:r>
      <w:r w:rsidR="00644815" w:rsidRPr="00C56B34">
        <w:rPr>
          <w:rFonts w:ascii="Times New Roman" w:hAnsi="Times New Roman" w:cs="Times New Roman"/>
          <w:sz w:val="24"/>
        </w:rPr>
        <w:t xml:space="preserve">and </w:t>
      </w:r>
      <w:r w:rsidRPr="00C56B34">
        <w:rPr>
          <w:rFonts w:ascii="Times New Roman" w:hAnsi="Times New Roman" w:cs="Times New Roman"/>
          <w:sz w:val="24"/>
        </w:rPr>
        <w:t>Meckling (1976)</w:t>
      </w:r>
      <w:r w:rsidR="00644815" w:rsidRPr="00C56B34">
        <w:rPr>
          <w:rFonts w:ascii="Times New Roman" w:hAnsi="Times New Roman" w:cs="Times New Roman"/>
          <w:sz w:val="24"/>
        </w:rPr>
        <w:t xml:space="preserve"> and Danbolt (2004) </w:t>
      </w:r>
      <w:r w:rsidR="001D4C76" w:rsidRPr="00C56B34">
        <w:rPr>
          <w:rFonts w:ascii="Times New Roman" w:hAnsi="Times New Roman" w:cs="Times New Roman"/>
          <w:sz w:val="24"/>
        </w:rPr>
        <w:t xml:space="preserve">have </w:t>
      </w:r>
      <w:r w:rsidR="00F7034B">
        <w:rPr>
          <w:rFonts w:ascii="Times New Roman" w:hAnsi="Times New Roman" w:cs="Times New Roman"/>
          <w:sz w:val="24"/>
        </w:rPr>
        <w:t>asserted</w:t>
      </w:r>
      <w:r w:rsidR="001D4C76" w:rsidRPr="00C56B34">
        <w:rPr>
          <w:rFonts w:ascii="Times New Roman" w:hAnsi="Times New Roman" w:cs="Times New Roman"/>
          <w:sz w:val="24"/>
        </w:rPr>
        <w:t xml:space="preserve"> that </w:t>
      </w:r>
      <w:r w:rsidR="006F1C31" w:rsidRPr="00C56B34">
        <w:rPr>
          <w:rFonts w:ascii="Times New Roman" w:hAnsi="Times New Roman" w:cs="Times New Roman"/>
          <w:sz w:val="24"/>
        </w:rPr>
        <w:t>shareholder</w:t>
      </w:r>
      <w:r w:rsidR="00726C8D">
        <w:rPr>
          <w:rFonts w:ascii="Times New Roman" w:hAnsi="Times New Roman" w:cs="Times New Roman"/>
          <w:sz w:val="24"/>
        </w:rPr>
        <w:t>s</w:t>
      </w:r>
      <w:r w:rsidR="006F1C31" w:rsidRPr="00C56B34">
        <w:rPr>
          <w:rFonts w:ascii="Times New Roman" w:hAnsi="Times New Roman" w:cs="Times New Roman"/>
          <w:sz w:val="24"/>
        </w:rPr>
        <w:t xml:space="preserve"> wealth maximization </w:t>
      </w:r>
      <w:r w:rsidR="00F7034B">
        <w:rPr>
          <w:rFonts w:ascii="Times New Roman" w:hAnsi="Times New Roman" w:cs="Times New Roman"/>
          <w:sz w:val="24"/>
        </w:rPr>
        <w:t>could</w:t>
      </w:r>
      <w:r w:rsidR="006F1C31" w:rsidRPr="00C56B34">
        <w:rPr>
          <w:rFonts w:ascii="Times New Roman" w:hAnsi="Times New Roman" w:cs="Times New Roman"/>
          <w:sz w:val="24"/>
        </w:rPr>
        <w:t xml:space="preserve"> not be the only motive behind cross-border </w:t>
      </w:r>
      <w:r w:rsidR="00F7034B">
        <w:rPr>
          <w:rFonts w:ascii="Times New Roman" w:hAnsi="Times New Roman" w:cs="Times New Roman"/>
          <w:sz w:val="24"/>
        </w:rPr>
        <w:t>transactions</w:t>
      </w:r>
      <w:r w:rsidR="006F1C31" w:rsidRPr="00C56B34">
        <w:rPr>
          <w:rFonts w:ascii="Times New Roman" w:hAnsi="Times New Roman" w:cs="Times New Roman"/>
          <w:sz w:val="24"/>
        </w:rPr>
        <w:t xml:space="preserve">. They </w:t>
      </w:r>
      <w:r w:rsidR="00F7034B">
        <w:rPr>
          <w:rFonts w:ascii="Times New Roman" w:hAnsi="Times New Roman" w:cs="Times New Roman"/>
          <w:sz w:val="24"/>
        </w:rPr>
        <w:t>claimed</w:t>
      </w:r>
      <w:r w:rsidR="006F1C31" w:rsidRPr="00C56B34">
        <w:rPr>
          <w:rFonts w:ascii="Times New Roman" w:hAnsi="Times New Roman" w:cs="Times New Roman"/>
          <w:sz w:val="24"/>
        </w:rPr>
        <w:t xml:space="preserve"> that </w:t>
      </w:r>
      <w:r w:rsidR="00F7034B">
        <w:rPr>
          <w:rFonts w:ascii="Times New Roman" w:hAnsi="Times New Roman" w:cs="Times New Roman"/>
          <w:sz w:val="24"/>
        </w:rPr>
        <w:lastRenderedPageBreak/>
        <w:t>overseas</w:t>
      </w:r>
      <w:r w:rsidR="00726C8D">
        <w:rPr>
          <w:rFonts w:ascii="Times New Roman" w:hAnsi="Times New Roman" w:cs="Times New Roman"/>
          <w:sz w:val="24"/>
        </w:rPr>
        <w:t xml:space="preserve"> </w:t>
      </w:r>
      <w:r w:rsidR="00F7034B">
        <w:rPr>
          <w:rFonts w:ascii="Times New Roman" w:hAnsi="Times New Roman" w:cs="Times New Roman"/>
          <w:sz w:val="24"/>
        </w:rPr>
        <w:t>bids</w:t>
      </w:r>
      <w:r w:rsidR="006F1C31" w:rsidRPr="00C56B34">
        <w:rPr>
          <w:rFonts w:ascii="Times New Roman" w:hAnsi="Times New Roman" w:cs="Times New Roman"/>
          <w:sz w:val="24"/>
        </w:rPr>
        <w:t xml:space="preserve"> </w:t>
      </w:r>
      <w:r w:rsidR="00F7034B">
        <w:rPr>
          <w:rFonts w:ascii="Times New Roman" w:hAnsi="Times New Roman" w:cs="Times New Roman"/>
          <w:sz w:val="24"/>
        </w:rPr>
        <w:t>might</w:t>
      </w:r>
      <w:r w:rsidR="006F1C31" w:rsidRPr="00C56B34">
        <w:rPr>
          <w:rFonts w:ascii="Times New Roman" w:hAnsi="Times New Roman" w:cs="Times New Roman"/>
          <w:sz w:val="24"/>
        </w:rPr>
        <w:t xml:space="preserve"> also be driven by</w:t>
      </w:r>
      <w:r w:rsidR="001D4C76" w:rsidRPr="00C56B34">
        <w:rPr>
          <w:rFonts w:ascii="Times New Roman" w:hAnsi="Times New Roman" w:cs="Times New Roman"/>
          <w:sz w:val="24"/>
        </w:rPr>
        <w:t xml:space="preserve"> managerial conflict</w:t>
      </w:r>
      <w:r w:rsidR="00DB0A33">
        <w:rPr>
          <w:rFonts w:ascii="Times New Roman" w:hAnsi="Times New Roman" w:cs="Times New Roman"/>
          <w:sz w:val="24"/>
        </w:rPr>
        <w:t>s</w:t>
      </w:r>
      <w:r w:rsidR="001D4C76" w:rsidRPr="00C56B34">
        <w:rPr>
          <w:rFonts w:ascii="Times New Roman" w:hAnsi="Times New Roman" w:cs="Times New Roman"/>
          <w:sz w:val="24"/>
        </w:rPr>
        <w:t>, such as emp</w:t>
      </w:r>
      <w:r w:rsidRPr="00C56B34">
        <w:rPr>
          <w:rFonts w:ascii="Times New Roman" w:hAnsi="Times New Roman" w:cs="Times New Roman"/>
          <w:sz w:val="24"/>
        </w:rPr>
        <w:t xml:space="preserve">ire building, where the management of the bidding firm is maximizing its own utility.  </w:t>
      </w:r>
      <w:r w:rsidR="00F7034B" w:rsidRPr="00F7034B">
        <w:rPr>
          <w:rFonts w:ascii="Times New Roman" w:hAnsi="Times New Roman" w:cs="Times New Roman"/>
          <w:sz w:val="24"/>
        </w:rPr>
        <w:t>Previous studies have observed that, whatever the shareholders of the bidding company benefit or lose from a transaction, the management of the bidder will always benefit from mergers and acquisitions by increasing it</w:t>
      </w:r>
      <w:r w:rsidR="00F7034B">
        <w:rPr>
          <w:rFonts w:ascii="Times New Roman" w:hAnsi="Times New Roman" w:cs="Times New Roman"/>
          <w:sz w:val="24"/>
        </w:rPr>
        <w:t>s authority, salary, and status</w:t>
      </w:r>
      <w:r w:rsidRPr="00C56B34">
        <w:rPr>
          <w:rFonts w:ascii="Times New Roman" w:hAnsi="Times New Roman" w:cs="Times New Roman"/>
          <w:sz w:val="24"/>
        </w:rPr>
        <w:t xml:space="preserve"> </w:t>
      </w:r>
      <w:r w:rsidR="00507E6E" w:rsidRPr="00C56B34">
        <w:rPr>
          <w:rFonts w:ascii="Times New Roman" w:hAnsi="Times New Roman" w:cs="Times New Roman"/>
          <w:sz w:val="24"/>
        </w:rPr>
        <w:t>(Firth, 1991; Bliss and Rosen, 2001</w:t>
      </w:r>
      <w:r w:rsidR="00644815" w:rsidRPr="00C56B34">
        <w:rPr>
          <w:rFonts w:ascii="Times New Roman" w:hAnsi="Times New Roman" w:cs="Times New Roman"/>
          <w:sz w:val="24"/>
        </w:rPr>
        <w:t>; Danbolt and Maciver, 2012;</w:t>
      </w:r>
      <w:r w:rsidR="00726C8D">
        <w:rPr>
          <w:rFonts w:ascii="Times New Roman" w:hAnsi="Times New Roman" w:cs="Times New Roman"/>
          <w:sz w:val="24"/>
        </w:rPr>
        <w:t>). B</w:t>
      </w:r>
      <w:r w:rsidR="000F002D">
        <w:rPr>
          <w:rFonts w:ascii="Times New Roman" w:hAnsi="Times New Roman" w:cs="Times New Roman"/>
          <w:sz w:val="24"/>
        </w:rPr>
        <w:t>idding</w:t>
      </w:r>
      <w:r w:rsidR="00507E6E" w:rsidRPr="00C56B34">
        <w:rPr>
          <w:rFonts w:ascii="Times New Roman" w:hAnsi="Times New Roman" w:cs="Times New Roman"/>
          <w:sz w:val="24"/>
        </w:rPr>
        <w:t xml:space="preserve"> firm’s management with empire building motives may</w:t>
      </w:r>
      <w:r w:rsidR="00726C8D">
        <w:rPr>
          <w:rFonts w:ascii="Times New Roman" w:hAnsi="Times New Roman" w:cs="Times New Roman"/>
          <w:sz w:val="24"/>
        </w:rPr>
        <w:t>, therefore,</w:t>
      </w:r>
      <w:r w:rsidR="00507E6E" w:rsidRPr="00C56B34">
        <w:rPr>
          <w:rFonts w:ascii="Times New Roman" w:hAnsi="Times New Roman" w:cs="Times New Roman"/>
          <w:sz w:val="24"/>
        </w:rPr>
        <w:t xml:space="preserve"> find cross-border than domestic deals</w:t>
      </w:r>
      <w:r w:rsidR="000F002D">
        <w:rPr>
          <w:rFonts w:ascii="Times New Roman" w:hAnsi="Times New Roman" w:cs="Times New Roman"/>
          <w:sz w:val="24"/>
        </w:rPr>
        <w:t xml:space="preserve"> </w:t>
      </w:r>
      <w:r w:rsidR="000F002D" w:rsidRPr="00C56B34">
        <w:rPr>
          <w:rFonts w:ascii="Times New Roman" w:hAnsi="Times New Roman" w:cs="Times New Roman"/>
          <w:sz w:val="24"/>
        </w:rPr>
        <w:t>more advantageous</w:t>
      </w:r>
      <w:r w:rsidR="004221E0" w:rsidRPr="00C56B34">
        <w:rPr>
          <w:rFonts w:ascii="Times New Roman" w:hAnsi="Times New Roman" w:cs="Times New Roman"/>
          <w:sz w:val="24"/>
        </w:rPr>
        <w:t xml:space="preserve">; </w:t>
      </w:r>
      <w:r w:rsidR="00726C8D">
        <w:rPr>
          <w:rFonts w:ascii="Times New Roman" w:hAnsi="Times New Roman" w:cs="Times New Roman"/>
          <w:sz w:val="24"/>
        </w:rPr>
        <w:t>hence</w:t>
      </w:r>
      <w:r w:rsidR="004221E0" w:rsidRPr="00C56B34">
        <w:rPr>
          <w:rFonts w:ascii="Times New Roman" w:hAnsi="Times New Roman" w:cs="Times New Roman"/>
          <w:sz w:val="24"/>
        </w:rPr>
        <w:t xml:space="preserve">, </w:t>
      </w:r>
      <w:r w:rsidR="00726C8D">
        <w:rPr>
          <w:rFonts w:ascii="Times New Roman" w:hAnsi="Times New Roman" w:cs="Times New Roman"/>
          <w:sz w:val="24"/>
        </w:rPr>
        <w:t>it</w:t>
      </w:r>
      <w:r w:rsidR="004221E0" w:rsidRPr="00C56B34">
        <w:rPr>
          <w:rFonts w:ascii="Times New Roman" w:hAnsi="Times New Roman" w:cs="Times New Roman"/>
          <w:sz w:val="24"/>
        </w:rPr>
        <w:t xml:space="preserve"> will be willing to overpay for foreign targets</w:t>
      </w:r>
      <w:r w:rsidR="00507E6E" w:rsidRPr="00C56B34">
        <w:rPr>
          <w:rFonts w:ascii="Times New Roman" w:hAnsi="Times New Roman" w:cs="Times New Roman"/>
          <w:sz w:val="24"/>
        </w:rPr>
        <w:t xml:space="preserve"> (Danbolt, 2004). </w:t>
      </w:r>
    </w:p>
    <w:p w14:paraId="1FBFD5DA" w14:textId="4AB03A11" w:rsidR="00644815" w:rsidRPr="00C56B34" w:rsidRDefault="00192E61" w:rsidP="00644815">
      <w:pPr>
        <w:spacing w:after="0" w:line="360" w:lineRule="auto"/>
        <w:ind w:firstLine="284"/>
        <w:jc w:val="both"/>
        <w:rPr>
          <w:rFonts w:ascii="Times New Roman" w:hAnsi="Times New Roman" w:cs="Times New Roman"/>
          <w:sz w:val="24"/>
        </w:rPr>
      </w:pPr>
      <w:r w:rsidRPr="00192E61">
        <w:rPr>
          <w:rFonts w:ascii="Times New Roman" w:hAnsi="Times New Roman" w:cs="Times New Roman"/>
          <w:sz w:val="24"/>
        </w:rPr>
        <w:t>Roll (1986) stated in his hubris hypothesis that the management of the bidding firm tends to overestimate predicted synergies, leading to overvaluation of and hi</w:t>
      </w:r>
      <w:r>
        <w:rPr>
          <w:rFonts w:ascii="Times New Roman" w:hAnsi="Times New Roman" w:cs="Times New Roman"/>
          <w:sz w:val="24"/>
        </w:rPr>
        <w:t xml:space="preserve">gher bid price to target firms. </w:t>
      </w:r>
      <w:r w:rsidRPr="00192E61">
        <w:rPr>
          <w:rFonts w:ascii="Times New Roman" w:hAnsi="Times New Roman" w:cs="Times New Roman"/>
          <w:sz w:val="24"/>
        </w:rPr>
        <w:t>Building on Roll's hubris hypothesis, Mork, Shleifer, and Vishny (1990) discovered that in cross-border acquisitions the magnitude of the valuation error, hence the degree of overpayment, was greater than in domestic transactions.</w:t>
      </w:r>
      <w:r w:rsidR="004221E0" w:rsidRPr="00C56B34">
        <w:rPr>
          <w:rFonts w:ascii="Times New Roman" w:hAnsi="Times New Roman" w:cs="Times New Roman"/>
          <w:sz w:val="24"/>
        </w:rPr>
        <w:t xml:space="preserve"> </w:t>
      </w:r>
      <w:r w:rsidR="00CB307D" w:rsidRPr="00C56B34">
        <w:rPr>
          <w:rFonts w:ascii="Times New Roman" w:hAnsi="Times New Roman" w:cs="Times New Roman"/>
          <w:sz w:val="24"/>
        </w:rPr>
        <w:t>Moreover,</w:t>
      </w:r>
      <w:r w:rsidR="002368C3" w:rsidRPr="00C56B34">
        <w:rPr>
          <w:rFonts w:ascii="Times New Roman" w:hAnsi="Times New Roman" w:cs="Times New Roman"/>
          <w:sz w:val="24"/>
        </w:rPr>
        <w:t xml:space="preserve"> Danbolt (1995</w:t>
      </w:r>
      <w:r w:rsidR="004F5957" w:rsidRPr="00C56B34">
        <w:rPr>
          <w:rFonts w:ascii="Times New Roman" w:hAnsi="Times New Roman" w:cs="Times New Roman"/>
          <w:sz w:val="24"/>
        </w:rPr>
        <w:t xml:space="preserve">) and Conn </w:t>
      </w:r>
      <w:r w:rsidR="004F5957" w:rsidRPr="00C56B34">
        <w:rPr>
          <w:rFonts w:ascii="Times New Roman" w:hAnsi="Times New Roman" w:cs="Times New Roman"/>
          <w:i/>
          <w:sz w:val="24"/>
        </w:rPr>
        <w:t>et al.</w:t>
      </w:r>
      <w:r w:rsidR="004F5957" w:rsidRPr="00C56B34">
        <w:rPr>
          <w:rFonts w:ascii="Times New Roman" w:hAnsi="Times New Roman" w:cs="Times New Roman"/>
          <w:sz w:val="24"/>
        </w:rPr>
        <w:t> (2005</w:t>
      </w:r>
      <w:r w:rsidR="002368C3" w:rsidRPr="00C56B34">
        <w:rPr>
          <w:rFonts w:ascii="Times New Roman" w:hAnsi="Times New Roman" w:cs="Times New Roman"/>
          <w:sz w:val="24"/>
        </w:rPr>
        <w:t xml:space="preserve">) have </w:t>
      </w:r>
      <w:r w:rsidR="00F7619E">
        <w:rPr>
          <w:rFonts w:ascii="Times New Roman" w:hAnsi="Times New Roman" w:cs="Times New Roman"/>
          <w:sz w:val="24"/>
        </w:rPr>
        <w:t>observed</w:t>
      </w:r>
      <w:r w:rsidR="002368C3" w:rsidRPr="00C56B34">
        <w:rPr>
          <w:rFonts w:ascii="Times New Roman" w:hAnsi="Times New Roman" w:cs="Times New Roman"/>
          <w:sz w:val="24"/>
        </w:rPr>
        <w:t xml:space="preserve"> </w:t>
      </w:r>
      <w:r w:rsidR="00CB2009">
        <w:rPr>
          <w:rFonts w:ascii="Times New Roman" w:hAnsi="Times New Roman" w:cs="Times New Roman"/>
          <w:sz w:val="24"/>
        </w:rPr>
        <w:t>that</w:t>
      </w:r>
      <w:r w:rsidR="002368C3" w:rsidRPr="00C56B34">
        <w:rPr>
          <w:rFonts w:ascii="Times New Roman" w:hAnsi="Times New Roman" w:cs="Times New Roman"/>
          <w:sz w:val="24"/>
        </w:rPr>
        <w:t xml:space="preserve"> bidders</w:t>
      </w:r>
      <w:r w:rsidR="00CB2009">
        <w:rPr>
          <w:rFonts w:ascii="Times New Roman" w:hAnsi="Times New Roman" w:cs="Times New Roman"/>
          <w:sz w:val="24"/>
        </w:rPr>
        <w:t xml:space="preserve">, in cross-border </w:t>
      </w:r>
      <w:r w:rsidR="00F7619E">
        <w:rPr>
          <w:rFonts w:ascii="Times New Roman" w:hAnsi="Times New Roman" w:cs="Times New Roman"/>
          <w:sz w:val="24"/>
        </w:rPr>
        <w:t>bids</w:t>
      </w:r>
      <w:r w:rsidR="00CB2009">
        <w:rPr>
          <w:rFonts w:ascii="Times New Roman" w:hAnsi="Times New Roman" w:cs="Times New Roman"/>
          <w:sz w:val="24"/>
        </w:rPr>
        <w:t>,</w:t>
      </w:r>
      <w:r w:rsidR="002368C3" w:rsidRPr="00C56B34">
        <w:rPr>
          <w:rFonts w:ascii="Times New Roman" w:hAnsi="Times New Roman" w:cs="Times New Roman"/>
          <w:sz w:val="24"/>
        </w:rPr>
        <w:t xml:space="preserve"> tend to have negative abnormal return</w:t>
      </w:r>
      <w:r w:rsidR="00CB2009">
        <w:rPr>
          <w:rFonts w:ascii="Times New Roman" w:hAnsi="Times New Roman" w:cs="Times New Roman"/>
          <w:sz w:val="24"/>
        </w:rPr>
        <w:t>s</w:t>
      </w:r>
      <w:r w:rsidR="002368C3" w:rsidRPr="00C56B34">
        <w:rPr>
          <w:rFonts w:ascii="Times New Roman" w:hAnsi="Times New Roman" w:cs="Times New Roman"/>
          <w:sz w:val="24"/>
        </w:rPr>
        <w:t>, which can be translated to overpayment</w:t>
      </w:r>
      <w:r w:rsidR="000843FB" w:rsidRPr="00C56B34">
        <w:rPr>
          <w:rFonts w:ascii="Times New Roman" w:hAnsi="Times New Roman" w:cs="Times New Roman"/>
          <w:sz w:val="24"/>
        </w:rPr>
        <w:t xml:space="preserve"> by the bidders</w:t>
      </w:r>
      <w:r w:rsidR="002368C3" w:rsidRPr="00C56B34">
        <w:rPr>
          <w:rFonts w:ascii="Times New Roman" w:hAnsi="Times New Roman" w:cs="Times New Roman"/>
          <w:sz w:val="24"/>
        </w:rPr>
        <w:t>.</w:t>
      </w:r>
      <w:r w:rsidR="00D81DD0" w:rsidRPr="00C56B34">
        <w:rPr>
          <w:rFonts w:ascii="Times New Roman" w:hAnsi="Times New Roman" w:cs="Times New Roman"/>
          <w:sz w:val="24"/>
        </w:rPr>
        <w:t xml:space="preserve"> </w:t>
      </w:r>
      <w:r w:rsidR="00F7619E" w:rsidRPr="00F7619E">
        <w:rPr>
          <w:rFonts w:ascii="Times New Roman" w:hAnsi="Times New Roman" w:cs="Times New Roman"/>
          <w:sz w:val="24"/>
        </w:rPr>
        <w:t xml:space="preserve">Furthermore, Danbolt (1996) discovered that the performance of cross-border bidders is considerably worse compared to that of domestic bidders post the announcement of the bid. </w:t>
      </w:r>
      <w:r w:rsidR="000843FB" w:rsidRPr="00C56B34">
        <w:rPr>
          <w:rFonts w:ascii="Times New Roman" w:hAnsi="Times New Roman" w:cs="Times New Roman"/>
          <w:sz w:val="24"/>
        </w:rPr>
        <w:t xml:space="preserve"> Therefore, one can argue </w:t>
      </w:r>
      <w:r w:rsidR="000311CC" w:rsidRPr="00C56B34">
        <w:rPr>
          <w:rFonts w:ascii="Times New Roman" w:hAnsi="Times New Roman" w:cs="Times New Roman"/>
          <w:sz w:val="24"/>
        </w:rPr>
        <w:t xml:space="preserve">that </w:t>
      </w:r>
      <w:r w:rsidR="000843FB" w:rsidRPr="00C56B34">
        <w:rPr>
          <w:rFonts w:ascii="Times New Roman" w:hAnsi="Times New Roman" w:cs="Times New Roman"/>
          <w:sz w:val="24"/>
        </w:rPr>
        <w:t xml:space="preserve">because the level of valuation error is higher </w:t>
      </w:r>
      <w:r w:rsidR="00F7619E">
        <w:rPr>
          <w:rFonts w:ascii="Times New Roman" w:hAnsi="Times New Roman" w:cs="Times New Roman"/>
          <w:sz w:val="24"/>
        </w:rPr>
        <w:t>foreign bids</w:t>
      </w:r>
      <w:r w:rsidR="000843FB" w:rsidRPr="00C56B34">
        <w:rPr>
          <w:rFonts w:ascii="Times New Roman" w:hAnsi="Times New Roman" w:cs="Times New Roman"/>
          <w:sz w:val="24"/>
        </w:rPr>
        <w:t xml:space="preserve">, targets in cross-border deals may </w:t>
      </w:r>
      <w:r w:rsidR="000311CC" w:rsidRPr="00C56B34">
        <w:rPr>
          <w:rFonts w:ascii="Times New Roman" w:hAnsi="Times New Roman" w:cs="Times New Roman"/>
          <w:sz w:val="24"/>
        </w:rPr>
        <w:t xml:space="preserve">be expected to be overvalued by their foreign bidders. </w:t>
      </w:r>
      <w:r w:rsidR="00644815" w:rsidRPr="00C56B34">
        <w:rPr>
          <w:rFonts w:ascii="Times New Roman" w:hAnsi="Times New Roman" w:cs="Times New Roman"/>
          <w:sz w:val="24"/>
        </w:rPr>
        <w:t xml:space="preserve"> </w:t>
      </w:r>
    </w:p>
    <w:p w14:paraId="200A4914" w14:textId="1536E12C" w:rsidR="004F5ADC" w:rsidRDefault="007B415F" w:rsidP="00CB2009">
      <w:pPr>
        <w:spacing w:after="0" w:line="360" w:lineRule="auto"/>
        <w:ind w:firstLine="284"/>
        <w:jc w:val="both"/>
        <w:rPr>
          <w:rFonts w:ascii="Times New Roman" w:hAnsi="Times New Roman" w:cs="Times New Roman"/>
          <w:sz w:val="24"/>
        </w:rPr>
      </w:pPr>
      <w:r>
        <w:rPr>
          <w:rFonts w:ascii="Times New Roman" w:hAnsi="Times New Roman" w:cs="Times New Roman"/>
          <w:sz w:val="24"/>
        </w:rPr>
        <w:t>Building on the aforementioned</w:t>
      </w:r>
      <w:r w:rsidR="00CB2009" w:rsidRPr="00CB2009">
        <w:rPr>
          <w:rFonts w:ascii="Times New Roman" w:hAnsi="Times New Roman" w:cs="Times New Roman"/>
          <w:sz w:val="24"/>
        </w:rPr>
        <w:t xml:space="preserve"> arguments, one can argue that the </w:t>
      </w:r>
      <w:r w:rsidR="00F7619E">
        <w:rPr>
          <w:rFonts w:ascii="Times New Roman" w:hAnsi="Times New Roman" w:cs="Times New Roman"/>
          <w:sz w:val="24"/>
        </w:rPr>
        <w:t>cross-border effect for target firms</w:t>
      </w:r>
      <w:r w:rsidR="00CB2009" w:rsidRPr="00CB2009">
        <w:rPr>
          <w:rFonts w:ascii="Times New Roman" w:hAnsi="Times New Roman" w:cs="Times New Roman"/>
          <w:sz w:val="24"/>
        </w:rPr>
        <w:t xml:space="preserve"> </w:t>
      </w:r>
      <w:r w:rsidR="00F7619E">
        <w:rPr>
          <w:rFonts w:ascii="Times New Roman" w:hAnsi="Times New Roman" w:cs="Times New Roman"/>
          <w:sz w:val="24"/>
        </w:rPr>
        <w:t>could</w:t>
      </w:r>
      <w:r w:rsidR="00CB2009" w:rsidRPr="00CB2009">
        <w:rPr>
          <w:rFonts w:ascii="Times New Roman" w:hAnsi="Times New Roman" w:cs="Times New Roman"/>
          <w:sz w:val="24"/>
        </w:rPr>
        <w:t xml:space="preserve">, thus, be </w:t>
      </w:r>
      <w:r>
        <w:rPr>
          <w:rFonts w:ascii="Times New Roman" w:hAnsi="Times New Roman" w:cs="Times New Roman"/>
          <w:sz w:val="24"/>
        </w:rPr>
        <w:t>attributed to</w:t>
      </w:r>
      <w:r w:rsidR="00CB2009" w:rsidRPr="00CB2009">
        <w:rPr>
          <w:rFonts w:ascii="Times New Roman" w:hAnsi="Times New Roman" w:cs="Times New Roman"/>
          <w:sz w:val="24"/>
        </w:rPr>
        <w:t xml:space="preserve"> foreign bidder’s managers' overconfidence or to foreign bidder’s management maximizing its own utility, regardless of shareholders’ interests.  </w:t>
      </w:r>
      <w:r w:rsidRPr="007B415F">
        <w:rPr>
          <w:rFonts w:ascii="Times New Roman" w:hAnsi="Times New Roman" w:cs="Times New Roman"/>
          <w:sz w:val="24"/>
        </w:rPr>
        <w:t>In the cross-sectional analysis, the managerial factors will not be evaluated due to the lack of data.</w:t>
      </w:r>
      <w:r w:rsidR="00FC6AA7">
        <w:rPr>
          <w:rFonts w:ascii="Times New Roman" w:hAnsi="Times New Roman" w:cs="Times New Roman"/>
          <w:sz w:val="24"/>
        </w:rPr>
        <w:t xml:space="preserve"> </w:t>
      </w:r>
    </w:p>
    <w:p w14:paraId="2F122D5B" w14:textId="77777777" w:rsidR="00CB2009" w:rsidRPr="00C56B34" w:rsidRDefault="00CB2009" w:rsidP="00CB2009">
      <w:pPr>
        <w:spacing w:after="0" w:line="360" w:lineRule="auto"/>
        <w:ind w:firstLine="284"/>
        <w:jc w:val="both"/>
        <w:rPr>
          <w:rFonts w:ascii="Times New Roman" w:hAnsi="Times New Roman" w:cs="Times New Roman"/>
          <w:sz w:val="24"/>
        </w:rPr>
      </w:pPr>
    </w:p>
    <w:p w14:paraId="1220F5A4" w14:textId="77777777" w:rsidR="00644815" w:rsidRPr="00C56B34" w:rsidRDefault="004F5ADC" w:rsidP="00644815">
      <w:pPr>
        <w:spacing w:line="360" w:lineRule="auto"/>
        <w:jc w:val="both"/>
        <w:rPr>
          <w:rFonts w:ascii="Times New Roman" w:hAnsi="Times New Roman" w:cs="Times New Roman"/>
          <w:bCs/>
          <w:i/>
          <w:sz w:val="24"/>
        </w:rPr>
      </w:pPr>
      <w:r w:rsidRPr="00C56B34">
        <w:rPr>
          <w:rFonts w:ascii="Times New Roman" w:hAnsi="Times New Roman" w:cs="Times New Roman"/>
          <w:bCs/>
          <w:i/>
          <w:sz w:val="24"/>
        </w:rPr>
        <w:t xml:space="preserve">2.1.5 Characteristics Factors </w:t>
      </w:r>
    </w:p>
    <w:p w14:paraId="591F8ECD" w14:textId="074598DA" w:rsidR="004A1B38" w:rsidRPr="00C56B34" w:rsidRDefault="00FC6AA7" w:rsidP="00644815">
      <w:pPr>
        <w:spacing w:after="0" w:line="360" w:lineRule="auto"/>
        <w:jc w:val="both"/>
        <w:rPr>
          <w:rFonts w:ascii="Times New Roman" w:hAnsi="Times New Roman" w:cs="Times New Roman"/>
          <w:bCs/>
          <w:i/>
          <w:sz w:val="24"/>
        </w:rPr>
      </w:pPr>
      <w:r w:rsidRPr="00FC6AA7">
        <w:rPr>
          <w:rFonts w:ascii="Times New Roman" w:hAnsi="Times New Roman" w:cs="Times New Roman"/>
          <w:sz w:val="24"/>
        </w:rPr>
        <w:t xml:space="preserve">While previous trials have shown favorable cross-border effect for target shareholders, there is some evidence that this impact is due to variations in the features of the deal or the features of targeted companies by domestic and international bidders </w:t>
      </w:r>
      <w:r w:rsidR="0046782D" w:rsidRPr="00C56B34">
        <w:rPr>
          <w:rFonts w:ascii="Times New Roman" w:hAnsi="Times New Roman" w:cs="Times New Roman"/>
          <w:sz w:val="24"/>
        </w:rPr>
        <w:t xml:space="preserve">(Wansley </w:t>
      </w:r>
      <w:r w:rsidR="0046782D" w:rsidRPr="00C56B34">
        <w:rPr>
          <w:rFonts w:ascii="Times New Roman" w:hAnsi="Times New Roman" w:cs="Times New Roman"/>
          <w:i/>
          <w:iCs/>
          <w:sz w:val="24"/>
        </w:rPr>
        <w:t>et al.</w:t>
      </w:r>
      <w:r w:rsidR="0046782D" w:rsidRPr="00C56B34">
        <w:rPr>
          <w:rFonts w:ascii="Times New Roman" w:hAnsi="Times New Roman" w:cs="Times New Roman"/>
          <w:sz w:val="24"/>
        </w:rPr>
        <w:t>, 1983;</w:t>
      </w:r>
      <w:r w:rsidR="002F0160" w:rsidRPr="00C56B34">
        <w:rPr>
          <w:rFonts w:ascii="Times New Roman" w:hAnsi="Times New Roman" w:cs="Times New Roman"/>
          <w:sz w:val="24"/>
        </w:rPr>
        <w:t xml:space="preserve"> Swenson, 1993; </w:t>
      </w:r>
      <w:r w:rsidR="0046782D" w:rsidRPr="00C56B34">
        <w:rPr>
          <w:rFonts w:ascii="Times New Roman" w:hAnsi="Times New Roman" w:cs="Times New Roman"/>
          <w:sz w:val="24"/>
        </w:rPr>
        <w:t xml:space="preserve">Dewenter 1995; Danbolt, 2004). </w:t>
      </w:r>
      <w:r w:rsidRPr="00FC6AA7">
        <w:rPr>
          <w:rFonts w:ascii="Times New Roman" w:hAnsi="Times New Roman" w:cs="Times New Roman"/>
          <w:sz w:val="24"/>
        </w:rPr>
        <w:t>In the cross-sectional analysis, the characteristics listed belo</w:t>
      </w:r>
      <w:r>
        <w:rPr>
          <w:rFonts w:ascii="Times New Roman" w:hAnsi="Times New Roman" w:cs="Times New Roman"/>
          <w:sz w:val="24"/>
        </w:rPr>
        <w:t>w are used as control variables</w:t>
      </w:r>
      <w:r w:rsidR="004A1B38" w:rsidRPr="00C56B34">
        <w:rPr>
          <w:rFonts w:ascii="Times New Roman" w:hAnsi="Times New Roman" w:cs="Times New Roman"/>
          <w:sz w:val="24"/>
        </w:rPr>
        <w:t>.</w:t>
      </w:r>
    </w:p>
    <w:p w14:paraId="396F200E" w14:textId="2275D4B1" w:rsidR="0046782D" w:rsidRPr="00C56B34" w:rsidRDefault="004A1B38" w:rsidP="00580B53">
      <w:pPr>
        <w:pStyle w:val="ListParagraph"/>
        <w:numPr>
          <w:ilvl w:val="0"/>
          <w:numId w:val="4"/>
        </w:numPr>
        <w:spacing w:after="0" w:line="360" w:lineRule="auto"/>
        <w:jc w:val="both"/>
        <w:rPr>
          <w:rFonts w:ascii="Times New Roman" w:hAnsi="Times New Roman" w:cs="Times New Roman"/>
          <w:sz w:val="24"/>
          <w:szCs w:val="24"/>
        </w:rPr>
      </w:pPr>
      <w:r w:rsidRPr="00C56B34">
        <w:rPr>
          <w:rFonts w:ascii="Times New Roman" w:hAnsi="Times New Roman" w:cs="Times New Roman"/>
          <w:i/>
          <w:iCs/>
          <w:sz w:val="24"/>
          <w:szCs w:val="24"/>
        </w:rPr>
        <w:lastRenderedPageBreak/>
        <w:t xml:space="preserve">Payment: </w:t>
      </w:r>
      <w:r w:rsidR="00A35986" w:rsidRPr="00C56B34">
        <w:rPr>
          <w:rFonts w:ascii="Times New Roman" w:hAnsi="Times New Roman" w:cs="Times New Roman"/>
          <w:sz w:val="24"/>
          <w:szCs w:val="24"/>
        </w:rPr>
        <w:t xml:space="preserve">Cash payment in merger and acquisitions deals convey a positive signal to the market (Travlos, 1987); hence, </w:t>
      </w:r>
      <w:r w:rsidR="001F7380" w:rsidRPr="001F7380">
        <w:rPr>
          <w:rFonts w:ascii="Times New Roman" w:hAnsi="Times New Roman" w:cs="Times New Roman"/>
          <w:sz w:val="24"/>
          <w:szCs w:val="24"/>
        </w:rPr>
        <w:t xml:space="preserve">the shareholder of target firms will earn more in cash-only than equity-only offers </w:t>
      </w:r>
      <w:r w:rsidR="00B40529" w:rsidRPr="00C56B34">
        <w:rPr>
          <w:rFonts w:ascii="Times New Roman" w:hAnsi="Times New Roman" w:cs="Times New Roman"/>
          <w:sz w:val="24"/>
          <w:szCs w:val="24"/>
        </w:rPr>
        <w:t xml:space="preserve">(Huang and Walkling, 1987; Franks </w:t>
      </w:r>
      <w:r w:rsidR="00B40529" w:rsidRPr="00C56B34">
        <w:rPr>
          <w:rFonts w:ascii="Times New Roman" w:hAnsi="Times New Roman" w:cs="Times New Roman"/>
          <w:i/>
          <w:sz w:val="24"/>
          <w:szCs w:val="24"/>
        </w:rPr>
        <w:t>et al.</w:t>
      </w:r>
      <w:r w:rsidR="00147ACF" w:rsidRPr="00C56B34">
        <w:rPr>
          <w:rFonts w:ascii="Times New Roman" w:hAnsi="Times New Roman" w:cs="Times New Roman"/>
          <w:sz w:val="24"/>
          <w:szCs w:val="24"/>
        </w:rPr>
        <w:t>, 1988</w:t>
      </w:r>
      <w:r w:rsidR="00B40529" w:rsidRPr="00C56B34">
        <w:rPr>
          <w:rFonts w:ascii="Times New Roman" w:hAnsi="Times New Roman" w:cs="Times New Roman"/>
          <w:sz w:val="24"/>
          <w:szCs w:val="24"/>
        </w:rPr>
        <w:t xml:space="preserve">; Harris and Ravenscraft, 1991; Sudarsanam </w:t>
      </w:r>
      <w:r w:rsidR="00B40529" w:rsidRPr="00C56B34">
        <w:rPr>
          <w:rFonts w:ascii="Times New Roman" w:hAnsi="Times New Roman" w:cs="Times New Roman"/>
          <w:i/>
          <w:sz w:val="24"/>
          <w:szCs w:val="24"/>
        </w:rPr>
        <w:t>et al.</w:t>
      </w:r>
      <w:r w:rsidR="00B40529" w:rsidRPr="00C56B34">
        <w:rPr>
          <w:rFonts w:ascii="Times New Roman" w:hAnsi="Times New Roman" w:cs="Times New Roman"/>
          <w:sz w:val="24"/>
          <w:szCs w:val="24"/>
        </w:rPr>
        <w:t xml:space="preserve">, 1996).   </w:t>
      </w:r>
      <w:r w:rsidR="00FC5E96" w:rsidRPr="00C56B34">
        <w:rPr>
          <w:rFonts w:ascii="Times New Roman" w:hAnsi="Times New Roman" w:cs="Times New Roman"/>
          <w:sz w:val="24"/>
          <w:szCs w:val="24"/>
        </w:rPr>
        <w:t xml:space="preserve">In addition, in all-cash offers, targets shareholders are </w:t>
      </w:r>
      <w:r w:rsidR="001F7380">
        <w:rPr>
          <w:rFonts w:ascii="Times New Roman" w:hAnsi="Times New Roman" w:cs="Times New Roman"/>
          <w:sz w:val="24"/>
          <w:szCs w:val="24"/>
        </w:rPr>
        <w:t>subjected to</w:t>
      </w:r>
      <w:r w:rsidR="00FC5E96" w:rsidRPr="00C56B34">
        <w:rPr>
          <w:rFonts w:ascii="Times New Roman" w:hAnsi="Times New Roman" w:cs="Times New Roman"/>
          <w:sz w:val="24"/>
          <w:szCs w:val="24"/>
        </w:rPr>
        <w:t xml:space="preserve"> capital gains tax (CGT); therefore, t</w:t>
      </w:r>
      <w:r w:rsidR="00DB0A33">
        <w:rPr>
          <w:rFonts w:ascii="Times New Roman" w:hAnsi="Times New Roman" w:cs="Times New Roman"/>
          <w:sz w:val="24"/>
          <w:szCs w:val="24"/>
        </w:rPr>
        <w:t xml:space="preserve">arget shareholders will </w:t>
      </w:r>
      <w:r w:rsidR="00DF6DB2">
        <w:rPr>
          <w:rFonts w:ascii="Times New Roman" w:hAnsi="Times New Roman" w:cs="Times New Roman"/>
          <w:sz w:val="24"/>
          <w:szCs w:val="24"/>
        </w:rPr>
        <w:t xml:space="preserve">demand </w:t>
      </w:r>
      <w:r w:rsidR="00DF6DB2" w:rsidRPr="00C56B34">
        <w:rPr>
          <w:rFonts w:ascii="Times New Roman" w:hAnsi="Times New Roman" w:cs="Times New Roman"/>
          <w:sz w:val="24"/>
          <w:szCs w:val="24"/>
        </w:rPr>
        <w:t>compensation</w:t>
      </w:r>
      <w:r w:rsidR="00FC5E96" w:rsidRPr="00C56B34">
        <w:rPr>
          <w:rFonts w:ascii="Times New Roman" w:hAnsi="Times New Roman" w:cs="Times New Roman"/>
          <w:sz w:val="24"/>
          <w:szCs w:val="24"/>
        </w:rPr>
        <w:t xml:space="preserve"> for that tax </w:t>
      </w:r>
      <w:r w:rsidR="00963327" w:rsidRPr="00C56B34">
        <w:rPr>
          <w:rFonts w:ascii="Times New Roman" w:hAnsi="Times New Roman" w:cs="Times New Roman"/>
          <w:sz w:val="24"/>
          <w:szCs w:val="24"/>
        </w:rPr>
        <w:t>effect</w:t>
      </w:r>
      <w:r w:rsidR="00963327">
        <w:rPr>
          <w:rFonts w:ascii="Times New Roman" w:hAnsi="Times New Roman" w:cs="Times New Roman"/>
          <w:sz w:val="24"/>
          <w:szCs w:val="24"/>
        </w:rPr>
        <w:t xml:space="preserve"> </w:t>
      </w:r>
      <w:r w:rsidR="00963327" w:rsidRPr="00C56B34">
        <w:rPr>
          <w:rFonts w:ascii="Times New Roman" w:hAnsi="Times New Roman" w:cs="Times New Roman"/>
          <w:sz w:val="24"/>
          <w:szCs w:val="24"/>
        </w:rPr>
        <w:t>(</w:t>
      </w:r>
      <w:r w:rsidR="002F0160" w:rsidRPr="00C56B34">
        <w:rPr>
          <w:rFonts w:ascii="Times New Roman" w:hAnsi="Times New Roman" w:cs="Times New Roman"/>
          <w:sz w:val="24"/>
          <w:szCs w:val="24"/>
        </w:rPr>
        <w:t>Danbolt, 2004)</w:t>
      </w:r>
      <w:r w:rsidR="00FC5E96" w:rsidRPr="00C56B34">
        <w:rPr>
          <w:rFonts w:ascii="Times New Roman" w:hAnsi="Times New Roman" w:cs="Times New Roman"/>
          <w:sz w:val="24"/>
          <w:szCs w:val="24"/>
        </w:rPr>
        <w:t xml:space="preserve">. In his work, Danbolt (2004) </w:t>
      </w:r>
      <w:r w:rsidR="00CB2009">
        <w:rPr>
          <w:rFonts w:ascii="Times New Roman" w:hAnsi="Times New Roman" w:cs="Times New Roman"/>
          <w:sz w:val="24"/>
          <w:szCs w:val="24"/>
        </w:rPr>
        <w:t>has</w:t>
      </w:r>
      <w:r w:rsidR="00FC5E96" w:rsidRPr="00C56B34">
        <w:rPr>
          <w:rFonts w:ascii="Times New Roman" w:hAnsi="Times New Roman" w:cs="Times New Roman"/>
          <w:sz w:val="24"/>
          <w:szCs w:val="24"/>
        </w:rPr>
        <w:t xml:space="preserve"> observed </w:t>
      </w:r>
      <w:r w:rsidR="009F0891" w:rsidRPr="00C56B34">
        <w:rPr>
          <w:rFonts w:ascii="Times New Roman" w:hAnsi="Times New Roman" w:cs="Times New Roman"/>
          <w:sz w:val="24"/>
          <w:szCs w:val="24"/>
        </w:rPr>
        <w:t xml:space="preserve">that </w:t>
      </w:r>
      <w:r w:rsidR="00963327">
        <w:rPr>
          <w:rFonts w:ascii="Times New Roman" w:hAnsi="Times New Roman" w:cs="Times New Roman"/>
          <w:sz w:val="24"/>
          <w:szCs w:val="24"/>
        </w:rPr>
        <w:t>overseas bids</w:t>
      </w:r>
      <w:r w:rsidR="009F0891" w:rsidRPr="00C56B34">
        <w:rPr>
          <w:rFonts w:ascii="Times New Roman" w:hAnsi="Times New Roman" w:cs="Times New Roman"/>
          <w:sz w:val="24"/>
          <w:szCs w:val="24"/>
        </w:rPr>
        <w:t xml:space="preserve"> tend to be cash offers. It can also be seen in </w:t>
      </w:r>
      <w:r w:rsidR="000A2DC4" w:rsidRPr="00C56B34">
        <w:rPr>
          <w:rFonts w:ascii="Times New Roman" w:hAnsi="Times New Roman" w:cs="Times New Roman"/>
          <w:sz w:val="24"/>
          <w:szCs w:val="24"/>
        </w:rPr>
        <w:t xml:space="preserve">table </w:t>
      </w:r>
      <w:r w:rsidR="00CB2009" w:rsidRPr="00C56B34">
        <w:rPr>
          <w:rFonts w:ascii="Times New Roman" w:hAnsi="Times New Roman" w:cs="Times New Roman"/>
          <w:sz w:val="24"/>
          <w:szCs w:val="24"/>
        </w:rPr>
        <w:t>1 that</w:t>
      </w:r>
      <w:r w:rsidR="009F0891" w:rsidRPr="00C56B34">
        <w:rPr>
          <w:rFonts w:ascii="Times New Roman" w:hAnsi="Times New Roman" w:cs="Times New Roman"/>
          <w:sz w:val="24"/>
          <w:szCs w:val="24"/>
        </w:rPr>
        <w:t xml:space="preserve"> the proportion of</w:t>
      </w:r>
      <w:r w:rsidR="00697061">
        <w:rPr>
          <w:rFonts w:ascii="Times New Roman" w:hAnsi="Times New Roman" w:cs="Times New Roman"/>
          <w:sz w:val="24"/>
          <w:szCs w:val="24"/>
        </w:rPr>
        <w:t xml:space="preserve"> 100%</w:t>
      </w:r>
      <w:r w:rsidR="009F0891" w:rsidRPr="00C56B34">
        <w:rPr>
          <w:rFonts w:ascii="Times New Roman" w:hAnsi="Times New Roman" w:cs="Times New Roman"/>
          <w:sz w:val="24"/>
          <w:szCs w:val="24"/>
        </w:rPr>
        <w:t xml:space="preserve"> cash offers is significantly </w:t>
      </w:r>
      <w:r w:rsidR="00963327">
        <w:rPr>
          <w:rFonts w:ascii="Times New Roman" w:hAnsi="Times New Roman" w:cs="Times New Roman"/>
          <w:sz w:val="24"/>
          <w:szCs w:val="24"/>
        </w:rPr>
        <w:t>greater</w:t>
      </w:r>
      <w:r w:rsidR="009F0891" w:rsidRPr="00C56B34">
        <w:rPr>
          <w:rFonts w:ascii="Times New Roman" w:hAnsi="Times New Roman" w:cs="Times New Roman"/>
          <w:sz w:val="24"/>
          <w:szCs w:val="24"/>
        </w:rPr>
        <w:t xml:space="preserve"> in cross-bor</w:t>
      </w:r>
      <w:r w:rsidR="007554C6" w:rsidRPr="00C56B34">
        <w:rPr>
          <w:rFonts w:ascii="Times New Roman" w:hAnsi="Times New Roman" w:cs="Times New Roman"/>
          <w:sz w:val="24"/>
          <w:szCs w:val="24"/>
        </w:rPr>
        <w:t xml:space="preserve">der than domestic </w:t>
      </w:r>
      <w:r w:rsidR="00580B53">
        <w:rPr>
          <w:rFonts w:ascii="Times New Roman" w:hAnsi="Times New Roman" w:cs="Times New Roman"/>
          <w:sz w:val="24"/>
          <w:szCs w:val="24"/>
        </w:rPr>
        <w:t>transactions</w:t>
      </w:r>
      <w:r w:rsidR="000A2DC4" w:rsidRPr="00C56B34">
        <w:rPr>
          <w:rFonts w:ascii="Times New Roman" w:hAnsi="Times New Roman" w:cs="Times New Roman"/>
          <w:sz w:val="24"/>
          <w:szCs w:val="24"/>
        </w:rPr>
        <w:t xml:space="preserve"> in the sample studied in this paper</w:t>
      </w:r>
      <w:r w:rsidR="007554C6" w:rsidRPr="00C56B34">
        <w:rPr>
          <w:rFonts w:ascii="Times New Roman" w:hAnsi="Times New Roman" w:cs="Times New Roman"/>
          <w:sz w:val="24"/>
          <w:szCs w:val="24"/>
        </w:rPr>
        <w:t>. B</w:t>
      </w:r>
      <w:r w:rsidR="00A35986" w:rsidRPr="00C56B34">
        <w:rPr>
          <w:rFonts w:ascii="Times New Roman" w:hAnsi="Times New Roman" w:cs="Times New Roman"/>
          <w:sz w:val="24"/>
          <w:szCs w:val="24"/>
        </w:rPr>
        <w:t>ecause of information asymmetry, ca</w:t>
      </w:r>
      <w:r w:rsidR="007554C6" w:rsidRPr="00C56B34">
        <w:rPr>
          <w:rFonts w:ascii="Times New Roman" w:hAnsi="Times New Roman" w:cs="Times New Roman"/>
          <w:sz w:val="24"/>
          <w:szCs w:val="24"/>
        </w:rPr>
        <w:t>sh bids may be forced by target shareholders</w:t>
      </w:r>
      <w:r w:rsidR="00A35986" w:rsidRPr="00C56B34">
        <w:rPr>
          <w:rFonts w:ascii="Times New Roman" w:hAnsi="Times New Roman" w:cs="Times New Roman"/>
          <w:sz w:val="24"/>
          <w:szCs w:val="24"/>
        </w:rPr>
        <w:t xml:space="preserve"> who are </w:t>
      </w:r>
      <w:r w:rsidR="00580B53">
        <w:rPr>
          <w:rFonts w:ascii="Times New Roman" w:hAnsi="Times New Roman" w:cs="Times New Roman"/>
          <w:sz w:val="24"/>
          <w:szCs w:val="24"/>
        </w:rPr>
        <w:t>unwilling</w:t>
      </w:r>
      <w:r w:rsidR="00A35986" w:rsidRPr="00C56B34">
        <w:rPr>
          <w:rFonts w:ascii="Times New Roman" w:hAnsi="Times New Roman" w:cs="Times New Roman"/>
          <w:sz w:val="24"/>
          <w:szCs w:val="24"/>
        </w:rPr>
        <w:t xml:space="preserve"> to accept </w:t>
      </w:r>
      <w:r w:rsidR="00580B53">
        <w:rPr>
          <w:rFonts w:ascii="Times New Roman" w:hAnsi="Times New Roman" w:cs="Times New Roman"/>
          <w:sz w:val="24"/>
          <w:szCs w:val="24"/>
        </w:rPr>
        <w:t>international</w:t>
      </w:r>
      <w:r w:rsidR="00A35986" w:rsidRPr="00C56B34">
        <w:rPr>
          <w:rFonts w:ascii="Times New Roman" w:hAnsi="Times New Roman" w:cs="Times New Roman"/>
          <w:sz w:val="24"/>
          <w:szCs w:val="24"/>
        </w:rPr>
        <w:t xml:space="preserve"> equity (</w:t>
      </w:r>
      <w:r w:rsidR="00B40529" w:rsidRPr="00C56B34">
        <w:rPr>
          <w:rFonts w:ascii="Times New Roman" w:hAnsi="Times New Roman" w:cs="Times New Roman"/>
          <w:sz w:val="24"/>
          <w:szCs w:val="24"/>
        </w:rPr>
        <w:t>Davidson and Cheng, 1997</w:t>
      </w:r>
      <w:r w:rsidR="00A35986" w:rsidRPr="00C56B34">
        <w:rPr>
          <w:rFonts w:ascii="Times New Roman" w:hAnsi="Times New Roman" w:cs="Times New Roman"/>
          <w:sz w:val="24"/>
          <w:szCs w:val="24"/>
        </w:rPr>
        <w:t xml:space="preserve">). Because cash bids have a </w:t>
      </w:r>
      <w:r w:rsidR="00580B53">
        <w:rPr>
          <w:rFonts w:ascii="Times New Roman" w:hAnsi="Times New Roman" w:cs="Times New Roman"/>
          <w:sz w:val="24"/>
          <w:szCs w:val="24"/>
        </w:rPr>
        <w:t>favorable</w:t>
      </w:r>
      <w:r w:rsidR="00A35986" w:rsidRPr="00C56B34">
        <w:rPr>
          <w:rFonts w:ascii="Times New Roman" w:hAnsi="Times New Roman" w:cs="Times New Roman"/>
          <w:sz w:val="24"/>
          <w:szCs w:val="24"/>
        </w:rPr>
        <w:t xml:space="preserve"> signal to the market</w:t>
      </w:r>
      <w:r w:rsidR="000A2DC4" w:rsidRPr="00C56B34">
        <w:rPr>
          <w:rFonts w:ascii="Times New Roman" w:hAnsi="Times New Roman" w:cs="Times New Roman"/>
          <w:sz w:val="24"/>
          <w:szCs w:val="24"/>
        </w:rPr>
        <w:t xml:space="preserve"> and are more likely in cross-border bids</w:t>
      </w:r>
      <w:r w:rsidR="00A35986" w:rsidRPr="00C56B34">
        <w:rPr>
          <w:rFonts w:ascii="Times New Roman" w:hAnsi="Times New Roman" w:cs="Times New Roman"/>
          <w:sz w:val="24"/>
          <w:szCs w:val="24"/>
        </w:rPr>
        <w:t xml:space="preserve">, </w:t>
      </w:r>
      <w:r w:rsidR="00580B53" w:rsidRPr="00580B53">
        <w:rPr>
          <w:rFonts w:ascii="Times New Roman" w:hAnsi="Times New Roman" w:cs="Times New Roman"/>
          <w:sz w:val="24"/>
          <w:szCs w:val="24"/>
        </w:rPr>
        <w:t xml:space="preserve">the shareholders of target firms can gain more abnormal returns in cross-border than in domestic acquisitions </w:t>
      </w:r>
      <w:r w:rsidR="00A35986" w:rsidRPr="00C56B34">
        <w:rPr>
          <w:rFonts w:ascii="Times New Roman" w:hAnsi="Times New Roman" w:cs="Times New Roman"/>
          <w:sz w:val="24"/>
          <w:szCs w:val="24"/>
        </w:rPr>
        <w:t>(Fishman, 1989).</w:t>
      </w:r>
      <w:r w:rsidR="00FC5E96" w:rsidRPr="00C56B34">
        <w:rPr>
          <w:rFonts w:ascii="Times New Roman" w:hAnsi="Times New Roman" w:cs="Times New Roman"/>
          <w:sz w:val="24"/>
          <w:szCs w:val="24"/>
        </w:rPr>
        <w:t xml:space="preserve"> </w:t>
      </w:r>
    </w:p>
    <w:p w14:paraId="5ECBE138" w14:textId="5B3DEACE" w:rsidR="005E664D" w:rsidRPr="00C56B34" w:rsidRDefault="0030036D" w:rsidP="007E2FE1">
      <w:pPr>
        <w:pStyle w:val="ListParagraph"/>
        <w:numPr>
          <w:ilvl w:val="0"/>
          <w:numId w:val="4"/>
        </w:numPr>
        <w:spacing w:after="0" w:line="360" w:lineRule="auto"/>
        <w:jc w:val="both"/>
        <w:rPr>
          <w:rFonts w:ascii="Times New Roman" w:hAnsi="Times New Roman" w:cs="Times New Roman"/>
          <w:sz w:val="24"/>
          <w:szCs w:val="24"/>
        </w:rPr>
      </w:pPr>
      <w:r w:rsidRPr="00C56B34">
        <w:rPr>
          <w:rFonts w:ascii="Times New Roman" w:hAnsi="Times New Roman" w:cs="Times New Roman"/>
          <w:i/>
          <w:iCs/>
          <w:sz w:val="24"/>
          <w:szCs w:val="24"/>
        </w:rPr>
        <w:t>Deal Attitude</w:t>
      </w:r>
      <w:r w:rsidR="00256345" w:rsidRPr="00C56B34">
        <w:rPr>
          <w:rFonts w:ascii="Times New Roman" w:hAnsi="Times New Roman" w:cs="Times New Roman"/>
          <w:i/>
          <w:iCs/>
          <w:sz w:val="24"/>
          <w:szCs w:val="24"/>
        </w:rPr>
        <w:t xml:space="preserve">: </w:t>
      </w:r>
      <w:r w:rsidR="009314F8" w:rsidRPr="00C56B34">
        <w:rPr>
          <w:rFonts w:ascii="Times New Roman" w:hAnsi="Times New Roman" w:cs="Times New Roman"/>
          <w:iCs/>
          <w:sz w:val="24"/>
          <w:szCs w:val="24"/>
        </w:rPr>
        <w:t xml:space="preserve">Dewenter (1995) have found that </w:t>
      </w:r>
      <w:r w:rsidR="007E2FE1">
        <w:rPr>
          <w:rFonts w:ascii="Times New Roman" w:hAnsi="Times New Roman" w:cs="Times New Roman"/>
          <w:iCs/>
          <w:sz w:val="24"/>
          <w:szCs w:val="24"/>
        </w:rPr>
        <w:t>international</w:t>
      </w:r>
      <w:r w:rsidR="009314F8" w:rsidRPr="00C56B34">
        <w:rPr>
          <w:rFonts w:ascii="Times New Roman" w:hAnsi="Times New Roman" w:cs="Times New Roman"/>
          <w:iCs/>
          <w:sz w:val="24"/>
          <w:szCs w:val="24"/>
        </w:rPr>
        <w:t xml:space="preserve"> bidders to bid more aggressively than domestic bidders; in essence, they pay higher than domestic bidders</w:t>
      </w:r>
      <w:r w:rsidR="00A55327">
        <w:rPr>
          <w:rFonts w:ascii="Times New Roman" w:hAnsi="Times New Roman" w:cs="Times New Roman"/>
          <w:iCs/>
          <w:sz w:val="24"/>
          <w:szCs w:val="24"/>
        </w:rPr>
        <w:t xml:space="preserve"> do</w:t>
      </w:r>
      <w:r w:rsidR="009314F8" w:rsidRPr="00C56B34">
        <w:rPr>
          <w:rFonts w:ascii="Times New Roman" w:hAnsi="Times New Roman" w:cs="Times New Roman"/>
          <w:iCs/>
          <w:sz w:val="24"/>
          <w:szCs w:val="24"/>
        </w:rPr>
        <w:t xml:space="preserve">. In addition, </w:t>
      </w:r>
      <w:r w:rsidR="007E2FE1">
        <w:rPr>
          <w:rFonts w:ascii="Times New Roman" w:hAnsi="Times New Roman" w:cs="Times New Roman"/>
          <w:iCs/>
          <w:sz w:val="24"/>
          <w:szCs w:val="24"/>
        </w:rPr>
        <w:t>i</w:t>
      </w:r>
      <w:r w:rsidR="007E2FE1" w:rsidRPr="007E2FE1">
        <w:rPr>
          <w:rFonts w:ascii="Times New Roman" w:hAnsi="Times New Roman" w:cs="Times New Roman"/>
          <w:iCs/>
          <w:sz w:val="24"/>
          <w:szCs w:val="24"/>
        </w:rPr>
        <w:t xml:space="preserve">n a hostile takeover, target shareholders will benefit more than in other kinds of agreement </w:t>
      </w:r>
      <w:r w:rsidR="009314F8" w:rsidRPr="00C56B34">
        <w:rPr>
          <w:rFonts w:ascii="Times New Roman" w:hAnsi="Times New Roman" w:cs="Times New Roman"/>
          <w:iCs/>
          <w:sz w:val="24"/>
          <w:szCs w:val="24"/>
        </w:rPr>
        <w:t>(Franks</w:t>
      </w:r>
      <w:r w:rsidR="009314F8" w:rsidRPr="00C56B34">
        <w:rPr>
          <w:rFonts w:ascii="Times New Roman" w:hAnsi="Times New Roman" w:cs="Times New Roman"/>
          <w:sz w:val="24"/>
          <w:szCs w:val="24"/>
        </w:rPr>
        <w:t xml:space="preserve"> and Harris, 1989; Franks and Mayer, 1996). </w:t>
      </w:r>
      <w:r w:rsidR="00147ACF" w:rsidRPr="00C56B34">
        <w:rPr>
          <w:rFonts w:ascii="Times New Roman" w:hAnsi="Times New Roman" w:cs="Times New Roman"/>
          <w:sz w:val="24"/>
          <w:szCs w:val="24"/>
        </w:rPr>
        <w:t xml:space="preserve"> </w:t>
      </w:r>
      <w:r w:rsidR="007E2FE1" w:rsidRPr="007E2FE1">
        <w:rPr>
          <w:rFonts w:ascii="Times New Roman" w:hAnsi="Times New Roman" w:cs="Times New Roman"/>
          <w:sz w:val="24"/>
          <w:szCs w:val="24"/>
        </w:rPr>
        <w:t>Therefore, if hostile offers in cross-border acquisitions are more probable, then targets in international acquisitions will reap greater abnormal returns than those in domestic bids. However, it could also be seen in Table 1 that the percentage of hostile offers in cross-border than domestic deals in the sample studied in this paper is lower, but not statistically significant; therefore, it is not anticipated that the deal attitude will affect the level of abnormal returns of target firms in international deals.</w:t>
      </w:r>
    </w:p>
    <w:p w14:paraId="0245B562" w14:textId="68EFF316" w:rsidR="00145547" w:rsidRPr="00145547" w:rsidRDefault="00A57399" w:rsidP="00145547">
      <w:pPr>
        <w:pStyle w:val="ListParagraph"/>
        <w:numPr>
          <w:ilvl w:val="0"/>
          <w:numId w:val="4"/>
        </w:numPr>
        <w:spacing w:after="0" w:line="360" w:lineRule="auto"/>
        <w:jc w:val="both"/>
        <w:rPr>
          <w:rFonts w:ascii="Times New Roman" w:hAnsi="Times New Roman" w:cs="Times New Roman"/>
          <w:sz w:val="24"/>
          <w:szCs w:val="24"/>
        </w:rPr>
      </w:pPr>
      <w:r w:rsidRPr="00145547">
        <w:rPr>
          <w:rFonts w:ascii="Times New Roman" w:hAnsi="Times New Roman" w:cs="Times New Roman"/>
          <w:i/>
          <w:iCs/>
          <w:sz w:val="24"/>
          <w:szCs w:val="24"/>
        </w:rPr>
        <w:t>Industry effect:</w:t>
      </w:r>
      <w:r w:rsidRPr="00145547">
        <w:rPr>
          <w:rFonts w:ascii="Times New Roman" w:hAnsi="Times New Roman" w:cs="Times New Roman"/>
          <w:sz w:val="24"/>
          <w:szCs w:val="24"/>
        </w:rPr>
        <w:t xml:space="preserve"> </w:t>
      </w:r>
      <w:r w:rsidR="00147ACF" w:rsidRPr="00145547">
        <w:rPr>
          <w:rFonts w:ascii="Times New Roman" w:hAnsi="Times New Roman" w:cs="Times New Roman"/>
          <w:sz w:val="24"/>
          <w:szCs w:val="24"/>
        </w:rPr>
        <w:t xml:space="preserve"> </w:t>
      </w:r>
      <w:r w:rsidR="00EE7DCF" w:rsidRPr="00145547">
        <w:rPr>
          <w:rFonts w:ascii="Times New Roman" w:hAnsi="Times New Roman" w:cs="Times New Roman"/>
          <w:bCs/>
          <w:sz w:val="24"/>
        </w:rPr>
        <w:t xml:space="preserve">Because industrial diversification can offset the positive effects of international diversification (Bodnar </w:t>
      </w:r>
      <w:r w:rsidR="00EE7DCF" w:rsidRPr="00145547">
        <w:rPr>
          <w:rFonts w:ascii="Times New Roman" w:hAnsi="Times New Roman" w:cs="Times New Roman"/>
          <w:bCs/>
          <w:i/>
          <w:sz w:val="24"/>
        </w:rPr>
        <w:t>et al.</w:t>
      </w:r>
      <w:r w:rsidR="00EE7DCF" w:rsidRPr="00145547">
        <w:rPr>
          <w:rFonts w:ascii="Times New Roman" w:hAnsi="Times New Roman" w:cs="Times New Roman"/>
          <w:bCs/>
          <w:sz w:val="24"/>
        </w:rPr>
        <w:t xml:space="preserve">, 1997), controlling for industry effects will be crucial to have a well-rounded analysis. </w:t>
      </w:r>
      <w:r w:rsidR="005614B5" w:rsidRPr="00145547">
        <w:rPr>
          <w:rFonts w:ascii="Times New Roman" w:hAnsi="Times New Roman" w:cs="Times New Roman"/>
          <w:bCs/>
          <w:sz w:val="24"/>
        </w:rPr>
        <w:t>Table 1</w:t>
      </w:r>
      <w:r w:rsidR="00AB143B" w:rsidRPr="00145547">
        <w:rPr>
          <w:rFonts w:ascii="Times New Roman" w:hAnsi="Times New Roman" w:cs="Times New Roman"/>
          <w:bCs/>
          <w:color w:val="FF0000"/>
          <w:sz w:val="24"/>
        </w:rPr>
        <w:t xml:space="preserve"> </w:t>
      </w:r>
      <w:r w:rsidR="00AB143B" w:rsidRPr="00145547">
        <w:rPr>
          <w:rFonts w:ascii="Times New Roman" w:hAnsi="Times New Roman" w:cs="Times New Roman"/>
          <w:bCs/>
          <w:sz w:val="24"/>
        </w:rPr>
        <w:t>display</w:t>
      </w:r>
      <w:r w:rsidR="00DB0A33">
        <w:rPr>
          <w:rFonts w:ascii="Times New Roman" w:hAnsi="Times New Roman" w:cs="Times New Roman"/>
          <w:bCs/>
          <w:sz w:val="24"/>
        </w:rPr>
        <w:t>s</w:t>
      </w:r>
      <w:r w:rsidR="00AB143B" w:rsidRPr="00145547">
        <w:rPr>
          <w:rFonts w:ascii="Times New Roman" w:hAnsi="Times New Roman" w:cs="Times New Roman"/>
          <w:bCs/>
          <w:sz w:val="24"/>
        </w:rPr>
        <w:t xml:space="preserve"> the main indust</w:t>
      </w:r>
      <w:r w:rsidR="005614B5" w:rsidRPr="00145547">
        <w:rPr>
          <w:rFonts w:ascii="Times New Roman" w:hAnsi="Times New Roman" w:cs="Times New Roman"/>
          <w:bCs/>
          <w:sz w:val="24"/>
        </w:rPr>
        <w:t>ry groups in the data analyzed.</w:t>
      </w:r>
      <w:r w:rsidR="00404700" w:rsidRPr="00145547">
        <w:rPr>
          <w:rFonts w:ascii="Times New Roman" w:hAnsi="Times New Roman" w:cs="Times New Roman"/>
          <w:bCs/>
          <w:sz w:val="24"/>
        </w:rPr>
        <w:t xml:space="preserve"> </w:t>
      </w:r>
      <w:r w:rsidR="00145547" w:rsidRPr="00145547">
        <w:rPr>
          <w:rFonts w:ascii="Times New Roman" w:hAnsi="Times New Roman" w:cs="Times New Roman"/>
          <w:bCs/>
          <w:sz w:val="24"/>
        </w:rPr>
        <w:t>As seen in Table 1, there appears to be a significant difference in the distribution of target firms in different industries in cross-border and domestic acquisitions; hence, an impact on the rate of abnormal return can be anticipated for these variations.</w:t>
      </w:r>
    </w:p>
    <w:p w14:paraId="2E00DDD8" w14:textId="59ADBA6B" w:rsidR="00A3202B" w:rsidRPr="00145547" w:rsidRDefault="00EA17B2" w:rsidP="00145547">
      <w:pPr>
        <w:pStyle w:val="ListParagraph"/>
        <w:numPr>
          <w:ilvl w:val="0"/>
          <w:numId w:val="4"/>
        </w:numPr>
        <w:spacing w:after="0" w:line="360" w:lineRule="auto"/>
        <w:jc w:val="both"/>
        <w:rPr>
          <w:rFonts w:ascii="Times New Roman" w:hAnsi="Times New Roman" w:cs="Times New Roman"/>
          <w:sz w:val="24"/>
          <w:szCs w:val="24"/>
        </w:rPr>
      </w:pPr>
      <w:r w:rsidRPr="00145547">
        <w:rPr>
          <w:rFonts w:ascii="Times New Roman" w:hAnsi="Times New Roman" w:cs="Times New Roman"/>
          <w:i/>
          <w:sz w:val="24"/>
          <w:szCs w:val="24"/>
        </w:rPr>
        <w:lastRenderedPageBreak/>
        <w:t xml:space="preserve">Related: </w:t>
      </w:r>
      <w:r w:rsidR="00145547" w:rsidRPr="00145547">
        <w:rPr>
          <w:rFonts w:ascii="Times New Roman" w:hAnsi="Times New Roman" w:cs="Times New Roman"/>
          <w:sz w:val="24"/>
          <w:szCs w:val="24"/>
        </w:rPr>
        <w:t>Previous studies suggest that controlling whether the target and the bidder belong to the same or distinct industries will affect the cross-border effect</w:t>
      </w:r>
      <w:r w:rsidRPr="00145547">
        <w:rPr>
          <w:rFonts w:ascii="Times New Roman" w:hAnsi="Times New Roman" w:cs="Times New Roman"/>
          <w:sz w:val="24"/>
          <w:szCs w:val="24"/>
        </w:rPr>
        <w:t xml:space="preserve">; for example, </w:t>
      </w:r>
      <w:r w:rsidR="00145547" w:rsidRPr="00145547">
        <w:rPr>
          <w:rFonts w:ascii="Times New Roman" w:hAnsi="Times New Roman" w:cs="Times New Roman"/>
          <w:sz w:val="24"/>
          <w:szCs w:val="24"/>
        </w:rPr>
        <w:t xml:space="preserve">Cakici </w:t>
      </w:r>
      <w:r w:rsidR="00145547" w:rsidRPr="00145547">
        <w:rPr>
          <w:rFonts w:ascii="Times New Roman" w:hAnsi="Times New Roman" w:cs="Times New Roman"/>
          <w:i/>
          <w:sz w:val="24"/>
          <w:szCs w:val="24"/>
        </w:rPr>
        <w:t>et al.</w:t>
      </w:r>
      <w:r w:rsidR="00145547" w:rsidRPr="00145547">
        <w:rPr>
          <w:rFonts w:ascii="Times New Roman" w:hAnsi="Times New Roman" w:cs="Times New Roman"/>
          <w:sz w:val="24"/>
          <w:szCs w:val="24"/>
        </w:rPr>
        <w:t xml:space="preserve"> (1991) found that the target firm cross-border effect </w:t>
      </w:r>
      <w:r w:rsidR="00145547">
        <w:rPr>
          <w:rFonts w:ascii="Times New Roman" w:hAnsi="Times New Roman" w:cs="Times New Roman"/>
          <w:sz w:val="24"/>
          <w:szCs w:val="24"/>
        </w:rPr>
        <w:t>is higher in conglomerate deals</w:t>
      </w:r>
      <w:r w:rsidR="00A3202B" w:rsidRPr="00145547">
        <w:rPr>
          <w:rFonts w:ascii="Times New Roman" w:hAnsi="Times New Roman" w:cs="Times New Roman"/>
          <w:sz w:val="24"/>
          <w:szCs w:val="24"/>
        </w:rPr>
        <w:t>. In the cross-sect</w:t>
      </w:r>
      <w:r w:rsidR="005614B5" w:rsidRPr="00145547">
        <w:rPr>
          <w:rFonts w:ascii="Times New Roman" w:hAnsi="Times New Roman" w:cs="Times New Roman"/>
          <w:sz w:val="24"/>
          <w:szCs w:val="24"/>
        </w:rPr>
        <w:t>ional analysis a dummy variable, which takes a value of 1 if both the target and acquirer are from the same industry and 0 otherwise, will be used to control for this effect.</w:t>
      </w:r>
    </w:p>
    <w:p w14:paraId="4B6B503F" w14:textId="7D4EB1B6" w:rsidR="00592886" w:rsidRPr="00592886" w:rsidRDefault="00A3202B" w:rsidP="006A55FA">
      <w:pPr>
        <w:pStyle w:val="ListParagraph"/>
        <w:numPr>
          <w:ilvl w:val="0"/>
          <w:numId w:val="4"/>
        </w:numPr>
        <w:spacing w:after="0" w:line="360" w:lineRule="auto"/>
        <w:jc w:val="both"/>
        <w:rPr>
          <w:rFonts w:ascii="Times New Roman" w:hAnsi="Times New Roman" w:cs="Times New Roman"/>
          <w:sz w:val="24"/>
          <w:szCs w:val="24"/>
        </w:rPr>
      </w:pPr>
      <w:r w:rsidRPr="00CB2009">
        <w:rPr>
          <w:rFonts w:ascii="Times New Roman" w:hAnsi="Times New Roman" w:cs="Times New Roman"/>
          <w:sz w:val="24"/>
          <w:szCs w:val="24"/>
        </w:rPr>
        <w:t xml:space="preserve"> </w:t>
      </w:r>
      <w:r w:rsidR="005614B5" w:rsidRPr="00CB2009">
        <w:rPr>
          <w:rFonts w:ascii="Times New Roman" w:hAnsi="Times New Roman" w:cs="Times New Roman"/>
          <w:i/>
          <w:sz w:val="24"/>
          <w:szCs w:val="24"/>
        </w:rPr>
        <w:t>Financial multiplies</w:t>
      </w:r>
      <w:r w:rsidR="00592886">
        <w:rPr>
          <w:rFonts w:ascii="Times New Roman" w:hAnsi="Times New Roman" w:cs="Times New Roman"/>
          <w:i/>
          <w:sz w:val="24"/>
          <w:szCs w:val="24"/>
        </w:rPr>
        <w:t xml:space="preserve">: </w:t>
      </w:r>
      <w:r w:rsidR="00CB2009" w:rsidRPr="00592886">
        <w:rPr>
          <w:rFonts w:ascii="Times New Roman" w:hAnsi="Times New Roman" w:cs="Times New Roman"/>
          <w:sz w:val="24"/>
          <w:szCs w:val="24"/>
        </w:rPr>
        <w:t xml:space="preserve">Previous studies have found </w:t>
      </w:r>
      <w:r w:rsidR="00BD3349">
        <w:rPr>
          <w:rFonts w:ascii="Times New Roman" w:hAnsi="Times New Roman" w:cs="Times New Roman"/>
          <w:sz w:val="24"/>
          <w:szCs w:val="24"/>
        </w:rPr>
        <w:t xml:space="preserve">that the growth ratios of </w:t>
      </w:r>
      <w:r w:rsidR="00DF6DB2">
        <w:rPr>
          <w:rFonts w:ascii="Times New Roman" w:hAnsi="Times New Roman" w:cs="Times New Roman"/>
          <w:sz w:val="24"/>
          <w:szCs w:val="24"/>
        </w:rPr>
        <w:t xml:space="preserve">the </w:t>
      </w:r>
      <w:r w:rsidR="00BD3349">
        <w:rPr>
          <w:rFonts w:ascii="Times New Roman" w:hAnsi="Times New Roman" w:cs="Times New Roman"/>
          <w:sz w:val="24"/>
          <w:szCs w:val="24"/>
        </w:rPr>
        <w:t>target firm</w:t>
      </w:r>
      <w:r w:rsidR="00CB2009" w:rsidRPr="00592886">
        <w:rPr>
          <w:rFonts w:ascii="Times New Roman" w:hAnsi="Times New Roman" w:cs="Times New Roman"/>
          <w:sz w:val="24"/>
          <w:szCs w:val="24"/>
        </w:rPr>
        <w:t xml:space="preserve"> will have an influence on the level of </w:t>
      </w:r>
      <w:r w:rsidR="00BD3349">
        <w:rPr>
          <w:rFonts w:ascii="Times New Roman" w:hAnsi="Times New Roman" w:cs="Times New Roman"/>
          <w:sz w:val="24"/>
          <w:szCs w:val="24"/>
        </w:rPr>
        <w:t xml:space="preserve">cumulative </w:t>
      </w:r>
      <w:r w:rsidR="00CB2009" w:rsidRPr="00592886">
        <w:rPr>
          <w:rFonts w:ascii="Times New Roman" w:hAnsi="Times New Roman" w:cs="Times New Roman"/>
          <w:sz w:val="24"/>
          <w:szCs w:val="24"/>
        </w:rPr>
        <w:t xml:space="preserve">abnormal returns around the announcement date of the deal. Goergen and Ranneboog (2004) have found that target’s with high growth ratios will have higher abnormal returns around the announcement date of the deal. In this study, the growth rate of net assets, earnings-per-share (EPS) and earnings before interests and taxes and the one year, prior to </w:t>
      </w:r>
      <w:r w:rsidR="00DF6DB2">
        <w:rPr>
          <w:rFonts w:ascii="Times New Roman" w:hAnsi="Times New Roman" w:cs="Times New Roman"/>
          <w:sz w:val="24"/>
          <w:szCs w:val="24"/>
        </w:rPr>
        <w:t xml:space="preserve">the </w:t>
      </w:r>
      <w:r w:rsidR="00CB2009" w:rsidRPr="00592886">
        <w:rPr>
          <w:rFonts w:ascii="Times New Roman" w:hAnsi="Times New Roman" w:cs="Times New Roman"/>
          <w:sz w:val="24"/>
          <w:szCs w:val="24"/>
        </w:rPr>
        <w:t xml:space="preserve">bid, average EPS and ratio of enterprise value to earnings before interest, tax, depreciation, and amortization will be used to indicate the growth of target firms. It can be seen in table 1 that the target firms’ EPS in the sample studied is, on average, higher for target firms in cross-border deals than in domestic deals; therefore, </w:t>
      </w:r>
      <w:r w:rsidR="006A55FA" w:rsidRPr="006A55FA">
        <w:rPr>
          <w:rFonts w:ascii="Times New Roman" w:hAnsi="Times New Roman" w:cs="Times New Roman"/>
          <w:sz w:val="24"/>
          <w:szCs w:val="24"/>
        </w:rPr>
        <w:t>EPS may be anticipated to affect the level of cumulative abnormal returns to target firms in overseas bids.</w:t>
      </w:r>
    </w:p>
    <w:p w14:paraId="0D6E0C2F" w14:textId="7D379D25" w:rsidR="00174446" w:rsidRDefault="00454B41" w:rsidP="006A55FA">
      <w:pPr>
        <w:pStyle w:val="ListParagraph"/>
        <w:numPr>
          <w:ilvl w:val="0"/>
          <w:numId w:val="4"/>
        </w:numPr>
        <w:spacing w:after="0" w:line="360" w:lineRule="auto"/>
        <w:jc w:val="both"/>
        <w:rPr>
          <w:rFonts w:ascii="Times New Roman" w:hAnsi="Times New Roman" w:cs="Times New Roman"/>
          <w:sz w:val="24"/>
          <w:szCs w:val="24"/>
        </w:rPr>
      </w:pPr>
      <w:r w:rsidRPr="006A55FA">
        <w:rPr>
          <w:rFonts w:ascii="Times New Roman" w:hAnsi="Times New Roman" w:cs="Times New Roman"/>
          <w:i/>
          <w:iCs/>
          <w:sz w:val="24"/>
          <w:szCs w:val="24"/>
        </w:rPr>
        <w:t xml:space="preserve">Size: </w:t>
      </w:r>
      <w:r w:rsidRPr="006A55FA">
        <w:rPr>
          <w:rFonts w:ascii="Times New Roman" w:hAnsi="Times New Roman" w:cs="Times New Roman"/>
          <w:sz w:val="24"/>
          <w:szCs w:val="24"/>
        </w:rPr>
        <w:t>Previous studies have found bidders to be more generous with smaller targets</w:t>
      </w:r>
      <w:r w:rsidR="00F568C0" w:rsidRPr="006A55FA">
        <w:rPr>
          <w:rFonts w:ascii="Times New Roman" w:hAnsi="Times New Roman" w:cs="Times New Roman"/>
          <w:sz w:val="24"/>
          <w:szCs w:val="24"/>
        </w:rPr>
        <w:t xml:space="preserve">; hence, </w:t>
      </w:r>
      <w:r w:rsidR="00592886" w:rsidRPr="006A55FA">
        <w:rPr>
          <w:rFonts w:ascii="Times New Roman" w:hAnsi="Times New Roman" w:cs="Times New Roman"/>
          <w:sz w:val="24"/>
          <w:szCs w:val="24"/>
        </w:rPr>
        <w:t xml:space="preserve">a </w:t>
      </w:r>
      <w:r w:rsidR="00F568C0" w:rsidRPr="006A55FA">
        <w:rPr>
          <w:rFonts w:ascii="Times New Roman" w:hAnsi="Times New Roman" w:cs="Times New Roman"/>
          <w:sz w:val="24"/>
          <w:szCs w:val="24"/>
        </w:rPr>
        <w:t>higher premium for small than larger target firms (Peterson and Peterson, 1991).</w:t>
      </w:r>
      <w:r w:rsidRPr="006A55FA">
        <w:rPr>
          <w:rFonts w:ascii="Times New Roman" w:hAnsi="Times New Roman" w:cs="Times New Roman"/>
          <w:sz w:val="24"/>
          <w:szCs w:val="24"/>
        </w:rPr>
        <w:t xml:space="preserve"> </w:t>
      </w:r>
      <w:r w:rsidR="00E75779" w:rsidRPr="006A55FA">
        <w:rPr>
          <w:rFonts w:ascii="Times New Roman" w:hAnsi="Times New Roman" w:cs="Times New Roman"/>
          <w:sz w:val="24"/>
          <w:szCs w:val="24"/>
        </w:rPr>
        <w:t xml:space="preserve">As seen in table1, in the sample used, the average size of target firms in cross-border </w:t>
      </w:r>
      <w:r w:rsidR="006A55FA" w:rsidRPr="006A55FA">
        <w:rPr>
          <w:rFonts w:ascii="Times New Roman" w:hAnsi="Times New Roman" w:cs="Times New Roman"/>
          <w:sz w:val="24"/>
          <w:szCs w:val="24"/>
        </w:rPr>
        <w:t>deals</w:t>
      </w:r>
      <w:r w:rsidR="00E75779" w:rsidRPr="006A55FA">
        <w:rPr>
          <w:rFonts w:ascii="Times New Roman" w:hAnsi="Times New Roman" w:cs="Times New Roman"/>
          <w:sz w:val="24"/>
          <w:szCs w:val="24"/>
        </w:rPr>
        <w:t xml:space="preserve"> </w:t>
      </w:r>
      <w:r w:rsidR="00592886" w:rsidRPr="006A55FA">
        <w:rPr>
          <w:rFonts w:ascii="Times New Roman" w:hAnsi="Times New Roman" w:cs="Times New Roman"/>
          <w:sz w:val="24"/>
          <w:szCs w:val="24"/>
        </w:rPr>
        <w:t>is</w:t>
      </w:r>
      <w:r w:rsidR="00E75779" w:rsidRPr="006A55FA">
        <w:rPr>
          <w:rFonts w:ascii="Times New Roman" w:hAnsi="Times New Roman" w:cs="Times New Roman"/>
          <w:sz w:val="24"/>
          <w:szCs w:val="24"/>
        </w:rPr>
        <w:t xml:space="preserve"> significantly </w:t>
      </w:r>
      <w:r w:rsidR="006A55FA" w:rsidRPr="006A55FA">
        <w:rPr>
          <w:rFonts w:ascii="Times New Roman" w:hAnsi="Times New Roman" w:cs="Times New Roman"/>
          <w:sz w:val="24"/>
          <w:szCs w:val="24"/>
        </w:rPr>
        <w:t>higher</w:t>
      </w:r>
      <w:r w:rsidR="00E75779" w:rsidRPr="006A55FA">
        <w:rPr>
          <w:rFonts w:ascii="Times New Roman" w:hAnsi="Times New Roman" w:cs="Times New Roman"/>
          <w:sz w:val="24"/>
          <w:szCs w:val="24"/>
        </w:rPr>
        <w:t xml:space="preserve"> than the average of those in domestic </w:t>
      </w:r>
      <w:r w:rsidR="006A55FA" w:rsidRPr="006A55FA">
        <w:rPr>
          <w:rFonts w:ascii="Times New Roman" w:hAnsi="Times New Roman" w:cs="Times New Roman"/>
          <w:sz w:val="24"/>
          <w:szCs w:val="24"/>
        </w:rPr>
        <w:t>deals</w:t>
      </w:r>
      <w:r w:rsidR="00E75779" w:rsidRPr="006A55FA">
        <w:rPr>
          <w:rFonts w:ascii="Times New Roman" w:hAnsi="Times New Roman" w:cs="Times New Roman"/>
          <w:sz w:val="24"/>
          <w:szCs w:val="24"/>
        </w:rPr>
        <w:t>; hence, it can</w:t>
      </w:r>
      <w:r w:rsidR="006A55FA" w:rsidRPr="006A55FA">
        <w:rPr>
          <w:rFonts w:ascii="Times New Roman" w:hAnsi="Times New Roman" w:cs="Times New Roman"/>
          <w:sz w:val="24"/>
          <w:szCs w:val="24"/>
        </w:rPr>
        <w:t xml:space="preserve"> be expected to</w:t>
      </w:r>
      <w:r w:rsidR="00E75779" w:rsidRPr="006A55FA">
        <w:rPr>
          <w:rFonts w:ascii="Times New Roman" w:hAnsi="Times New Roman" w:cs="Times New Roman"/>
          <w:sz w:val="24"/>
          <w:szCs w:val="24"/>
        </w:rPr>
        <w:t xml:space="preserve"> have a negative effect on the cross-border effect. </w:t>
      </w:r>
      <w:r w:rsidR="006A55FA" w:rsidRPr="006A55FA">
        <w:rPr>
          <w:rFonts w:ascii="Times New Roman" w:hAnsi="Times New Roman" w:cs="Times New Roman"/>
          <w:sz w:val="24"/>
          <w:szCs w:val="24"/>
        </w:rPr>
        <w:t>In the cross-sectional analysis, a size variable that will take the log of the pre-bid market value of the target will</w:t>
      </w:r>
      <w:r w:rsidR="006A55FA">
        <w:rPr>
          <w:rFonts w:ascii="Times New Roman" w:hAnsi="Times New Roman" w:cs="Times New Roman"/>
          <w:sz w:val="24"/>
          <w:szCs w:val="24"/>
        </w:rPr>
        <w:t xml:space="preserve"> be added as a control variable (Danbolt, 2004)</w:t>
      </w:r>
    </w:p>
    <w:p w14:paraId="1FFB0D3D" w14:textId="77777777" w:rsidR="006A55FA" w:rsidRPr="006A55FA" w:rsidRDefault="006A55FA" w:rsidP="006A55FA">
      <w:pPr>
        <w:pStyle w:val="ListParagraph"/>
        <w:spacing w:after="0" w:line="360" w:lineRule="auto"/>
        <w:ind w:left="1080"/>
        <w:jc w:val="both"/>
        <w:rPr>
          <w:rFonts w:ascii="Times New Roman" w:hAnsi="Times New Roman" w:cs="Times New Roman"/>
          <w:sz w:val="24"/>
          <w:szCs w:val="24"/>
        </w:rPr>
      </w:pPr>
    </w:p>
    <w:p w14:paraId="7FDB2221" w14:textId="07D0857D" w:rsidR="00F568C0" w:rsidRPr="00C56B34" w:rsidRDefault="00F568C0" w:rsidP="00F568C0">
      <w:pPr>
        <w:spacing w:line="360" w:lineRule="auto"/>
        <w:jc w:val="both"/>
        <w:rPr>
          <w:rFonts w:ascii="Times New Roman" w:hAnsi="Times New Roman" w:cs="Times New Roman"/>
          <w:bCs/>
          <w:i/>
          <w:sz w:val="24"/>
          <w:szCs w:val="24"/>
        </w:rPr>
      </w:pPr>
      <w:r w:rsidRPr="00C56B34">
        <w:rPr>
          <w:rFonts w:ascii="Times New Roman" w:hAnsi="Times New Roman" w:cs="Times New Roman"/>
          <w:bCs/>
          <w:i/>
          <w:sz w:val="24"/>
          <w:szCs w:val="24"/>
        </w:rPr>
        <w:t>2</w:t>
      </w:r>
      <w:r w:rsidR="006A55FA">
        <w:rPr>
          <w:rFonts w:ascii="Times New Roman" w:hAnsi="Times New Roman" w:cs="Times New Roman"/>
          <w:bCs/>
          <w:i/>
          <w:sz w:val="24"/>
          <w:szCs w:val="24"/>
        </w:rPr>
        <w:t>.2 Hypotheses</w:t>
      </w:r>
    </w:p>
    <w:p w14:paraId="19AAADF0" w14:textId="69398634" w:rsidR="0031610F" w:rsidRPr="00C56B34" w:rsidRDefault="006A55FA" w:rsidP="00726A89">
      <w:pPr>
        <w:spacing w:after="0" w:line="360" w:lineRule="auto"/>
        <w:jc w:val="both"/>
        <w:rPr>
          <w:rFonts w:ascii="Times New Roman" w:hAnsi="Times New Roman" w:cs="Times New Roman"/>
          <w:sz w:val="24"/>
          <w:szCs w:val="24"/>
        </w:rPr>
      </w:pPr>
      <w:r w:rsidRPr="006A55FA">
        <w:rPr>
          <w:rFonts w:ascii="Times New Roman" w:hAnsi="Times New Roman" w:cs="Times New Roman"/>
          <w:sz w:val="24"/>
          <w:szCs w:val="24"/>
        </w:rPr>
        <w:t>Several hypotheses will be generated to answer the research question, which is stated as follows</w:t>
      </w:r>
      <w:r w:rsidR="00F568C0" w:rsidRPr="00C56B34">
        <w:rPr>
          <w:rFonts w:ascii="Times New Roman" w:hAnsi="Times New Roman" w:cs="Times New Roman"/>
          <w:sz w:val="24"/>
          <w:szCs w:val="24"/>
        </w:rPr>
        <w:t xml:space="preserve">: </w:t>
      </w:r>
    </w:p>
    <w:p w14:paraId="3A1813C1" w14:textId="77777777" w:rsidR="00726A89" w:rsidRPr="00C56B34" w:rsidRDefault="00726A89" w:rsidP="00726A89">
      <w:pPr>
        <w:spacing w:after="0" w:line="360" w:lineRule="auto"/>
        <w:jc w:val="both"/>
        <w:rPr>
          <w:rFonts w:ascii="Times New Roman" w:hAnsi="Times New Roman" w:cs="Times New Roman"/>
          <w:sz w:val="24"/>
          <w:szCs w:val="24"/>
        </w:rPr>
      </w:pPr>
    </w:p>
    <w:p w14:paraId="647939C9" w14:textId="38E2F527" w:rsidR="0031610F" w:rsidRPr="00C56B34" w:rsidRDefault="00B069FB" w:rsidP="00726A89">
      <w:pPr>
        <w:spacing w:after="0" w:line="360" w:lineRule="auto"/>
        <w:ind w:left="720"/>
        <w:jc w:val="both"/>
        <w:rPr>
          <w:rFonts w:ascii="Times New Roman" w:hAnsi="Times New Roman" w:cs="Times New Roman"/>
          <w:i/>
          <w:iCs/>
          <w:sz w:val="24"/>
          <w:szCs w:val="24"/>
        </w:rPr>
      </w:pPr>
      <w:r w:rsidRPr="00C56B34">
        <w:rPr>
          <w:rFonts w:ascii="Times New Roman" w:hAnsi="Times New Roman" w:cs="Times New Roman"/>
          <w:i/>
          <w:iCs/>
          <w:sz w:val="24"/>
          <w:szCs w:val="24"/>
        </w:rPr>
        <w:t>Do Western European Target firms, acquired by foreign bidders, experience cross-border effect, and, if so, what drives the cross-border effect?</w:t>
      </w:r>
    </w:p>
    <w:p w14:paraId="712CA9AA" w14:textId="77777777" w:rsidR="00726A89" w:rsidRPr="00C56B34" w:rsidRDefault="00726A89" w:rsidP="00726A89">
      <w:pPr>
        <w:spacing w:after="0" w:line="360" w:lineRule="auto"/>
        <w:ind w:left="720"/>
        <w:jc w:val="both"/>
        <w:rPr>
          <w:rFonts w:ascii="Times New Roman" w:hAnsi="Times New Roman" w:cs="Times New Roman"/>
          <w:i/>
          <w:iCs/>
          <w:sz w:val="24"/>
          <w:szCs w:val="24"/>
        </w:rPr>
      </w:pPr>
    </w:p>
    <w:p w14:paraId="7FDE9205" w14:textId="61388E7E" w:rsidR="00BF6216" w:rsidRDefault="00BF6216" w:rsidP="00BF6216">
      <w:pPr>
        <w:spacing w:after="0" w:line="360" w:lineRule="auto"/>
        <w:ind w:firstLine="284"/>
        <w:jc w:val="both"/>
        <w:rPr>
          <w:rFonts w:ascii="Times New Roman" w:hAnsi="Times New Roman" w:cs="Times New Roman"/>
          <w:sz w:val="24"/>
          <w:szCs w:val="24"/>
        </w:rPr>
      </w:pPr>
      <w:r w:rsidRPr="00BF6216">
        <w:rPr>
          <w:rFonts w:ascii="Times New Roman" w:hAnsi="Times New Roman" w:cs="Times New Roman"/>
          <w:sz w:val="24"/>
          <w:szCs w:val="24"/>
        </w:rPr>
        <w:t xml:space="preserve">Previous research, discussed in section 2.1, have found target shareholders to </w:t>
      </w:r>
      <w:r w:rsidR="00885787">
        <w:rPr>
          <w:rFonts w:ascii="Times New Roman" w:hAnsi="Times New Roman" w:cs="Times New Roman"/>
          <w:sz w:val="24"/>
          <w:szCs w:val="24"/>
        </w:rPr>
        <w:t xml:space="preserve">gain more </w:t>
      </w:r>
      <w:r w:rsidRPr="00BF6216">
        <w:rPr>
          <w:rFonts w:ascii="Times New Roman" w:hAnsi="Times New Roman" w:cs="Times New Roman"/>
          <w:sz w:val="24"/>
          <w:szCs w:val="24"/>
        </w:rPr>
        <w:t>around in cross-border than in domestic acquisitions</w:t>
      </w:r>
      <w:r w:rsidR="00885787" w:rsidRPr="00885787">
        <w:rPr>
          <w:rFonts w:ascii="Times New Roman" w:hAnsi="Times New Roman" w:cs="Times New Roman"/>
          <w:sz w:val="24"/>
          <w:szCs w:val="24"/>
        </w:rPr>
        <w:t xml:space="preserve"> </w:t>
      </w:r>
      <w:r w:rsidR="00885787" w:rsidRPr="00BF6216">
        <w:rPr>
          <w:rFonts w:ascii="Times New Roman" w:hAnsi="Times New Roman" w:cs="Times New Roman"/>
          <w:sz w:val="24"/>
          <w:szCs w:val="24"/>
        </w:rPr>
        <w:t>the</w:t>
      </w:r>
      <w:r w:rsidR="00885787">
        <w:rPr>
          <w:rFonts w:ascii="Times New Roman" w:hAnsi="Times New Roman" w:cs="Times New Roman"/>
          <w:sz w:val="24"/>
          <w:szCs w:val="24"/>
        </w:rPr>
        <w:t xml:space="preserve"> days around the</w:t>
      </w:r>
      <w:r w:rsidR="00885787" w:rsidRPr="00BF6216">
        <w:rPr>
          <w:rFonts w:ascii="Times New Roman" w:hAnsi="Times New Roman" w:cs="Times New Roman"/>
          <w:sz w:val="24"/>
          <w:szCs w:val="24"/>
        </w:rPr>
        <w:t xml:space="preserve"> announcement </w:t>
      </w:r>
      <w:r w:rsidR="00885787">
        <w:rPr>
          <w:rFonts w:ascii="Times New Roman" w:hAnsi="Times New Roman" w:cs="Times New Roman"/>
          <w:sz w:val="24"/>
          <w:szCs w:val="24"/>
        </w:rPr>
        <w:t>of the deal</w:t>
      </w:r>
      <w:r w:rsidRPr="00BF6216">
        <w:rPr>
          <w:rFonts w:ascii="Times New Roman" w:hAnsi="Times New Roman" w:cs="Times New Roman"/>
          <w:sz w:val="24"/>
          <w:szCs w:val="24"/>
        </w:rPr>
        <w:t xml:space="preserve">. </w:t>
      </w:r>
      <w:r w:rsidR="00885787" w:rsidRPr="00885787">
        <w:rPr>
          <w:rFonts w:ascii="Times New Roman" w:hAnsi="Times New Roman" w:cs="Times New Roman"/>
          <w:sz w:val="24"/>
          <w:szCs w:val="24"/>
        </w:rPr>
        <w:t>The following hypothesis is developed to test whether target shareholders in Western European countries reap higher levels of cumulative abnormal returns in cross-border than domestic deals.</w:t>
      </w:r>
    </w:p>
    <w:p w14:paraId="51BF5967" w14:textId="77777777" w:rsidR="00885787" w:rsidRPr="00C56B34" w:rsidRDefault="00885787" w:rsidP="00BF6216">
      <w:pPr>
        <w:spacing w:after="0" w:line="360" w:lineRule="auto"/>
        <w:ind w:firstLine="284"/>
        <w:jc w:val="both"/>
        <w:rPr>
          <w:rFonts w:ascii="Times New Roman" w:hAnsi="Times New Roman" w:cs="Times New Roman"/>
          <w:i/>
          <w:sz w:val="24"/>
          <w:szCs w:val="24"/>
        </w:rPr>
      </w:pPr>
    </w:p>
    <w:p w14:paraId="4FAD5064" w14:textId="42D39940" w:rsidR="00371C4B" w:rsidRPr="00C56B34" w:rsidRDefault="00371C4B" w:rsidP="0031610F">
      <w:pPr>
        <w:spacing w:after="0" w:line="360" w:lineRule="auto"/>
        <w:jc w:val="both"/>
        <w:rPr>
          <w:rFonts w:ascii="Times New Roman" w:hAnsi="Times New Roman" w:cs="Times New Roman"/>
          <w:i/>
          <w:iCs/>
          <w:sz w:val="24"/>
          <w:szCs w:val="24"/>
        </w:rPr>
      </w:pPr>
      <w:r w:rsidRPr="00C56B34">
        <w:rPr>
          <w:rFonts w:ascii="Times New Roman" w:hAnsi="Times New Roman" w:cs="Times New Roman"/>
          <w:i/>
          <w:sz w:val="24"/>
          <w:szCs w:val="24"/>
        </w:rPr>
        <w:t>Hypothesis 1: Target firms in cross-border</w:t>
      </w:r>
      <w:r w:rsidRPr="00C56B34">
        <w:rPr>
          <w:rFonts w:ascii="Times New Roman" w:hAnsi="Times New Roman" w:cs="Times New Roman"/>
          <w:i/>
          <w:iCs/>
          <w:sz w:val="24"/>
          <w:szCs w:val="24"/>
        </w:rPr>
        <w:t xml:space="preserve"> </w:t>
      </w:r>
      <w:r w:rsidR="00885787">
        <w:rPr>
          <w:rFonts w:ascii="Times New Roman" w:hAnsi="Times New Roman" w:cs="Times New Roman"/>
          <w:i/>
          <w:iCs/>
          <w:sz w:val="24"/>
          <w:szCs w:val="24"/>
        </w:rPr>
        <w:t>deals</w:t>
      </w:r>
      <w:r w:rsidRPr="00C56B34">
        <w:rPr>
          <w:rFonts w:ascii="Times New Roman" w:hAnsi="Times New Roman" w:cs="Times New Roman"/>
          <w:i/>
          <w:iCs/>
          <w:sz w:val="24"/>
          <w:szCs w:val="24"/>
        </w:rPr>
        <w:t xml:space="preserve"> will have significantly higher </w:t>
      </w:r>
      <w:r w:rsidR="00885787">
        <w:rPr>
          <w:rFonts w:ascii="Times New Roman" w:hAnsi="Times New Roman" w:cs="Times New Roman"/>
          <w:i/>
          <w:iCs/>
          <w:sz w:val="24"/>
          <w:szCs w:val="24"/>
        </w:rPr>
        <w:t xml:space="preserve">abnormal and cumulative </w:t>
      </w:r>
      <w:r w:rsidRPr="00C56B34">
        <w:rPr>
          <w:rFonts w:ascii="Times New Roman" w:hAnsi="Times New Roman" w:cs="Times New Roman"/>
          <w:i/>
          <w:iCs/>
          <w:sz w:val="24"/>
          <w:szCs w:val="24"/>
        </w:rPr>
        <w:t xml:space="preserve">abnormal returns, around the announcement date, than those in domestic deals. </w:t>
      </w:r>
    </w:p>
    <w:p w14:paraId="709CE47F" w14:textId="51C9693A" w:rsidR="0031610F" w:rsidRPr="00C56B34" w:rsidRDefault="0031610F" w:rsidP="00726A89">
      <w:pPr>
        <w:spacing w:after="0" w:line="360" w:lineRule="auto"/>
        <w:jc w:val="both"/>
        <w:rPr>
          <w:rFonts w:ascii="Times New Roman" w:hAnsi="Times New Roman" w:cs="Times New Roman"/>
          <w:i/>
          <w:sz w:val="24"/>
          <w:szCs w:val="24"/>
        </w:rPr>
      </w:pPr>
      <w:r w:rsidRPr="00C56B34">
        <w:rPr>
          <w:rFonts w:ascii="Times New Roman" w:hAnsi="Times New Roman" w:cs="Times New Roman"/>
          <w:i/>
          <w:sz w:val="24"/>
          <w:szCs w:val="24"/>
        </w:rPr>
        <w:t xml:space="preserve">H0: The </w:t>
      </w:r>
      <w:r w:rsidR="00611454">
        <w:rPr>
          <w:rFonts w:ascii="Times New Roman" w:hAnsi="Times New Roman" w:cs="Times New Roman"/>
          <w:i/>
          <w:sz w:val="24"/>
          <w:szCs w:val="24"/>
        </w:rPr>
        <w:t xml:space="preserve">level of </w:t>
      </w:r>
      <w:r w:rsidR="00611454" w:rsidRPr="00C56B34">
        <w:rPr>
          <w:rFonts w:ascii="Times New Roman" w:hAnsi="Times New Roman" w:cs="Times New Roman"/>
          <w:i/>
          <w:sz w:val="24"/>
          <w:szCs w:val="24"/>
        </w:rPr>
        <w:t>abnormal</w:t>
      </w:r>
      <w:r w:rsidR="00885787">
        <w:rPr>
          <w:rFonts w:ascii="Times New Roman" w:hAnsi="Times New Roman" w:cs="Times New Roman"/>
          <w:i/>
          <w:sz w:val="24"/>
          <w:szCs w:val="24"/>
        </w:rPr>
        <w:t xml:space="preserve"> and cumulative abnormal</w:t>
      </w:r>
      <w:r w:rsidRPr="00C56B34">
        <w:rPr>
          <w:rFonts w:ascii="Times New Roman" w:hAnsi="Times New Roman" w:cs="Times New Roman"/>
          <w:i/>
          <w:sz w:val="24"/>
          <w:szCs w:val="24"/>
        </w:rPr>
        <w:t xml:space="preserve"> returns </w:t>
      </w:r>
      <w:r w:rsidR="00611454">
        <w:rPr>
          <w:rFonts w:ascii="Times New Roman" w:hAnsi="Times New Roman" w:cs="Times New Roman"/>
          <w:i/>
          <w:sz w:val="24"/>
          <w:szCs w:val="24"/>
        </w:rPr>
        <w:t>to</w:t>
      </w:r>
      <w:r w:rsidRPr="00C56B34">
        <w:rPr>
          <w:rFonts w:ascii="Times New Roman" w:hAnsi="Times New Roman" w:cs="Times New Roman"/>
          <w:i/>
          <w:sz w:val="24"/>
          <w:szCs w:val="24"/>
        </w:rPr>
        <w:t xml:space="preserve"> target firms in cross-border acquisition is not significantly </w:t>
      </w:r>
      <w:r w:rsidR="00611454">
        <w:rPr>
          <w:rFonts w:ascii="Times New Roman" w:hAnsi="Times New Roman" w:cs="Times New Roman"/>
          <w:i/>
          <w:sz w:val="24"/>
          <w:szCs w:val="24"/>
        </w:rPr>
        <w:t>higher</w:t>
      </w:r>
      <w:r w:rsidR="005631B1" w:rsidRPr="00C56B34">
        <w:rPr>
          <w:rFonts w:ascii="Times New Roman" w:hAnsi="Times New Roman" w:cs="Times New Roman"/>
          <w:i/>
          <w:sz w:val="24"/>
          <w:szCs w:val="24"/>
        </w:rPr>
        <w:t xml:space="preserve"> </w:t>
      </w:r>
      <w:r w:rsidR="00611454">
        <w:rPr>
          <w:rFonts w:ascii="Times New Roman" w:hAnsi="Times New Roman" w:cs="Times New Roman"/>
          <w:i/>
          <w:sz w:val="24"/>
          <w:szCs w:val="24"/>
        </w:rPr>
        <w:t>than those to target firms in domestic deals</w:t>
      </w:r>
      <w:r w:rsidRPr="00C56B34">
        <w:rPr>
          <w:rFonts w:ascii="Times New Roman" w:hAnsi="Times New Roman" w:cs="Times New Roman"/>
          <w:i/>
          <w:sz w:val="24"/>
          <w:szCs w:val="24"/>
        </w:rPr>
        <w:t>.</w:t>
      </w:r>
    </w:p>
    <w:p w14:paraId="5975C303" w14:textId="77777777" w:rsidR="00726A89" w:rsidRPr="00C56B34" w:rsidRDefault="00726A89" w:rsidP="00726A89">
      <w:pPr>
        <w:spacing w:after="0" w:line="360" w:lineRule="auto"/>
        <w:jc w:val="both"/>
        <w:rPr>
          <w:rFonts w:ascii="Times New Roman" w:hAnsi="Times New Roman" w:cs="Times New Roman"/>
          <w:i/>
          <w:sz w:val="24"/>
          <w:szCs w:val="24"/>
        </w:rPr>
      </w:pPr>
    </w:p>
    <w:p w14:paraId="2955B348" w14:textId="1F11C6DD" w:rsidR="00174446" w:rsidRPr="00C56B34" w:rsidRDefault="00174446" w:rsidP="005631B1">
      <w:pPr>
        <w:spacing w:after="0" w:line="360" w:lineRule="auto"/>
        <w:jc w:val="both"/>
        <w:rPr>
          <w:rFonts w:ascii="Times New Roman" w:hAnsi="Times New Roman" w:cs="Times New Roman"/>
          <w:sz w:val="24"/>
          <w:szCs w:val="24"/>
        </w:rPr>
      </w:pPr>
      <w:r w:rsidRPr="00C56B34">
        <w:rPr>
          <w:rFonts w:ascii="Times New Roman" w:hAnsi="Times New Roman" w:cs="Times New Roman"/>
          <w:sz w:val="24"/>
          <w:szCs w:val="24"/>
        </w:rPr>
        <w:t xml:space="preserve">To </w:t>
      </w:r>
      <w:r w:rsidR="0031610F" w:rsidRPr="00C56B34">
        <w:rPr>
          <w:rFonts w:ascii="Times New Roman" w:hAnsi="Times New Roman" w:cs="Times New Roman"/>
          <w:sz w:val="24"/>
          <w:szCs w:val="24"/>
        </w:rPr>
        <w:t>test the first hypothesis</w:t>
      </w:r>
      <w:r w:rsidRPr="00C56B34">
        <w:rPr>
          <w:rFonts w:ascii="Times New Roman" w:hAnsi="Times New Roman" w:cs="Times New Roman"/>
          <w:sz w:val="24"/>
          <w:szCs w:val="24"/>
        </w:rPr>
        <w:t>, the abnormal returns of Western European target firms involved in cross-border and domestic deals will be measured</w:t>
      </w:r>
      <w:r w:rsidR="0031610F" w:rsidRPr="00C56B34">
        <w:rPr>
          <w:rFonts w:ascii="Times New Roman" w:hAnsi="Times New Roman" w:cs="Times New Roman"/>
          <w:sz w:val="24"/>
          <w:szCs w:val="24"/>
        </w:rPr>
        <w:t xml:space="preserve"> in the days and month around the announcement day and month of the deal</w:t>
      </w:r>
      <w:r w:rsidRPr="00C56B34">
        <w:rPr>
          <w:rFonts w:ascii="Times New Roman" w:hAnsi="Times New Roman" w:cs="Times New Roman"/>
          <w:sz w:val="24"/>
          <w:szCs w:val="24"/>
        </w:rPr>
        <w:t xml:space="preserve">. </w:t>
      </w:r>
      <w:r w:rsidR="00A13951" w:rsidRPr="00A13951">
        <w:rPr>
          <w:rFonts w:ascii="Times New Roman" w:hAnsi="Times New Roman" w:cs="Times New Roman"/>
          <w:sz w:val="24"/>
          <w:szCs w:val="24"/>
        </w:rPr>
        <w:t>The statistical significance of the difference between cross-border and domestic abnormal returns will, then, be tested with a two-sample difference in mean t-test.</w:t>
      </w:r>
      <w:r w:rsidRPr="00C56B34">
        <w:rPr>
          <w:rFonts w:ascii="Times New Roman" w:hAnsi="Times New Roman" w:cs="Times New Roman"/>
          <w:sz w:val="24"/>
          <w:szCs w:val="24"/>
        </w:rPr>
        <w:t xml:space="preserve"> </w:t>
      </w:r>
      <w:r w:rsidR="008464C9" w:rsidRPr="00C56B34">
        <w:rPr>
          <w:rFonts w:ascii="Times New Roman" w:hAnsi="Times New Roman" w:cs="Times New Roman"/>
          <w:sz w:val="24"/>
          <w:szCs w:val="24"/>
        </w:rPr>
        <w:t xml:space="preserve">Moreover, in the cross-sectional analysis, the cumulative abnormal returns of the target firms will be regressed on a dummy variable that takes a value of 1 if the deal is cross-border and 0 otherwise. If this variable is found to have a significantly positive effect, then the null hypothesis will be rejected. </w:t>
      </w:r>
    </w:p>
    <w:p w14:paraId="3DE75D83" w14:textId="5108A197" w:rsidR="00AE5D31" w:rsidRPr="00C56B34" w:rsidRDefault="00AE5D31" w:rsidP="00726A89">
      <w:pPr>
        <w:spacing w:after="0" w:line="360" w:lineRule="auto"/>
        <w:ind w:firstLine="284"/>
        <w:jc w:val="both"/>
        <w:rPr>
          <w:rFonts w:ascii="Times New Roman" w:hAnsi="Times New Roman" w:cs="Times New Roman"/>
          <w:sz w:val="24"/>
          <w:szCs w:val="24"/>
        </w:rPr>
      </w:pPr>
      <w:r w:rsidRPr="00C56B34">
        <w:rPr>
          <w:rFonts w:ascii="Times New Roman" w:hAnsi="Times New Roman" w:cs="Times New Roman"/>
          <w:sz w:val="24"/>
          <w:szCs w:val="24"/>
        </w:rPr>
        <w:t xml:space="preserve">To test the </w:t>
      </w:r>
      <w:r w:rsidR="00BF6216">
        <w:rPr>
          <w:rFonts w:ascii="Times New Roman" w:hAnsi="Times New Roman" w:cs="Times New Roman"/>
          <w:sz w:val="24"/>
          <w:szCs w:val="24"/>
        </w:rPr>
        <w:t>different</w:t>
      </w:r>
      <w:r w:rsidRPr="00C56B34">
        <w:rPr>
          <w:rFonts w:ascii="Times New Roman" w:hAnsi="Times New Roman" w:cs="Times New Roman"/>
          <w:sz w:val="24"/>
          <w:szCs w:val="24"/>
        </w:rPr>
        <w:t xml:space="preserve"> theories discussed in section 2.1.1 </w:t>
      </w:r>
      <w:r w:rsidR="00BF6216">
        <w:rPr>
          <w:rFonts w:ascii="Times New Roman" w:hAnsi="Times New Roman" w:cs="Times New Roman"/>
          <w:sz w:val="24"/>
          <w:szCs w:val="24"/>
        </w:rPr>
        <w:t>to</w:t>
      </w:r>
      <w:r w:rsidRPr="00C56B34">
        <w:rPr>
          <w:rFonts w:ascii="Times New Roman" w:hAnsi="Times New Roman" w:cs="Times New Roman"/>
          <w:sz w:val="24"/>
          <w:szCs w:val="24"/>
        </w:rPr>
        <w:t xml:space="preserve"> 2.1.5 different hypotheses are developed. The international risk diversification hypothesis, discussed in section 2.1.1, implies that cross-</w:t>
      </w:r>
      <w:r w:rsidR="00E72EAE">
        <w:rPr>
          <w:rFonts w:ascii="Times New Roman" w:hAnsi="Times New Roman" w:cs="Times New Roman"/>
          <w:sz w:val="24"/>
          <w:szCs w:val="24"/>
        </w:rPr>
        <w:t>border</w:t>
      </w:r>
      <w:r w:rsidRPr="00C56B34">
        <w:rPr>
          <w:rFonts w:ascii="Times New Roman" w:hAnsi="Times New Roman" w:cs="Times New Roman"/>
          <w:sz w:val="24"/>
          <w:szCs w:val="24"/>
        </w:rPr>
        <w:t xml:space="preserve"> bidders</w:t>
      </w:r>
      <w:r w:rsidR="00E72EAE">
        <w:rPr>
          <w:rFonts w:ascii="Times New Roman" w:hAnsi="Times New Roman" w:cs="Times New Roman"/>
          <w:sz w:val="24"/>
          <w:szCs w:val="24"/>
        </w:rPr>
        <w:t>’ shareholders</w:t>
      </w:r>
      <w:r w:rsidRPr="00C56B34">
        <w:rPr>
          <w:rFonts w:ascii="Times New Roman" w:hAnsi="Times New Roman" w:cs="Times New Roman"/>
          <w:sz w:val="24"/>
          <w:szCs w:val="24"/>
        </w:rPr>
        <w:t xml:space="preserve"> gain an extra form of synergy through international diversification</w:t>
      </w:r>
      <w:r w:rsidR="00E72EAE">
        <w:rPr>
          <w:rFonts w:ascii="Times New Roman" w:hAnsi="Times New Roman" w:cs="Times New Roman"/>
          <w:sz w:val="24"/>
          <w:szCs w:val="24"/>
        </w:rPr>
        <w:t xml:space="preserve"> benefits</w:t>
      </w:r>
      <w:r w:rsidRPr="00C56B34">
        <w:rPr>
          <w:rFonts w:ascii="Times New Roman" w:hAnsi="Times New Roman" w:cs="Times New Roman"/>
          <w:sz w:val="24"/>
          <w:szCs w:val="24"/>
        </w:rPr>
        <w:t xml:space="preserve">. If this hypothesis hold, then it can be expected </w:t>
      </w:r>
      <w:r w:rsidR="00E72EAE">
        <w:rPr>
          <w:rFonts w:ascii="Times New Roman" w:hAnsi="Times New Roman" w:cs="Times New Roman"/>
          <w:sz w:val="24"/>
          <w:szCs w:val="24"/>
        </w:rPr>
        <w:t>cross-border target firms to higher returns when acquired by non-EU than EU bidders</w:t>
      </w:r>
      <w:r w:rsidRPr="00C56B34">
        <w:rPr>
          <w:rFonts w:ascii="Times New Roman" w:hAnsi="Times New Roman" w:cs="Times New Roman"/>
          <w:sz w:val="24"/>
          <w:szCs w:val="24"/>
        </w:rPr>
        <w:t>, leading to the second hypothesis:</w:t>
      </w:r>
    </w:p>
    <w:p w14:paraId="5E43234D" w14:textId="77777777" w:rsidR="00726A89" w:rsidRPr="00C56B34" w:rsidRDefault="00726A89" w:rsidP="00726A89">
      <w:pPr>
        <w:spacing w:after="0" w:line="360" w:lineRule="auto"/>
        <w:ind w:firstLine="284"/>
        <w:jc w:val="both"/>
        <w:rPr>
          <w:rFonts w:ascii="Times New Roman" w:hAnsi="Times New Roman" w:cs="Times New Roman"/>
          <w:sz w:val="24"/>
          <w:szCs w:val="24"/>
        </w:rPr>
      </w:pPr>
    </w:p>
    <w:p w14:paraId="69DE4802" w14:textId="069FAA02" w:rsidR="008517CF" w:rsidRPr="00C56B34" w:rsidRDefault="00AE5D31" w:rsidP="008517CF">
      <w:pPr>
        <w:spacing w:after="0" w:line="360" w:lineRule="auto"/>
        <w:ind w:left="284"/>
        <w:jc w:val="both"/>
        <w:rPr>
          <w:rFonts w:ascii="Times New Roman" w:hAnsi="Times New Roman" w:cs="Times New Roman"/>
          <w:i/>
          <w:sz w:val="24"/>
          <w:szCs w:val="24"/>
        </w:rPr>
      </w:pPr>
      <w:r w:rsidRPr="00C56B34">
        <w:rPr>
          <w:rFonts w:ascii="Times New Roman" w:hAnsi="Times New Roman" w:cs="Times New Roman"/>
          <w:i/>
          <w:sz w:val="24"/>
          <w:szCs w:val="24"/>
        </w:rPr>
        <w:t xml:space="preserve">Hypothesis 2: </w:t>
      </w:r>
      <w:r w:rsidR="008517CF" w:rsidRPr="00C56B34">
        <w:rPr>
          <w:rFonts w:ascii="Times New Roman" w:hAnsi="Times New Roman" w:cs="Times New Roman"/>
          <w:i/>
          <w:sz w:val="24"/>
          <w:szCs w:val="24"/>
        </w:rPr>
        <w:t xml:space="preserve">The level of </w:t>
      </w:r>
      <w:r w:rsidR="00E72EAE">
        <w:rPr>
          <w:rFonts w:ascii="Times New Roman" w:hAnsi="Times New Roman" w:cs="Times New Roman"/>
          <w:i/>
          <w:sz w:val="24"/>
          <w:szCs w:val="24"/>
        </w:rPr>
        <w:t xml:space="preserve">cumulative </w:t>
      </w:r>
      <w:r w:rsidR="008517CF" w:rsidRPr="00C56B34">
        <w:rPr>
          <w:rFonts w:ascii="Times New Roman" w:hAnsi="Times New Roman" w:cs="Times New Roman"/>
          <w:i/>
          <w:sz w:val="24"/>
          <w:szCs w:val="24"/>
        </w:rPr>
        <w:t xml:space="preserve">abnormal returns that target shareholders reap in cross-border acquisitions is </w:t>
      </w:r>
      <w:r w:rsidR="00A13951">
        <w:rPr>
          <w:rFonts w:ascii="Times New Roman" w:hAnsi="Times New Roman" w:cs="Times New Roman"/>
          <w:i/>
          <w:sz w:val="24"/>
          <w:szCs w:val="24"/>
        </w:rPr>
        <w:t xml:space="preserve">significantly </w:t>
      </w:r>
      <w:r w:rsidR="00E72EAE">
        <w:rPr>
          <w:rFonts w:ascii="Times New Roman" w:hAnsi="Times New Roman" w:cs="Times New Roman"/>
          <w:i/>
          <w:sz w:val="24"/>
          <w:szCs w:val="24"/>
        </w:rPr>
        <w:t xml:space="preserve">higher when the bidder is </w:t>
      </w:r>
      <w:r w:rsidR="00DF6DB2">
        <w:rPr>
          <w:rFonts w:ascii="Times New Roman" w:hAnsi="Times New Roman" w:cs="Times New Roman"/>
          <w:i/>
          <w:sz w:val="24"/>
          <w:szCs w:val="24"/>
        </w:rPr>
        <w:t>listed in a non-EU than an EU country</w:t>
      </w:r>
      <w:r w:rsidR="008517CF" w:rsidRPr="00C56B34">
        <w:rPr>
          <w:rFonts w:ascii="Times New Roman" w:hAnsi="Times New Roman" w:cs="Times New Roman"/>
          <w:i/>
          <w:sz w:val="24"/>
          <w:szCs w:val="24"/>
        </w:rPr>
        <w:t>.</w:t>
      </w:r>
    </w:p>
    <w:p w14:paraId="44507B74" w14:textId="0654AA38" w:rsidR="00371C4B" w:rsidRPr="00C56B34" w:rsidRDefault="008517CF" w:rsidP="008517CF">
      <w:pPr>
        <w:spacing w:after="0" w:line="360" w:lineRule="auto"/>
        <w:ind w:left="284"/>
        <w:jc w:val="both"/>
        <w:rPr>
          <w:rFonts w:ascii="Times New Roman" w:hAnsi="Times New Roman" w:cs="Times New Roman"/>
          <w:sz w:val="24"/>
          <w:szCs w:val="24"/>
        </w:rPr>
      </w:pPr>
      <w:r w:rsidRPr="00C56B34">
        <w:rPr>
          <w:rFonts w:ascii="Times New Roman" w:hAnsi="Times New Roman" w:cs="Times New Roman"/>
          <w:i/>
          <w:sz w:val="24"/>
          <w:szCs w:val="24"/>
        </w:rPr>
        <w:t>H0:</w:t>
      </w:r>
      <w:r w:rsidR="00E72EAE">
        <w:rPr>
          <w:rFonts w:ascii="Times New Roman" w:hAnsi="Times New Roman" w:cs="Times New Roman"/>
          <w:i/>
          <w:sz w:val="24"/>
          <w:szCs w:val="24"/>
        </w:rPr>
        <w:t xml:space="preserve"> </w:t>
      </w:r>
      <w:r w:rsidR="00A13951" w:rsidRPr="00A13951">
        <w:rPr>
          <w:rFonts w:ascii="Times New Roman" w:hAnsi="Times New Roman" w:cs="Times New Roman"/>
          <w:i/>
          <w:sz w:val="24"/>
          <w:szCs w:val="24"/>
        </w:rPr>
        <w:t xml:space="preserve">Target firms, in cross-border deals, acquired by non-EU bidders do not gain significantly higher cumulative abnormal returns than those of target firms acquired by EU bidders.  </w:t>
      </w:r>
      <w:r w:rsidR="00AE5D31" w:rsidRPr="00C56B34">
        <w:rPr>
          <w:rFonts w:ascii="Times New Roman" w:hAnsi="Times New Roman" w:cs="Times New Roman"/>
          <w:sz w:val="24"/>
          <w:szCs w:val="24"/>
        </w:rPr>
        <w:t xml:space="preserve"> </w:t>
      </w:r>
    </w:p>
    <w:p w14:paraId="50AE3962" w14:textId="77777777" w:rsidR="00726A89" w:rsidRPr="00C56B34" w:rsidRDefault="00726A89" w:rsidP="008517CF">
      <w:pPr>
        <w:spacing w:after="0" w:line="360" w:lineRule="auto"/>
        <w:ind w:left="284"/>
        <w:jc w:val="both"/>
        <w:rPr>
          <w:rFonts w:ascii="Times New Roman" w:hAnsi="Times New Roman" w:cs="Times New Roman"/>
          <w:sz w:val="24"/>
          <w:szCs w:val="24"/>
        </w:rPr>
      </w:pPr>
    </w:p>
    <w:p w14:paraId="57ED1A03" w14:textId="51D8603D" w:rsidR="00726A89" w:rsidRPr="00C56B34" w:rsidRDefault="008517CF" w:rsidP="0031610F">
      <w:pPr>
        <w:spacing w:after="0" w:line="360" w:lineRule="auto"/>
        <w:jc w:val="both"/>
        <w:rPr>
          <w:rFonts w:ascii="Times New Roman" w:hAnsi="Times New Roman" w:cs="Times New Roman"/>
          <w:sz w:val="24"/>
          <w:szCs w:val="24"/>
        </w:rPr>
      </w:pPr>
      <w:r w:rsidRPr="00C56B34">
        <w:rPr>
          <w:rFonts w:ascii="Times New Roman" w:hAnsi="Times New Roman" w:cs="Times New Roman"/>
          <w:sz w:val="24"/>
          <w:szCs w:val="24"/>
        </w:rPr>
        <w:lastRenderedPageBreak/>
        <w:t>To test the second hypothesis, the acquires will be divided into several regions and for each region</w:t>
      </w:r>
      <w:r w:rsidR="00BF6216">
        <w:rPr>
          <w:rFonts w:ascii="Times New Roman" w:hAnsi="Times New Roman" w:cs="Times New Roman"/>
          <w:sz w:val="24"/>
          <w:szCs w:val="24"/>
        </w:rPr>
        <w:t>,</w:t>
      </w:r>
      <w:r w:rsidRPr="00C56B34">
        <w:rPr>
          <w:rFonts w:ascii="Times New Roman" w:hAnsi="Times New Roman" w:cs="Times New Roman"/>
          <w:sz w:val="24"/>
          <w:szCs w:val="24"/>
        </w:rPr>
        <w:t xml:space="preserve"> a dummy variable, which takes a value of 1 if the acquire</w:t>
      </w:r>
      <w:r w:rsidR="00BF6216">
        <w:rPr>
          <w:rFonts w:ascii="Times New Roman" w:hAnsi="Times New Roman" w:cs="Times New Roman"/>
          <w:sz w:val="24"/>
          <w:szCs w:val="24"/>
        </w:rPr>
        <w:t>r</w:t>
      </w:r>
      <w:r w:rsidRPr="00C56B34">
        <w:rPr>
          <w:rFonts w:ascii="Times New Roman" w:hAnsi="Times New Roman" w:cs="Times New Roman"/>
          <w:sz w:val="24"/>
          <w:szCs w:val="24"/>
        </w:rPr>
        <w:t xml:space="preserve"> </w:t>
      </w:r>
      <w:r w:rsidR="00BF6216">
        <w:rPr>
          <w:rFonts w:ascii="Times New Roman" w:hAnsi="Times New Roman" w:cs="Times New Roman"/>
          <w:sz w:val="24"/>
          <w:szCs w:val="24"/>
        </w:rPr>
        <w:t xml:space="preserve">is </w:t>
      </w:r>
      <w:r w:rsidRPr="00C56B34">
        <w:rPr>
          <w:rFonts w:ascii="Times New Roman" w:hAnsi="Times New Roman" w:cs="Times New Roman"/>
          <w:sz w:val="24"/>
          <w:szCs w:val="24"/>
        </w:rPr>
        <w:t xml:space="preserve">from the corresponding region and 0 otherwise, will be created. These variables will be tested in the cross-sectional analysis, in chapter five; if </w:t>
      </w:r>
      <w:r w:rsidR="00E72EAE">
        <w:rPr>
          <w:rFonts w:ascii="Times New Roman" w:hAnsi="Times New Roman" w:cs="Times New Roman"/>
          <w:sz w:val="24"/>
          <w:szCs w:val="24"/>
        </w:rPr>
        <w:t>Non-EU bidders</w:t>
      </w:r>
      <w:r w:rsidRPr="00C56B34">
        <w:rPr>
          <w:rFonts w:ascii="Times New Roman" w:hAnsi="Times New Roman" w:cs="Times New Roman"/>
          <w:sz w:val="24"/>
          <w:szCs w:val="24"/>
        </w:rPr>
        <w:t xml:space="preserve"> are found to have a significant effect on </w:t>
      </w:r>
      <w:r w:rsidR="001D4D96" w:rsidRPr="00C56B34">
        <w:rPr>
          <w:rFonts w:ascii="Times New Roman" w:hAnsi="Times New Roman" w:cs="Times New Roman"/>
          <w:sz w:val="24"/>
          <w:szCs w:val="24"/>
        </w:rPr>
        <w:t xml:space="preserve">target shareholders </w:t>
      </w:r>
      <w:r w:rsidR="00E72EAE">
        <w:rPr>
          <w:rFonts w:ascii="Times New Roman" w:hAnsi="Times New Roman" w:cs="Times New Roman"/>
          <w:sz w:val="24"/>
          <w:szCs w:val="24"/>
        </w:rPr>
        <w:t xml:space="preserve">cumulative </w:t>
      </w:r>
      <w:r w:rsidR="001D4D96" w:rsidRPr="00C56B34">
        <w:rPr>
          <w:rFonts w:ascii="Times New Roman" w:hAnsi="Times New Roman" w:cs="Times New Roman"/>
          <w:sz w:val="24"/>
          <w:szCs w:val="24"/>
        </w:rPr>
        <w:t>abnormal return</w:t>
      </w:r>
      <w:r w:rsidR="00795917">
        <w:rPr>
          <w:rFonts w:ascii="Times New Roman" w:hAnsi="Times New Roman" w:cs="Times New Roman"/>
          <w:sz w:val="24"/>
          <w:szCs w:val="24"/>
        </w:rPr>
        <w:t>, in cross-border acquisitions</w:t>
      </w:r>
      <w:r w:rsidR="001D4D96" w:rsidRPr="00C56B34">
        <w:rPr>
          <w:rFonts w:ascii="Times New Roman" w:hAnsi="Times New Roman" w:cs="Times New Roman"/>
          <w:sz w:val="24"/>
          <w:szCs w:val="24"/>
        </w:rPr>
        <w:t xml:space="preserve">, the null hypothesis will be </w:t>
      </w:r>
      <w:r w:rsidR="00795917">
        <w:rPr>
          <w:rFonts w:ascii="Times New Roman" w:hAnsi="Times New Roman" w:cs="Times New Roman"/>
          <w:sz w:val="24"/>
          <w:szCs w:val="24"/>
        </w:rPr>
        <w:t>rejected</w:t>
      </w:r>
      <w:r w:rsidR="001D4D96" w:rsidRPr="00C56B34">
        <w:rPr>
          <w:rFonts w:ascii="Times New Roman" w:hAnsi="Times New Roman" w:cs="Times New Roman"/>
          <w:sz w:val="24"/>
          <w:szCs w:val="24"/>
        </w:rPr>
        <w:t xml:space="preserve">, and </w:t>
      </w:r>
      <w:r w:rsidR="00795917">
        <w:rPr>
          <w:rFonts w:ascii="Times New Roman" w:hAnsi="Times New Roman" w:cs="Times New Roman"/>
          <w:sz w:val="24"/>
          <w:szCs w:val="24"/>
        </w:rPr>
        <w:t xml:space="preserve">the </w:t>
      </w:r>
      <w:r w:rsidR="001D4D96" w:rsidRPr="00C56B34">
        <w:rPr>
          <w:rFonts w:ascii="Times New Roman" w:hAnsi="Times New Roman" w:cs="Times New Roman"/>
          <w:sz w:val="24"/>
          <w:szCs w:val="24"/>
        </w:rPr>
        <w:t xml:space="preserve">international risk diversification will be identified as a </w:t>
      </w:r>
      <w:r w:rsidR="00795917">
        <w:rPr>
          <w:rFonts w:ascii="Times New Roman" w:hAnsi="Times New Roman" w:cs="Times New Roman"/>
          <w:sz w:val="24"/>
          <w:szCs w:val="24"/>
        </w:rPr>
        <w:t xml:space="preserve">possible </w:t>
      </w:r>
      <w:r w:rsidR="001D4D96" w:rsidRPr="00C56B34">
        <w:rPr>
          <w:rFonts w:ascii="Times New Roman" w:hAnsi="Times New Roman" w:cs="Times New Roman"/>
          <w:sz w:val="24"/>
          <w:szCs w:val="24"/>
        </w:rPr>
        <w:t>dri</w:t>
      </w:r>
      <w:r w:rsidR="00726A89" w:rsidRPr="00C56B34">
        <w:rPr>
          <w:rFonts w:ascii="Times New Roman" w:hAnsi="Times New Roman" w:cs="Times New Roman"/>
          <w:sz w:val="24"/>
          <w:szCs w:val="24"/>
        </w:rPr>
        <w:t>ver of the cross-border effect.</w:t>
      </w:r>
    </w:p>
    <w:p w14:paraId="46BB1863" w14:textId="279D7504" w:rsidR="00726A89" w:rsidRPr="00C56B34" w:rsidRDefault="006635DF" w:rsidP="00795917">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The hypothesis of the market access premium</w:t>
      </w:r>
      <w:r w:rsidR="00726A89" w:rsidRPr="00C56B34">
        <w:rPr>
          <w:rFonts w:ascii="Times New Roman" w:hAnsi="Times New Roman" w:cs="Times New Roman"/>
          <w:sz w:val="24"/>
          <w:szCs w:val="24"/>
        </w:rPr>
        <w:t xml:space="preserve">, discussed in section 2.1.2 implies that target firms cross-border effect is driven from the extra synergy bidders reap from accessing a new market. If this hypothesis is true then it can </w:t>
      </w:r>
      <w:r w:rsidR="00DF6DB2">
        <w:rPr>
          <w:rFonts w:ascii="Times New Roman" w:hAnsi="Times New Roman" w:cs="Times New Roman"/>
          <w:sz w:val="24"/>
          <w:szCs w:val="24"/>
        </w:rPr>
        <w:t>be</w:t>
      </w:r>
      <w:r w:rsidR="00726A89" w:rsidRPr="00C56B34">
        <w:rPr>
          <w:rFonts w:ascii="Times New Roman" w:hAnsi="Times New Roman" w:cs="Times New Roman"/>
          <w:sz w:val="24"/>
          <w:szCs w:val="24"/>
        </w:rPr>
        <w:t xml:space="preserve"> hypothesized that bidders </w:t>
      </w:r>
      <w:r w:rsidR="00795917">
        <w:rPr>
          <w:rFonts w:ascii="Times New Roman" w:hAnsi="Times New Roman" w:cs="Times New Roman"/>
          <w:sz w:val="24"/>
          <w:szCs w:val="24"/>
        </w:rPr>
        <w:t xml:space="preserve">will pay a market access premium to target firms. </w:t>
      </w:r>
      <w:r w:rsidR="00726A89" w:rsidRPr="00C56B34">
        <w:rPr>
          <w:rFonts w:ascii="Times New Roman" w:hAnsi="Times New Roman" w:cs="Times New Roman"/>
          <w:sz w:val="24"/>
          <w:szCs w:val="24"/>
        </w:rPr>
        <w:t>Consequently, target firms will have higher abnormal returns acquired by bidders with no access to the European markets, leading to the third hypothesis:</w:t>
      </w:r>
    </w:p>
    <w:p w14:paraId="09BBED95" w14:textId="77777777" w:rsidR="00726A89" w:rsidRPr="00C56B34" w:rsidRDefault="00726A89" w:rsidP="00726A89">
      <w:pPr>
        <w:spacing w:after="0" w:line="360" w:lineRule="auto"/>
        <w:ind w:firstLine="284"/>
        <w:jc w:val="both"/>
        <w:rPr>
          <w:rFonts w:ascii="Times New Roman" w:hAnsi="Times New Roman" w:cs="Times New Roman"/>
          <w:sz w:val="24"/>
          <w:szCs w:val="24"/>
        </w:rPr>
      </w:pPr>
    </w:p>
    <w:p w14:paraId="74DE337B" w14:textId="63C27AD9" w:rsidR="00726A89" w:rsidRPr="00795917" w:rsidRDefault="00726A89" w:rsidP="00726A89">
      <w:pPr>
        <w:spacing w:after="0" w:line="360" w:lineRule="auto"/>
        <w:jc w:val="both"/>
        <w:rPr>
          <w:rFonts w:ascii="Times New Roman" w:hAnsi="Times New Roman" w:cs="Times New Roman"/>
          <w:bCs/>
          <w:i/>
          <w:iCs/>
          <w:sz w:val="24"/>
        </w:rPr>
      </w:pPr>
      <w:r w:rsidRPr="00C56B34">
        <w:rPr>
          <w:rFonts w:ascii="Times New Roman" w:hAnsi="Times New Roman" w:cs="Times New Roman"/>
          <w:i/>
          <w:sz w:val="24"/>
          <w:szCs w:val="24"/>
        </w:rPr>
        <w:t xml:space="preserve">Hypothesis 3:  In a cross-border acquisition, </w:t>
      </w:r>
      <w:r w:rsidR="00483730">
        <w:rPr>
          <w:rFonts w:ascii="Times New Roman" w:hAnsi="Times New Roman" w:cs="Times New Roman"/>
          <w:bCs/>
          <w:i/>
          <w:iCs/>
          <w:sz w:val="24"/>
        </w:rPr>
        <w:t xml:space="preserve">the level of </w:t>
      </w:r>
      <w:r w:rsidR="006635DF">
        <w:rPr>
          <w:rFonts w:ascii="Times New Roman" w:hAnsi="Times New Roman" w:cs="Times New Roman"/>
          <w:bCs/>
          <w:i/>
          <w:iCs/>
          <w:sz w:val="24"/>
        </w:rPr>
        <w:t xml:space="preserve">cumulative </w:t>
      </w:r>
      <w:r w:rsidR="00483730">
        <w:rPr>
          <w:rFonts w:ascii="Times New Roman" w:hAnsi="Times New Roman" w:cs="Times New Roman"/>
          <w:bCs/>
          <w:i/>
          <w:iCs/>
          <w:sz w:val="24"/>
        </w:rPr>
        <w:t xml:space="preserve">abnormal returns to target firms’ shareholders is dependent on whether the bidder has access to the EU market or not. </w:t>
      </w:r>
      <w:r w:rsidRPr="00C56B34">
        <w:rPr>
          <w:rFonts w:ascii="Times New Roman" w:hAnsi="Times New Roman" w:cs="Times New Roman"/>
          <w:i/>
          <w:sz w:val="24"/>
          <w:szCs w:val="24"/>
        </w:rPr>
        <w:tab/>
      </w:r>
    </w:p>
    <w:p w14:paraId="12BFDBC1" w14:textId="36EFBF82" w:rsidR="00726A89" w:rsidRPr="00C56B34" w:rsidRDefault="00726A89" w:rsidP="00726A89">
      <w:pPr>
        <w:spacing w:after="0" w:line="360" w:lineRule="auto"/>
        <w:jc w:val="both"/>
        <w:rPr>
          <w:rFonts w:ascii="Times New Roman" w:hAnsi="Times New Roman" w:cs="Times New Roman"/>
          <w:i/>
          <w:sz w:val="24"/>
          <w:szCs w:val="24"/>
        </w:rPr>
      </w:pPr>
      <w:r w:rsidRPr="00C56B34">
        <w:rPr>
          <w:rFonts w:ascii="Times New Roman" w:hAnsi="Times New Roman" w:cs="Times New Roman"/>
          <w:i/>
          <w:sz w:val="24"/>
          <w:szCs w:val="24"/>
        </w:rPr>
        <w:t xml:space="preserve">H0: Target shareholders </w:t>
      </w:r>
      <w:r w:rsidR="006635DF">
        <w:rPr>
          <w:rFonts w:ascii="Times New Roman" w:hAnsi="Times New Roman" w:cs="Times New Roman"/>
          <w:i/>
          <w:sz w:val="24"/>
          <w:szCs w:val="24"/>
        </w:rPr>
        <w:t xml:space="preserve">cumulative </w:t>
      </w:r>
      <w:r w:rsidRPr="00C56B34">
        <w:rPr>
          <w:rFonts w:ascii="Times New Roman" w:hAnsi="Times New Roman" w:cs="Times New Roman"/>
          <w:i/>
          <w:sz w:val="24"/>
          <w:szCs w:val="24"/>
        </w:rPr>
        <w:t>abnormal returns are not dependent on whether the cross-border bidder has prior European operations or not.</w:t>
      </w:r>
    </w:p>
    <w:p w14:paraId="68AFAE37" w14:textId="77777777" w:rsidR="00726A89" w:rsidRPr="00C56B34" w:rsidRDefault="00726A89" w:rsidP="00726A89">
      <w:pPr>
        <w:spacing w:after="0" w:line="360" w:lineRule="auto"/>
        <w:jc w:val="both"/>
        <w:rPr>
          <w:rFonts w:ascii="Times New Roman" w:hAnsi="Times New Roman" w:cs="Times New Roman"/>
          <w:i/>
          <w:sz w:val="24"/>
          <w:szCs w:val="24"/>
        </w:rPr>
      </w:pPr>
    </w:p>
    <w:p w14:paraId="08224762" w14:textId="2DB3B5C7" w:rsidR="00726A89" w:rsidRPr="00C56B34" w:rsidRDefault="00726A89" w:rsidP="00726A89">
      <w:pPr>
        <w:spacing w:after="0" w:line="360" w:lineRule="auto"/>
        <w:jc w:val="both"/>
        <w:rPr>
          <w:rFonts w:ascii="Times New Roman" w:hAnsi="Times New Roman" w:cs="Times New Roman"/>
          <w:sz w:val="24"/>
          <w:szCs w:val="24"/>
        </w:rPr>
      </w:pPr>
      <w:r w:rsidRPr="00C56B34">
        <w:rPr>
          <w:rFonts w:ascii="Times New Roman" w:hAnsi="Times New Roman" w:cs="Times New Roman"/>
          <w:sz w:val="24"/>
          <w:szCs w:val="24"/>
        </w:rPr>
        <w:t xml:space="preserve">In the cross-sectional analysis, the third hypothesis will be tested by adding a dummy variable, which takes a value of 1 if the bidder has </w:t>
      </w:r>
      <w:r w:rsidR="00483730">
        <w:rPr>
          <w:rFonts w:ascii="Times New Roman" w:hAnsi="Times New Roman" w:cs="Times New Roman"/>
          <w:sz w:val="24"/>
          <w:szCs w:val="24"/>
        </w:rPr>
        <w:t xml:space="preserve">no </w:t>
      </w:r>
      <w:r w:rsidRPr="00C56B34">
        <w:rPr>
          <w:rFonts w:ascii="Times New Roman" w:hAnsi="Times New Roman" w:cs="Times New Roman"/>
          <w:sz w:val="24"/>
          <w:szCs w:val="24"/>
        </w:rPr>
        <w:t xml:space="preserve">prior European operations and 0 otherwise. If target firms </w:t>
      </w:r>
      <w:r w:rsidR="006635DF">
        <w:rPr>
          <w:rFonts w:ascii="Times New Roman" w:hAnsi="Times New Roman" w:cs="Times New Roman"/>
          <w:sz w:val="24"/>
          <w:szCs w:val="24"/>
        </w:rPr>
        <w:t xml:space="preserve">cumulative </w:t>
      </w:r>
      <w:r w:rsidRPr="00C56B34">
        <w:rPr>
          <w:rFonts w:ascii="Times New Roman" w:hAnsi="Times New Roman" w:cs="Times New Roman"/>
          <w:sz w:val="24"/>
          <w:szCs w:val="24"/>
        </w:rPr>
        <w:t xml:space="preserve">abnormal returns, in the days around the announcement of the deal, are found to be significantly dependent on this dummy variable, then the null hypothesis will be </w:t>
      </w:r>
      <w:r w:rsidR="006635DF">
        <w:rPr>
          <w:rFonts w:ascii="Times New Roman" w:hAnsi="Times New Roman" w:cs="Times New Roman"/>
          <w:sz w:val="24"/>
          <w:szCs w:val="24"/>
        </w:rPr>
        <w:t>dismissed</w:t>
      </w:r>
      <w:r w:rsidRPr="00C56B34">
        <w:rPr>
          <w:rFonts w:ascii="Times New Roman" w:hAnsi="Times New Roman" w:cs="Times New Roman"/>
          <w:sz w:val="24"/>
          <w:szCs w:val="24"/>
        </w:rPr>
        <w:t xml:space="preserve"> and the market access hypothesis will be </w:t>
      </w:r>
      <w:r w:rsidR="006635DF">
        <w:rPr>
          <w:rFonts w:ascii="Times New Roman" w:hAnsi="Times New Roman" w:cs="Times New Roman"/>
          <w:sz w:val="24"/>
          <w:szCs w:val="24"/>
        </w:rPr>
        <w:t>adopted</w:t>
      </w:r>
      <w:r w:rsidRPr="00C56B34">
        <w:rPr>
          <w:rFonts w:ascii="Times New Roman" w:hAnsi="Times New Roman" w:cs="Times New Roman"/>
          <w:sz w:val="24"/>
          <w:szCs w:val="24"/>
        </w:rPr>
        <w:t xml:space="preserve"> as a </w:t>
      </w:r>
      <w:r w:rsidR="00483730">
        <w:rPr>
          <w:rFonts w:ascii="Times New Roman" w:hAnsi="Times New Roman" w:cs="Times New Roman"/>
          <w:sz w:val="24"/>
          <w:szCs w:val="24"/>
        </w:rPr>
        <w:t xml:space="preserve">possible </w:t>
      </w:r>
      <w:r w:rsidRPr="00C56B34">
        <w:rPr>
          <w:rFonts w:ascii="Times New Roman" w:hAnsi="Times New Roman" w:cs="Times New Roman"/>
          <w:sz w:val="24"/>
          <w:szCs w:val="24"/>
        </w:rPr>
        <w:t xml:space="preserve">driving force for the target firm cross-border effect. </w:t>
      </w:r>
    </w:p>
    <w:p w14:paraId="4FA9BA62" w14:textId="6E406AB9" w:rsidR="00726A89" w:rsidRPr="00C56B34" w:rsidRDefault="00726A89" w:rsidP="00726A89">
      <w:pPr>
        <w:spacing w:after="0" w:line="360" w:lineRule="auto"/>
        <w:ind w:firstLine="284"/>
        <w:jc w:val="both"/>
        <w:rPr>
          <w:rFonts w:ascii="Times New Roman" w:hAnsi="Times New Roman" w:cs="Times New Roman"/>
          <w:i/>
          <w:sz w:val="24"/>
          <w:szCs w:val="24"/>
        </w:rPr>
      </w:pPr>
      <w:r w:rsidRPr="00C56B34">
        <w:rPr>
          <w:rFonts w:ascii="Times New Roman" w:hAnsi="Times New Roman" w:cs="Times New Roman"/>
          <w:sz w:val="24"/>
          <w:szCs w:val="24"/>
        </w:rPr>
        <w:t xml:space="preserve">As argued in section, 2.1.3, a weak target firm currency relative to </w:t>
      </w:r>
      <w:r w:rsidR="006635DF">
        <w:rPr>
          <w:rFonts w:ascii="Times New Roman" w:hAnsi="Times New Roman" w:cs="Times New Roman"/>
          <w:sz w:val="24"/>
          <w:szCs w:val="24"/>
        </w:rPr>
        <w:t>that</w:t>
      </w:r>
      <w:r w:rsidRPr="00C56B34">
        <w:rPr>
          <w:rFonts w:ascii="Times New Roman" w:hAnsi="Times New Roman" w:cs="Times New Roman"/>
          <w:sz w:val="24"/>
          <w:szCs w:val="24"/>
        </w:rPr>
        <w:t xml:space="preserve"> of the bidder can create higher abnormal returns for target firms around </w:t>
      </w:r>
      <w:r w:rsidR="006635DF">
        <w:rPr>
          <w:rFonts w:ascii="Times New Roman" w:hAnsi="Times New Roman" w:cs="Times New Roman"/>
          <w:sz w:val="24"/>
          <w:szCs w:val="24"/>
        </w:rPr>
        <w:t>the event date</w:t>
      </w:r>
      <w:r w:rsidRPr="00C56B34">
        <w:rPr>
          <w:rFonts w:ascii="Times New Roman" w:hAnsi="Times New Roman" w:cs="Times New Roman"/>
          <w:sz w:val="24"/>
          <w:szCs w:val="24"/>
        </w:rPr>
        <w:t xml:space="preserve">. </w:t>
      </w:r>
      <w:r w:rsidR="00AA7B5A" w:rsidRPr="00C56B34">
        <w:rPr>
          <w:rFonts w:ascii="Times New Roman" w:hAnsi="Times New Roman" w:cs="Times New Roman"/>
          <w:sz w:val="24"/>
          <w:szCs w:val="24"/>
        </w:rPr>
        <w:t>Therefore the exchange rate hypothesis has led to the fourth hypothesis of this paper:</w:t>
      </w:r>
      <w:r w:rsidRPr="00C56B34">
        <w:rPr>
          <w:rFonts w:ascii="Times New Roman" w:hAnsi="Times New Roman" w:cs="Times New Roman"/>
          <w:sz w:val="24"/>
          <w:szCs w:val="24"/>
        </w:rPr>
        <w:t xml:space="preserve"> </w:t>
      </w:r>
    </w:p>
    <w:p w14:paraId="1C802B29" w14:textId="77777777" w:rsidR="00AA7B5A" w:rsidRPr="00C56B34" w:rsidRDefault="00AA7B5A" w:rsidP="00AA7B5A">
      <w:pPr>
        <w:spacing w:after="0" w:line="360" w:lineRule="auto"/>
        <w:jc w:val="both"/>
        <w:rPr>
          <w:rFonts w:ascii="Times New Roman" w:hAnsi="Times New Roman" w:cs="Times New Roman"/>
          <w:sz w:val="24"/>
          <w:szCs w:val="24"/>
        </w:rPr>
      </w:pPr>
    </w:p>
    <w:p w14:paraId="52C508F6" w14:textId="384B2109" w:rsidR="00AA7B5A" w:rsidRPr="00C56B34" w:rsidRDefault="00AA7B5A" w:rsidP="00AA7B5A">
      <w:pPr>
        <w:spacing w:after="0" w:line="360" w:lineRule="auto"/>
        <w:ind w:left="284"/>
        <w:jc w:val="both"/>
        <w:rPr>
          <w:rFonts w:ascii="Times New Roman" w:hAnsi="Times New Roman" w:cs="Times New Roman"/>
          <w:bCs/>
          <w:i/>
          <w:iCs/>
          <w:sz w:val="24"/>
        </w:rPr>
      </w:pPr>
      <w:r w:rsidRPr="00C56B34">
        <w:rPr>
          <w:rFonts w:ascii="Times New Roman" w:hAnsi="Times New Roman" w:cs="Times New Roman"/>
          <w:bCs/>
          <w:i/>
          <w:iCs/>
          <w:sz w:val="24"/>
        </w:rPr>
        <w:t>Hypothesis 4</w:t>
      </w:r>
      <w:r w:rsidR="00600EFB" w:rsidRPr="00C56B34">
        <w:rPr>
          <w:rFonts w:ascii="Times New Roman" w:hAnsi="Times New Roman" w:cs="Times New Roman"/>
          <w:bCs/>
          <w:i/>
          <w:iCs/>
          <w:sz w:val="24"/>
        </w:rPr>
        <w:t>: European target shareholders</w:t>
      </w:r>
      <w:r w:rsidR="009E5E4E" w:rsidRPr="00C56B34">
        <w:rPr>
          <w:rFonts w:ascii="Times New Roman" w:hAnsi="Times New Roman" w:cs="Times New Roman"/>
          <w:bCs/>
          <w:i/>
          <w:iCs/>
          <w:sz w:val="24"/>
        </w:rPr>
        <w:t>, acquired by foreign bidders,</w:t>
      </w:r>
      <w:r w:rsidR="00600EFB" w:rsidRPr="00C56B34">
        <w:rPr>
          <w:rFonts w:ascii="Times New Roman" w:hAnsi="Times New Roman" w:cs="Times New Roman"/>
          <w:bCs/>
          <w:i/>
          <w:iCs/>
          <w:sz w:val="24"/>
        </w:rPr>
        <w:t xml:space="preserve"> will earn higher</w:t>
      </w:r>
      <w:r w:rsidR="006635DF">
        <w:rPr>
          <w:rFonts w:ascii="Times New Roman" w:hAnsi="Times New Roman" w:cs="Times New Roman"/>
          <w:bCs/>
          <w:i/>
          <w:iCs/>
          <w:sz w:val="24"/>
        </w:rPr>
        <w:t xml:space="preserve"> cumulative</w:t>
      </w:r>
      <w:r w:rsidR="00600EFB" w:rsidRPr="00C56B34">
        <w:rPr>
          <w:rFonts w:ascii="Times New Roman" w:hAnsi="Times New Roman" w:cs="Times New Roman"/>
          <w:bCs/>
          <w:i/>
          <w:iCs/>
          <w:sz w:val="24"/>
        </w:rPr>
        <w:t xml:space="preserve"> abnormal returns when the </w:t>
      </w:r>
      <w:r w:rsidR="00726A89" w:rsidRPr="00C56B34">
        <w:rPr>
          <w:rFonts w:ascii="Times New Roman" w:hAnsi="Times New Roman" w:cs="Times New Roman"/>
          <w:bCs/>
          <w:i/>
          <w:iCs/>
          <w:sz w:val="24"/>
        </w:rPr>
        <w:t>target’s currency</w:t>
      </w:r>
      <w:r w:rsidR="00600EFB" w:rsidRPr="00C56B34">
        <w:rPr>
          <w:rFonts w:ascii="Times New Roman" w:hAnsi="Times New Roman" w:cs="Times New Roman"/>
          <w:bCs/>
          <w:i/>
          <w:iCs/>
          <w:sz w:val="24"/>
        </w:rPr>
        <w:t xml:space="preserve"> is relatively weak compared to the bidder’s currency.</w:t>
      </w:r>
    </w:p>
    <w:p w14:paraId="3209282D" w14:textId="6658019B" w:rsidR="00AA7B5A" w:rsidRPr="00C56B34" w:rsidRDefault="00AA7B5A" w:rsidP="00AA7B5A">
      <w:pPr>
        <w:spacing w:after="0" w:line="360" w:lineRule="auto"/>
        <w:ind w:left="284"/>
        <w:jc w:val="both"/>
        <w:rPr>
          <w:rFonts w:ascii="Times New Roman" w:hAnsi="Times New Roman" w:cs="Times New Roman"/>
          <w:bCs/>
          <w:i/>
          <w:iCs/>
          <w:sz w:val="24"/>
        </w:rPr>
      </w:pPr>
      <w:r w:rsidRPr="00C56B34">
        <w:rPr>
          <w:rFonts w:ascii="Times New Roman" w:hAnsi="Times New Roman" w:cs="Times New Roman"/>
          <w:bCs/>
          <w:i/>
          <w:iCs/>
          <w:sz w:val="24"/>
        </w:rPr>
        <w:lastRenderedPageBreak/>
        <w:t xml:space="preserve">H0: </w:t>
      </w:r>
      <w:r w:rsidR="006635DF">
        <w:rPr>
          <w:rFonts w:ascii="Times New Roman" w:hAnsi="Times New Roman" w:cs="Times New Roman"/>
          <w:bCs/>
          <w:i/>
          <w:iCs/>
          <w:sz w:val="24"/>
        </w:rPr>
        <w:t>The level of cumulative abnormal returns to European target shareholders</w:t>
      </w:r>
      <w:r w:rsidR="00611454">
        <w:rPr>
          <w:rFonts w:ascii="Times New Roman" w:hAnsi="Times New Roman" w:cs="Times New Roman"/>
          <w:bCs/>
          <w:i/>
          <w:iCs/>
          <w:sz w:val="24"/>
        </w:rPr>
        <w:t>,</w:t>
      </w:r>
      <w:r w:rsidR="006635DF">
        <w:rPr>
          <w:rFonts w:ascii="Times New Roman" w:hAnsi="Times New Roman" w:cs="Times New Roman"/>
          <w:bCs/>
          <w:i/>
          <w:iCs/>
          <w:sz w:val="24"/>
        </w:rPr>
        <w:t xml:space="preserve"> in cross-border deals</w:t>
      </w:r>
      <w:r w:rsidR="00611454">
        <w:rPr>
          <w:rFonts w:ascii="Times New Roman" w:hAnsi="Times New Roman" w:cs="Times New Roman"/>
          <w:bCs/>
          <w:i/>
          <w:iCs/>
          <w:sz w:val="24"/>
        </w:rPr>
        <w:t>,</w:t>
      </w:r>
      <w:r w:rsidR="006635DF">
        <w:rPr>
          <w:rFonts w:ascii="Times New Roman" w:hAnsi="Times New Roman" w:cs="Times New Roman"/>
          <w:bCs/>
          <w:i/>
          <w:iCs/>
          <w:sz w:val="24"/>
        </w:rPr>
        <w:t xml:space="preserve"> is not higher when the target’s currency is relatively weak compared to that of the bidder</w:t>
      </w:r>
      <w:r w:rsidRPr="00C56B34">
        <w:rPr>
          <w:rFonts w:ascii="Times New Roman" w:hAnsi="Times New Roman" w:cs="Times New Roman"/>
          <w:bCs/>
          <w:i/>
          <w:iCs/>
          <w:sz w:val="24"/>
        </w:rPr>
        <w:t xml:space="preserve">. </w:t>
      </w:r>
    </w:p>
    <w:p w14:paraId="611CE952" w14:textId="77777777" w:rsidR="00AA7B5A" w:rsidRPr="00C56B34" w:rsidRDefault="00AA7B5A" w:rsidP="00AA7B5A">
      <w:pPr>
        <w:spacing w:after="0" w:line="360" w:lineRule="auto"/>
        <w:ind w:left="284"/>
        <w:jc w:val="both"/>
        <w:rPr>
          <w:rFonts w:ascii="Times New Roman" w:hAnsi="Times New Roman" w:cs="Times New Roman"/>
          <w:bCs/>
          <w:i/>
          <w:iCs/>
          <w:sz w:val="24"/>
        </w:rPr>
      </w:pPr>
    </w:p>
    <w:p w14:paraId="2D2FC81B" w14:textId="10A4AEBA" w:rsidR="00AA7B5A" w:rsidRPr="00C56B34" w:rsidRDefault="00AA7B5A" w:rsidP="00AA7B5A">
      <w:pPr>
        <w:spacing w:after="0" w:line="360" w:lineRule="auto"/>
        <w:jc w:val="both"/>
        <w:rPr>
          <w:rFonts w:ascii="Times New Roman" w:hAnsi="Times New Roman" w:cs="Times New Roman"/>
          <w:bCs/>
          <w:iCs/>
          <w:sz w:val="24"/>
        </w:rPr>
      </w:pPr>
      <w:r w:rsidRPr="00C56B34">
        <w:rPr>
          <w:rFonts w:ascii="Times New Roman" w:hAnsi="Times New Roman" w:cs="Times New Roman"/>
          <w:bCs/>
          <w:iCs/>
          <w:sz w:val="24"/>
        </w:rPr>
        <w:t xml:space="preserve">To test the fourth hypothesis, the </w:t>
      </w:r>
      <w:r w:rsidR="00483730">
        <w:rPr>
          <w:rFonts w:ascii="Times New Roman" w:hAnsi="Times New Roman" w:cs="Times New Roman"/>
          <w:bCs/>
          <w:iCs/>
          <w:sz w:val="24"/>
        </w:rPr>
        <w:t xml:space="preserve">one-year </w:t>
      </w:r>
      <w:r w:rsidRPr="00C56B34">
        <w:rPr>
          <w:rFonts w:ascii="Times New Roman" w:hAnsi="Times New Roman" w:cs="Times New Roman"/>
          <w:bCs/>
          <w:iCs/>
          <w:sz w:val="24"/>
        </w:rPr>
        <w:t>average exchange rate</w:t>
      </w:r>
      <w:r w:rsidR="00483730">
        <w:rPr>
          <w:rFonts w:ascii="Times New Roman" w:hAnsi="Times New Roman" w:cs="Times New Roman"/>
          <w:bCs/>
          <w:iCs/>
          <w:sz w:val="24"/>
        </w:rPr>
        <w:t xml:space="preserve"> </w:t>
      </w:r>
      <w:r w:rsidRPr="00C56B34">
        <w:rPr>
          <w:rFonts w:ascii="Times New Roman" w:hAnsi="Times New Roman" w:cs="Times New Roman"/>
          <w:bCs/>
          <w:iCs/>
          <w:sz w:val="24"/>
        </w:rPr>
        <w:t xml:space="preserve">of </w:t>
      </w:r>
      <w:r w:rsidR="00DF6DB2">
        <w:rPr>
          <w:rFonts w:ascii="Times New Roman" w:hAnsi="Times New Roman" w:cs="Times New Roman"/>
          <w:bCs/>
          <w:iCs/>
          <w:sz w:val="24"/>
        </w:rPr>
        <w:t xml:space="preserve">the </w:t>
      </w:r>
      <w:r w:rsidRPr="00C56B34">
        <w:rPr>
          <w:rFonts w:ascii="Times New Roman" w:hAnsi="Times New Roman" w:cs="Times New Roman"/>
          <w:bCs/>
          <w:iCs/>
          <w:sz w:val="24"/>
        </w:rPr>
        <w:t xml:space="preserve">acquirer’s currency to </w:t>
      </w:r>
      <w:r w:rsidR="00DF6DB2">
        <w:rPr>
          <w:rFonts w:ascii="Times New Roman" w:hAnsi="Times New Roman" w:cs="Times New Roman"/>
          <w:bCs/>
          <w:iCs/>
          <w:sz w:val="24"/>
        </w:rPr>
        <w:t xml:space="preserve">the </w:t>
      </w:r>
      <w:r w:rsidRPr="00C56B34">
        <w:rPr>
          <w:rFonts w:ascii="Times New Roman" w:hAnsi="Times New Roman" w:cs="Times New Roman"/>
          <w:bCs/>
          <w:iCs/>
          <w:sz w:val="24"/>
        </w:rPr>
        <w:t xml:space="preserve">target’s currency will be added as a continuous variable in the cross-section analysis. If the exchange rate is found to have a significant effect on the level of </w:t>
      </w:r>
      <w:r w:rsidR="006635DF">
        <w:rPr>
          <w:rFonts w:ascii="Times New Roman" w:hAnsi="Times New Roman" w:cs="Times New Roman"/>
          <w:bCs/>
          <w:iCs/>
          <w:sz w:val="24"/>
        </w:rPr>
        <w:t xml:space="preserve">cumulative </w:t>
      </w:r>
      <w:r w:rsidRPr="00C56B34">
        <w:rPr>
          <w:rFonts w:ascii="Times New Roman" w:hAnsi="Times New Roman" w:cs="Times New Roman"/>
          <w:bCs/>
          <w:iCs/>
          <w:sz w:val="24"/>
        </w:rPr>
        <w:t xml:space="preserve">abnormal returns around the announcement of the bid, then the null hypothesis will be </w:t>
      </w:r>
      <w:r w:rsidR="006635DF">
        <w:rPr>
          <w:rFonts w:ascii="Times New Roman" w:hAnsi="Times New Roman" w:cs="Times New Roman"/>
          <w:bCs/>
          <w:iCs/>
          <w:sz w:val="24"/>
        </w:rPr>
        <w:t>dismissed</w:t>
      </w:r>
      <w:r w:rsidRPr="00C56B34">
        <w:rPr>
          <w:rFonts w:ascii="Times New Roman" w:hAnsi="Times New Roman" w:cs="Times New Roman"/>
          <w:bCs/>
          <w:iCs/>
          <w:sz w:val="24"/>
        </w:rPr>
        <w:t xml:space="preserve">, and the exchange rate hypothesis will be </w:t>
      </w:r>
      <w:r w:rsidR="006635DF">
        <w:rPr>
          <w:rFonts w:ascii="Times New Roman" w:hAnsi="Times New Roman" w:cs="Times New Roman"/>
          <w:bCs/>
          <w:iCs/>
          <w:sz w:val="24"/>
        </w:rPr>
        <w:t>adopted</w:t>
      </w:r>
      <w:r w:rsidRPr="00C56B34">
        <w:rPr>
          <w:rFonts w:ascii="Times New Roman" w:hAnsi="Times New Roman" w:cs="Times New Roman"/>
          <w:bCs/>
          <w:iCs/>
          <w:sz w:val="24"/>
        </w:rPr>
        <w:t xml:space="preserve"> as a </w:t>
      </w:r>
      <w:r w:rsidR="00483730">
        <w:rPr>
          <w:rFonts w:ascii="Times New Roman" w:hAnsi="Times New Roman" w:cs="Times New Roman"/>
          <w:bCs/>
          <w:iCs/>
          <w:sz w:val="24"/>
        </w:rPr>
        <w:t xml:space="preserve">possible </w:t>
      </w:r>
      <w:r w:rsidRPr="00C56B34">
        <w:rPr>
          <w:rFonts w:ascii="Times New Roman" w:hAnsi="Times New Roman" w:cs="Times New Roman"/>
          <w:bCs/>
          <w:iCs/>
          <w:sz w:val="24"/>
        </w:rPr>
        <w:t>driver of target firms’ cross-border effect.</w:t>
      </w:r>
    </w:p>
    <w:p w14:paraId="65C2E087" w14:textId="18CFCC45" w:rsidR="009E5E4E" w:rsidRPr="00C56B34" w:rsidRDefault="006635DF" w:rsidP="00AA7B5A">
      <w:pPr>
        <w:spacing w:after="0" w:line="360" w:lineRule="auto"/>
        <w:ind w:firstLine="284"/>
        <w:jc w:val="both"/>
        <w:rPr>
          <w:rFonts w:ascii="Times New Roman" w:hAnsi="Times New Roman" w:cs="Times New Roman"/>
          <w:bCs/>
          <w:iCs/>
          <w:sz w:val="24"/>
        </w:rPr>
      </w:pPr>
      <w:r w:rsidRPr="006635DF">
        <w:rPr>
          <w:rFonts w:ascii="Times New Roman" w:hAnsi="Times New Roman" w:cs="Times New Roman"/>
          <w:bCs/>
          <w:iCs/>
          <w:sz w:val="24"/>
        </w:rPr>
        <w:t>As argued in section 2.1.5, the target firm cross-border effect can be driven by deal and company specific features that are more prevalent in cross-border than in domestic sales; hence, the fifth paper hypothesis is as follows</w:t>
      </w:r>
      <w:r w:rsidR="00AA7B5A" w:rsidRPr="00C56B34">
        <w:rPr>
          <w:rFonts w:ascii="Times New Roman" w:hAnsi="Times New Roman" w:cs="Times New Roman"/>
          <w:bCs/>
          <w:iCs/>
          <w:sz w:val="24"/>
        </w:rPr>
        <w:t>:</w:t>
      </w:r>
    </w:p>
    <w:p w14:paraId="52402BEE" w14:textId="77777777" w:rsidR="00AA7B5A" w:rsidRPr="00C56B34" w:rsidRDefault="00AA7B5A" w:rsidP="0031610F">
      <w:pPr>
        <w:spacing w:after="0" w:line="360" w:lineRule="auto"/>
        <w:ind w:left="720"/>
        <w:jc w:val="both"/>
        <w:rPr>
          <w:rFonts w:ascii="Times New Roman" w:hAnsi="Times New Roman" w:cs="Times New Roman"/>
          <w:bCs/>
          <w:i/>
          <w:sz w:val="24"/>
        </w:rPr>
      </w:pPr>
    </w:p>
    <w:p w14:paraId="20E4DE83" w14:textId="4E99D809" w:rsidR="00600EFB" w:rsidRPr="00C56B34" w:rsidRDefault="0023613A" w:rsidP="0031610F">
      <w:pPr>
        <w:spacing w:after="0" w:line="360" w:lineRule="auto"/>
        <w:ind w:left="720"/>
        <w:jc w:val="both"/>
        <w:rPr>
          <w:rFonts w:ascii="Times New Roman" w:hAnsi="Times New Roman" w:cs="Times New Roman"/>
          <w:bCs/>
          <w:i/>
          <w:sz w:val="24"/>
        </w:rPr>
      </w:pPr>
      <w:r w:rsidRPr="00B0307C">
        <w:rPr>
          <w:rFonts w:ascii="Times New Roman" w:hAnsi="Times New Roman" w:cs="Times New Roman"/>
          <w:bCs/>
          <w:i/>
          <w:sz w:val="24"/>
        </w:rPr>
        <w:t>Hypothesis 5</w:t>
      </w:r>
      <w:r w:rsidR="009E5E4E" w:rsidRPr="00B0307C">
        <w:rPr>
          <w:rFonts w:ascii="Times New Roman" w:hAnsi="Times New Roman" w:cs="Times New Roman"/>
          <w:bCs/>
          <w:i/>
          <w:sz w:val="24"/>
        </w:rPr>
        <w:t xml:space="preserve">: </w:t>
      </w:r>
      <w:r w:rsidR="00726174" w:rsidRPr="00726174">
        <w:rPr>
          <w:rFonts w:ascii="Times New Roman" w:hAnsi="Times New Roman" w:cs="Times New Roman"/>
          <w:bCs/>
          <w:i/>
          <w:sz w:val="24"/>
        </w:rPr>
        <w:t xml:space="preserve">The </w:t>
      </w:r>
      <w:r w:rsidR="002849A5">
        <w:rPr>
          <w:rFonts w:ascii="Times New Roman" w:hAnsi="Times New Roman" w:cs="Times New Roman"/>
          <w:bCs/>
          <w:i/>
          <w:sz w:val="24"/>
        </w:rPr>
        <w:t xml:space="preserve">target firm </w:t>
      </w:r>
      <w:r w:rsidR="00726174" w:rsidRPr="00726174">
        <w:rPr>
          <w:rFonts w:ascii="Times New Roman" w:hAnsi="Times New Roman" w:cs="Times New Roman"/>
          <w:bCs/>
          <w:i/>
          <w:sz w:val="24"/>
        </w:rPr>
        <w:t xml:space="preserve">cross-border effect is </w:t>
      </w:r>
      <w:r w:rsidR="00611454">
        <w:rPr>
          <w:rFonts w:ascii="Times New Roman" w:hAnsi="Times New Roman" w:cs="Times New Roman"/>
          <w:bCs/>
          <w:i/>
          <w:sz w:val="24"/>
        </w:rPr>
        <w:t>affected by</w:t>
      </w:r>
      <w:r w:rsidR="00726174" w:rsidRPr="00726174">
        <w:rPr>
          <w:rFonts w:ascii="Times New Roman" w:hAnsi="Times New Roman" w:cs="Times New Roman"/>
          <w:bCs/>
          <w:i/>
          <w:sz w:val="24"/>
        </w:rPr>
        <w:t xml:space="preserve"> the differences in the deal and firm specific characteristics in </w:t>
      </w:r>
      <w:r w:rsidR="00726174">
        <w:rPr>
          <w:rFonts w:ascii="Times New Roman" w:hAnsi="Times New Roman" w:cs="Times New Roman"/>
          <w:bCs/>
          <w:i/>
          <w:sz w:val="24"/>
        </w:rPr>
        <w:t>domestic and cross-border deals</w:t>
      </w:r>
      <w:r w:rsidR="009E5E4E" w:rsidRPr="00B0307C">
        <w:rPr>
          <w:rFonts w:ascii="Times New Roman" w:hAnsi="Times New Roman" w:cs="Times New Roman"/>
          <w:bCs/>
          <w:i/>
          <w:sz w:val="24"/>
        </w:rPr>
        <w:t>.</w:t>
      </w:r>
      <w:r w:rsidR="009E5E4E" w:rsidRPr="00C56B34">
        <w:rPr>
          <w:rFonts w:ascii="Times New Roman" w:hAnsi="Times New Roman" w:cs="Times New Roman"/>
          <w:bCs/>
          <w:i/>
          <w:sz w:val="24"/>
        </w:rPr>
        <w:t xml:space="preserve"> </w:t>
      </w:r>
    </w:p>
    <w:p w14:paraId="48B1B036" w14:textId="76DC3D78" w:rsidR="00AA7B5A" w:rsidRPr="00C56B34" w:rsidRDefault="00AA7B5A" w:rsidP="0031610F">
      <w:pPr>
        <w:spacing w:after="0" w:line="360" w:lineRule="auto"/>
        <w:ind w:left="720"/>
        <w:jc w:val="both"/>
        <w:rPr>
          <w:rFonts w:ascii="Times New Roman" w:hAnsi="Times New Roman" w:cs="Times New Roman"/>
          <w:bCs/>
          <w:i/>
          <w:sz w:val="24"/>
        </w:rPr>
      </w:pPr>
      <w:r w:rsidRPr="00C56B34">
        <w:rPr>
          <w:rFonts w:ascii="Times New Roman" w:hAnsi="Times New Roman" w:cs="Times New Roman"/>
          <w:bCs/>
          <w:i/>
          <w:sz w:val="24"/>
        </w:rPr>
        <w:t xml:space="preserve">H0: Deal and firm specific characteristics </w:t>
      </w:r>
      <w:r w:rsidR="002849A5">
        <w:rPr>
          <w:rFonts w:ascii="Times New Roman" w:hAnsi="Times New Roman" w:cs="Times New Roman"/>
          <w:bCs/>
          <w:i/>
          <w:sz w:val="24"/>
        </w:rPr>
        <w:t>do</w:t>
      </w:r>
      <w:r w:rsidRPr="00C56B34">
        <w:rPr>
          <w:rFonts w:ascii="Times New Roman" w:hAnsi="Times New Roman" w:cs="Times New Roman"/>
          <w:bCs/>
          <w:i/>
          <w:sz w:val="24"/>
        </w:rPr>
        <w:t xml:space="preserve"> no</w:t>
      </w:r>
      <w:r w:rsidR="002849A5">
        <w:rPr>
          <w:rFonts w:ascii="Times New Roman" w:hAnsi="Times New Roman" w:cs="Times New Roman"/>
          <w:bCs/>
          <w:i/>
          <w:sz w:val="24"/>
        </w:rPr>
        <w:t>t</w:t>
      </w:r>
      <w:r w:rsidRPr="00C56B34">
        <w:rPr>
          <w:rFonts w:ascii="Times New Roman" w:hAnsi="Times New Roman" w:cs="Times New Roman"/>
          <w:bCs/>
          <w:i/>
          <w:sz w:val="24"/>
        </w:rPr>
        <w:t xml:space="preserve"> </w:t>
      </w:r>
      <w:r w:rsidR="00611454">
        <w:rPr>
          <w:rFonts w:ascii="Times New Roman" w:hAnsi="Times New Roman" w:cs="Times New Roman"/>
          <w:bCs/>
          <w:i/>
          <w:sz w:val="24"/>
        </w:rPr>
        <w:t>influence</w:t>
      </w:r>
      <w:r w:rsidR="002849A5">
        <w:rPr>
          <w:rFonts w:ascii="Times New Roman" w:hAnsi="Times New Roman" w:cs="Times New Roman"/>
          <w:bCs/>
          <w:i/>
          <w:sz w:val="24"/>
        </w:rPr>
        <w:t xml:space="preserve"> the target firm cross-border effect</w:t>
      </w:r>
      <w:r w:rsidRPr="00C56B34">
        <w:rPr>
          <w:rFonts w:ascii="Times New Roman" w:hAnsi="Times New Roman" w:cs="Times New Roman"/>
          <w:bCs/>
          <w:i/>
          <w:sz w:val="24"/>
        </w:rPr>
        <w:t xml:space="preserve"> in </w:t>
      </w:r>
      <w:r w:rsidR="002849A5">
        <w:rPr>
          <w:rFonts w:ascii="Times New Roman" w:hAnsi="Times New Roman" w:cs="Times New Roman"/>
          <w:bCs/>
          <w:i/>
          <w:sz w:val="24"/>
        </w:rPr>
        <w:t xml:space="preserve">domestic and </w:t>
      </w:r>
      <w:r w:rsidRPr="00C56B34">
        <w:rPr>
          <w:rFonts w:ascii="Times New Roman" w:hAnsi="Times New Roman" w:cs="Times New Roman"/>
          <w:bCs/>
          <w:i/>
          <w:sz w:val="24"/>
        </w:rPr>
        <w:t>cross-border acquisition</w:t>
      </w:r>
      <w:r w:rsidR="00DF6DB2">
        <w:rPr>
          <w:rFonts w:ascii="Times New Roman" w:hAnsi="Times New Roman" w:cs="Times New Roman"/>
          <w:bCs/>
          <w:i/>
          <w:sz w:val="24"/>
        </w:rPr>
        <w:t>s</w:t>
      </w:r>
      <w:r w:rsidRPr="00C56B34">
        <w:rPr>
          <w:rFonts w:ascii="Times New Roman" w:hAnsi="Times New Roman" w:cs="Times New Roman"/>
          <w:bCs/>
          <w:i/>
          <w:sz w:val="24"/>
        </w:rPr>
        <w:t xml:space="preserve">. </w:t>
      </w:r>
    </w:p>
    <w:p w14:paraId="5D0A146B" w14:textId="77777777" w:rsidR="00AA7B5A" w:rsidRPr="00C56B34" w:rsidRDefault="00AA7B5A" w:rsidP="00AA7B5A">
      <w:pPr>
        <w:spacing w:after="0" w:line="360" w:lineRule="auto"/>
        <w:jc w:val="both"/>
        <w:rPr>
          <w:rFonts w:ascii="Times New Roman" w:hAnsi="Times New Roman" w:cs="Times New Roman"/>
          <w:bCs/>
          <w:sz w:val="24"/>
        </w:rPr>
      </w:pPr>
    </w:p>
    <w:p w14:paraId="533063C3" w14:textId="605F726F" w:rsidR="005631B1" w:rsidRPr="00483730" w:rsidRDefault="00AA7B5A" w:rsidP="005631B1">
      <w:pPr>
        <w:spacing w:after="0" w:line="360" w:lineRule="auto"/>
        <w:jc w:val="both"/>
        <w:rPr>
          <w:rFonts w:ascii="Times New Roman" w:hAnsi="Times New Roman" w:cs="Times New Roman"/>
          <w:bCs/>
          <w:sz w:val="24"/>
        </w:rPr>
      </w:pPr>
      <w:r w:rsidRPr="00C56B34">
        <w:rPr>
          <w:rFonts w:ascii="Times New Roman" w:hAnsi="Times New Roman" w:cs="Times New Roman"/>
          <w:bCs/>
          <w:sz w:val="24"/>
        </w:rPr>
        <w:t>To</w:t>
      </w:r>
      <w:r w:rsidRPr="00C56B34">
        <w:rPr>
          <w:rFonts w:ascii="Times New Roman" w:hAnsi="Times New Roman" w:cs="Times New Roman"/>
          <w:bCs/>
          <w:i/>
          <w:sz w:val="24"/>
        </w:rPr>
        <w:t xml:space="preserve"> </w:t>
      </w:r>
      <w:r w:rsidR="00A55327">
        <w:rPr>
          <w:rFonts w:ascii="Times New Roman" w:hAnsi="Times New Roman" w:cs="Times New Roman"/>
          <w:bCs/>
          <w:iCs/>
          <w:sz w:val="24"/>
        </w:rPr>
        <w:t xml:space="preserve">test </w:t>
      </w:r>
      <w:r w:rsidR="00616CD3" w:rsidRPr="00C56B34">
        <w:rPr>
          <w:rFonts w:ascii="Times New Roman" w:hAnsi="Times New Roman" w:cs="Times New Roman"/>
          <w:bCs/>
          <w:sz w:val="24"/>
        </w:rPr>
        <w:t xml:space="preserve">the </w:t>
      </w:r>
      <w:r w:rsidR="00A55327">
        <w:rPr>
          <w:rFonts w:ascii="Times New Roman" w:hAnsi="Times New Roman" w:cs="Times New Roman"/>
          <w:bCs/>
          <w:sz w:val="24"/>
        </w:rPr>
        <w:t>fifth</w:t>
      </w:r>
      <w:r w:rsidR="00DF6DB2">
        <w:rPr>
          <w:rFonts w:ascii="Times New Roman" w:hAnsi="Times New Roman" w:cs="Times New Roman"/>
          <w:bCs/>
          <w:sz w:val="24"/>
        </w:rPr>
        <w:t xml:space="preserve"> hypothesis, several </w:t>
      </w:r>
      <w:r w:rsidR="00616CD3" w:rsidRPr="00C56B34">
        <w:rPr>
          <w:rFonts w:ascii="Times New Roman" w:hAnsi="Times New Roman" w:cs="Times New Roman"/>
          <w:bCs/>
          <w:sz w:val="24"/>
        </w:rPr>
        <w:t xml:space="preserve">firm and deal specific characteristics, discussed in </w:t>
      </w:r>
      <w:r w:rsidR="00211B8E" w:rsidRPr="00C56B34">
        <w:rPr>
          <w:rFonts w:ascii="Times New Roman" w:hAnsi="Times New Roman" w:cs="Times New Roman"/>
          <w:bCs/>
          <w:sz w:val="24"/>
        </w:rPr>
        <w:t>detail</w:t>
      </w:r>
      <w:r w:rsidR="00616CD3" w:rsidRPr="00C56B34">
        <w:rPr>
          <w:rFonts w:ascii="Times New Roman" w:hAnsi="Times New Roman" w:cs="Times New Roman"/>
          <w:bCs/>
          <w:sz w:val="24"/>
        </w:rPr>
        <w:t xml:space="preserve"> in section 2.1.5</w:t>
      </w:r>
      <w:r w:rsidR="005631B1" w:rsidRPr="00C56B34">
        <w:rPr>
          <w:rFonts w:ascii="Times New Roman" w:hAnsi="Times New Roman" w:cs="Times New Roman"/>
          <w:bCs/>
          <w:sz w:val="24"/>
        </w:rPr>
        <w:t xml:space="preserve">, will be used as control variables. </w:t>
      </w:r>
      <w:r w:rsidR="00483730">
        <w:rPr>
          <w:rFonts w:ascii="Times New Roman" w:hAnsi="Times New Roman" w:cs="Times New Roman"/>
          <w:bCs/>
          <w:sz w:val="24"/>
        </w:rPr>
        <w:t xml:space="preserve">These control variables will be used in the cross-sectional analysis of target firms in domestic and cross-border deals. </w:t>
      </w:r>
      <w:r w:rsidR="005631B1" w:rsidRPr="00C56B34">
        <w:rPr>
          <w:rFonts w:ascii="Times New Roman" w:hAnsi="Times New Roman" w:cs="Times New Roman"/>
          <w:bCs/>
          <w:iCs/>
          <w:sz w:val="24"/>
        </w:rPr>
        <w:t xml:space="preserve">If these control variables are </w:t>
      </w:r>
      <w:r w:rsidR="002849A5">
        <w:rPr>
          <w:rFonts w:ascii="Times New Roman" w:hAnsi="Times New Roman" w:cs="Times New Roman"/>
          <w:bCs/>
          <w:iCs/>
          <w:sz w:val="24"/>
        </w:rPr>
        <w:t>discovered</w:t>
      </w:r>
      <w:r w:rsidR="005631B1" w:rsidRPr="00C56B34">
        <w:rPr>
          <w:rFonts w:ascii="Times New Roman" w:hAnsi="Times New Roman" w:cs="Times New Roman"/>
          <w:bCs/>
          <w:iCs/>
          <w:sz w:val="24"/>
        </w:rPr>
        <w:t xml:space="preserve"> to have a significant effect on the </w:t>
      </w:r>
      <w:r w:rsidR="002849A5">
        <w:rPr>
          <w:rFonts w:ascii="Times New Roman" w:hAnsi="Times New Roman" w:cs="Times New Roman"/>
          <w:bCs/>
          <w:iCs/>
          <w:sz w:val="24"/>
        </w:rPr>
        <w:t>rate</w:t>
      </w:r>
      <w:r w:rsidR="005631B1" w:rsidRPr="00C56B34">
        <w:rPr>
          <w:rFonts w:ascii="Times New Roman" w:hAnsi="Times New Roman" w:cs="Times New Roman"/>
          <w:bCs/>
          <w:iCs/>
          <w:sz w:val="24"/>
        </w:rPr>
        <w:t xml:space="preserve"> of </w:t>
      </w:r>
      <w:r w:rsidR="002849A5">
        <w:rPr>
          <w:rFonts w:ascii="Times New Roman" w:hAnsi="Times New Roman" w:cs="Times New Roman"/>
          <w:bCs/>
          <w:iCs/>
          <w:sz w:val="24"/>
        </w:rPr>
        <w:t xml:space="preserve">cumulative </w:t>
      </w:r>
      <w:r w:rsidR="005631B1" w:rsidRPr="00C56B34">
        <w:rPr>
          <w:rFonts w:ascii="Times New Roman" w:hAnsi="Times New Roman" w:cs="Times New Roman"/>
          <w:bCs/>
          <w:iCs/>
          <w:sz w:val="24"/>
        </w:rPr>
        <w:t xml:space="preserve">abnormal returns, then the null hypothesis will be rejected, and the </w:t>
      </w:r>
      <w:r w:rsidR="00483730">
        <w:rPr>
          <w:rFonts w:ascii="Times New Roman" w:hAnsi="Times New Roman" w:cs="Times New Roman"/>
          <w:bCs/>
          <w:iCs/>
          <w:sz w:val="24"/>
        </w:rPr>
        <w:t>fifth</w:t>
      </w:r>
      <w:r w:rsidR="00483730" w:rsidRPr="00C56B34">
        <w:rPr>
          <w:rFonts w:ascii="Times New Roman" w:hAnsi="Times New Roman" w:cs="Times New Roman"/>
          <w:bCs/>
          <w:iCs/>
          <w:sz w:val="24"/>
        </w:rPr>
        <w:t xml:space="preserve"> hypothesis</w:t>
      </w:r>
      <w:r w:rsidR="0056109C">
        <w:rPr>
          <w:rFonts w:ascii="Times New Roman" w:hAnsi="Times New Roman" w:cs="Times New Roman"/>
          <w:bCs/>
          <w:iCs/>
          <w:sz w:val="24"/>
        </w:rPr>
        <w:t xml:space="preserve"> will be </w:t>
      </w:r>
      <w:r w:rsidR="002849A5">
        <w:rPr>
          <w:rFonts w:ascii="Times New Roman" w:hAnsi="Times New Roman" w:cs="Times New Roman"/>
          <w:bCs/>
          <w:iCs/>
          <w:sz w:val="24"/>
        </w:rPr>
        <w:t>adopted</w:t>
      </w:r>
      <w:r w:rsidR="0056109C">
        <w:rPr>
          <w:rFonts w:ascii="Times New Roman" w:hAnsi="Times New Roman" w:cs="Times New Roman"/>
          <w:bCs/>
          <w:iCs/>
          <w:sz w:val="24"/>
        </w:rPr>
        <w:t xml:space="preserve"> as a driving </w:t>
      </w:r>
      <w:r w:rsidR="002849A5">
        <w:rPr>
          <w:rFonts w:ascii="Times New Roman" w:hAnsi="Times New Roman" w:cs="Times New Roman"/>
          <w:bCs/>
          <w:iCs/>
          <w:sz w:val="24"/>
        </w:rPr>
        <w:t>force to the target firm</w:t>
      </w:r>
      <w:r w:rsidR="005631B1" w:rsidRPr="00C56B34">
        <w:rPr>
          <w:rFonts w:ascii="Times New Roman" w:hAnsi="Times New Roman" w:cs="Times New Roman"/>
          <w:bCs/>
          <w:iCs/>
          <w:sz w:val="24"/>
        </w:rPr>
        <w:t xml:space="preserve"> cross-border effect.</w:t>
      </w:r>
    </w:p>
    <w:p w14:paraId="2F92DD54" w14:textId="63C68D87" w:rsidR="00174446" w:rsidRPr="00C56B34" w:rsidRDefault="00174446" w:rsidP="005631B1">
      <w:pPr>
        <w:spacing w:after="0" w:line="360" w:lineRule="auto"/>
        <w:jc w:val="both"/>
        <w:rPr>
          <w:rFonts w:asciiTheme="majorBidi" w:hAnsiTheme="majorBidi" w:cstheme="majorBidi"/>
          <w:b/>
          <w:sz w:val="24"/>
          <w:szCs w:val="32"/>
        </w:rPr>
      </w:pPr>
    </w:p>
    <w:p w14:paraId="68254B7D" w14:textId="3F7D8155" w:rsidR="005614B5" w:rsidRPr="004065CA" w:rsidRDefault="004065CA" w:rsidP="004065CA">
      <w:pPr>
        <w:spacing w:after="120" w:line="360" w:lineRule="auto"/>
        <w:rPr>
          <w:rFonts w:asciiTheme="majorBidi" w:hAnsiTheme="majorBidi" w:cstheme="majorBidi"/>
          <w:b/>
          <w:sz w:val="24"/>
          <w:szCs w:val="32"/>
        </w:rPr>
      </w:pPr>
      <w:r w:rsidRPr="004065CA">
        <w:rPr>
          <w:rFonts w:ascii="Times New Roman" w:hAnsi="Times New Roman" w:cs="Times New Roman"/>
          <w:b/>
          <w:sz w:val="24"/>
        </w:rPr>
        <w:t>3.</w:t>
      </w:r>
      <w:r>
        <w:rPr>
          <w:rFonts w:ascii="Times New Roman" w:hAnsi="Times New Roman" w:cs="Times New Roman"/>
          <w:b/>
          <w:sz w:val="24"/>
        </w:rPr>
        <w:t xml:space="preserve"> </w:t>
      </w:r>
      <w:r w:rsidR="00C46074" w:rsidRPr="004065CA">
        <w:rPr>
          <w:rFonts w:ascii="Times New Roman" w:hAnsi="Times New Roman" w:cs="Times New Roman"/>
          <w:b/>
          <w:sz w:val="24"/>
        </w:rPr>
        <w:t>Data</w:t>
      </w:r>
    </w:p>
    <w:p w14:paraId="016722B4" w14:textId="1426EA3C" w:rsidR="00C46074" w:rsidRPr="00C56B34" w:rsidRDefault="00C46074" w:rsidP="00C46074">
      <w:pPr>
        <w:spacing w:after="0" w:line="360" w:lineRule="auto"/>
        <w:jc w:val="both"/>
        <w:rPr>
          <w:rFonts w:ascii="Times New Roman" w:hAnsi="Times New Roman" w:cs="Times New Roman"/>
          <w:sz w:val="24"/>
        </w:rPr>
      </w:pPr>
      <w:r w:rsidRPr="00C56B34">
        <w:rPr>
          <w:rFonts w:ascii="Times New Roman" w:hAnsi="Times New Roman" w:cs="Times New Roman"/>
          <w:sz w:val="24"/>
        </w:rPr>
        <w:t xml:space="preserve">The sample used in this paper contains a total of 1089 acquisitions, in which </w:t>
      </w:r>
      <w:r w:rsidR="002849A5" w:rsidRPr="00C56B34">
        <w:rPr>
          <w:rFonts w:ascii="Times New Roman" w:hAnsi="Times New Roman" w:cs="Times New Roman"/>
          <w:sz w:val="24"/>
        </w:rPr>
        <w:t xml:space="preserve">654 </w:t>
      </w:r>
      <w:r w:rsidR="002849A5">
        <w:rPr>
          <w:rFonts w:ascii="Times New Roman" w:hAnsi="Times New Roman" w:cs="Times New Roman"/>
          <w:sz w:val="24"/>
        </w:rPr>
        <w:t xml:space="preserve">and 435 </w:t>
      </w:r>
      <w:r w:rsidR="002849A5" w:rsidRPr="00C56B34">
        <w:rPr>
          <w:rFonts w:ascii="Times New Roman" w:hAnsi="Times New Roman" w:cs="Times New Roman"/>
          <w:sz w:val="24"/>
        </w:rPr>
        <w:t xml:space="preserve">are domestic </w:t>
      </w:r>
      <w:r w:rsidR="002849A5">
        <w:rPr>
          <w:rFonts w:ascii="Times New Roman" w:hAnsi="Times New Roman" w:cs="Times New Roman"/>
          <w:sz w:val="24"/>
        </w:rPr>
        <w:t>and</w:t>
      </w:r>
      <w:r w:rsidRPr="00C56B34">
        <w:rPr>
          <w:rFonts w:ascii="Times New Roman" w:hAnsi="Times New Roman" w:cs="Times New Roman"/>
          <w:sz w:val="24"/>
        </w:rPr>
        <w:t xml:space="preserve"> cross-border </w:t>
      </w:r>
      <w:r w:rsidR="002849A5">
        <w:rPr>
          <w:rFonts w:ascii="Times New Roman" w:hAnsi="Times New Roman" w:cs="Times New Roman"/>
          <w:sz w:val="24"/>
        </w:rPr>
        <w:t>deals, respectively</w:t>
      </w:r>
      <w:r w:rsidRPr="00C56B34">
        <w:rPr>
          <w:rFonts w:ascii="Times New Roman" w:hAnsi="Times New Roman" w:cs="Times New Roman"/>
          <w:sz w:val="24"/>
        </w:rPr>
        <w:t>, for target firms listed in 10 different Western European countries: Austria, Belgium, France, Germany, Greece, Italy, Luxemburg, the Netherlands, Spain, and the United Kingdom (UK). The acquirers are divided into three main regions: Europe (EU), United States (US), and Asia. Acquirers not listed in any of these three regions are categorized in</w:t>
      </w:r>
      <w:r w:rsidR="00757F0C">
        <w:rPr>
          <w:rFonts w:ascii="Times New Roman" w:hAnsi="Times New Roman" w:cs="Times New Roman"/>
          <w:sz w:val="24"/>
        </w:rPr>
        <w:t xml:space="preserve"> the</w:t>
      </w:r>
      <w:r w:rsidRPr="00C56B34">
        <w:rPr>
          <w:rFonts w:ascii="Times New Roman" w:hAnsi="Times New Roman" w:cs="Times New Roman"/>
          <w:sz w:val="24"/>
        </w:rPr>
        <w:t xml:space="preserve"> </w:t>
      </w:r>
      <w:r w:rsidR="003A7F7D">
        <w:rPr>
          <w:rFonts w:ascii="Times New Roman" w:hAnsi="Times New Roman" w:cs="Times New Roman"/>
          <w:sz w:val="24"/>
        </w:rPr>
        <w:t>‘</w:t>
      </w:r>
      <w:r w:rsidRPr="00C56B34">
        <w:rPr>
          <w:rFonts w:ascii="Times New Roman" w:hAnsi="Times New Roman" w:cs="Times New Roman"/>
          <w:sz w:val="24"/>
        </w:rPr>
        <w:t>rest of the world</w:t>
      </w:r>
      <w:r w:rsidR="003A7F7D">
        <w:rPr>
          <w:rFonts w:ascii="Times New Roman" w:hAnsi="Times New Roman" w:cs="Times New Roman"/>
          <w:sz w:val="24"/>
        </w:rPr>
        <w:t>’</w:t>
      </w:r>
      <w:r w:rsidRPr="00C56B34">
        <w:rPr>
          <w:rFonts w:ascii="Times New Roman" w:hAnsi="Times New Roman" w:cs="Times New Roman"/>
          <w:sz w:val="24"/>
        </w:rPr>
        <w:t xml:space="preserve"> region. The acquisition sample is extracted from </w:t>
      </w:r>
      <w:r w:rsidRPr="00C56B34">
        <w:rPr>
          <w:rFonts w:ascii="Times New Roman" w:hAnsi="Times New Roman" w:cs="Times New Roman"/>
          <w:sz w:val="24"/>
        </w:rPr>
        <w:lastRenderedPageBreak/>
        <w:t xml:space="preserve">Thomson One for a time period </w:t>
      </w:r>
      <w:r w:rsidR="00F843CA">
        <w:rPr>
          <w:rFonts w:ascii="Times New Roman" w:hAnsi="Times New Roman" w:cs="Times New Roman"/>
          <w:sz w:val="24"/>
        </w:rPr>
        <w:t>from</w:t>
      </w:r>
      <w:r w:rsidRPr="00C56B34">
        <w:rPr>
          <w:rFonts w:ascii="Times New Roman" w:hAnsi="Times New Roman" w:cs="Times New Roman"/>
          <w:sz w:val="24"/>
        </w:rPr>
        <w:t xml:space="preserve"> January 1, 1990</w:t>
      </w:r>
      <w:r w:rsidR="00757F0C">
        <w:rPr>
          <w:rFonts w:ascii="Times New Roman" w:hAnsi="Times New Roman" w:cs="Times New Roman"/>
          <w:sz w:val="24"/>
        </w:rPr>
        <w:t>,</w:t>
      </w:r>
      <w:r w:rsidRPr="00C56B34">
        <w:rPr>
          <w:rFonts w:ascii="Times New Roman" w:hAnsi="Times New Roman" w:cs="Times New Roman"/>
          <w:sz w:val="24"/>
        </w:rPr>
        <w:t xml:space="preserve"> </w:t>
      </w:r>
      <w:r w:rsidR="00F843CA">
        <w:rPr>
          <w:rFonts w:ascii="Times New Roman" w:hAnsi="Times New Roman" w:cs="Times New Roman"/>
          <w:sz w:val="24"/>
        </w:rPr>
        <w:t>to</w:t>
      </w:r>
      <w:r w:rsidRPr="00C56B34">
        <w:rPr>
          <w:rFonts w:ascii="Times New Roman" w:hAnsi="Times New Roman" w:cs="Times New Roman"/>
          <w:sz w:val="24"/>
        </w:rPr>
        <w:t xml:space="preserve"> December 31, 2018</w:t>
      </w:r>
      <w:r w:rsidR="00757F0C">
        <w:rPr>
          <w:rFonts w:ascii="Times New Roman" w:hAnsi="Times New Roman" w:cs="Times New Roman"/>
          <w:sz w:val="24"/>
        </w:rPr>
        <w:t>,</w:t>
      </w:r>
      <w:r w:rsidRPr="00C56B34">
        <w:rPr>
          <w:rFonts w:ascii="Times New Roman" w:hAnsi="Times New Roman" w:cs="Times New Roman"/>
          <w:sz w:val="24"/>
        </w:rPr>
        <w:t xml:space="preserve"> </w:t>
      </w:r>
      <w:r w:rsidR="00F843CA">
        <w:rPr>
          <w:rFonts w:ascii="Times New Roman" w:hAnsi="Times New Roman" w:cs="Times New Roman"/>
          <w:sz w:val="24"/>
        </w:rPr>
        <w:t>which</w:t>
      </w:r>
      <w:r w:rsidRPr="00C56B34">
        <w:rPr>
          <w:rFonts w:ascii="Times New Roman" w:hAnsi="Times New Roman" w:cs="Times New Roman"/>
          <w:sz w:val="24"/>
        </w:rPr>
        <w:t xml:space="preserve"> meet</w:t>
      </w:r>
      <w:r w:rsidR="00F843CA">
        <w:rPr>
          <w:rFonts w:ascii="Times New Roman" w:hAnsi="Times New Roman" w:cs="Times New Roman"/>
          <w:sz w:val="24"/>
        </w:rPr>
        <w:t>s</w:t>
      </w:r>
      <w:r w:rsidRPr="00C56B34">
        <w:rPr>
          <w:rFonts w:ascii="Times New Roman" w:hAnsi="Times New Roman" w:cs="Times New Roman"/>
          <w:sz w:val="24"/>
        </w:rPr>
        <w:t xml:space="preserve"> the following criteria:</w:t>
      </w:r>
    </w:p>
    <w:p w14:paraId="6CAB01B2" w14:textId="77777777" w:rsidR="00C46074" w:rsidRPr="00C56B34" w:rsidRDefault="00C46074" w:rsidP="00C46074">
      <w:pPr>
        <w:spacing w:after="0" w:line="360" w:lineRule="auto"/>
        <w:jc w:val="both"/>
        <w:rPr>
          <w:rFonts w:ascii="Times New Roman" w:hAnsi="Times New Roman" w:cs="Times New Roman"/>
          <w:sz w:val="24"/>
        </w:rPr>
      </w:pPr>
      <w:r w:rsidRPr="00C56B34">
        <w:rPr>
          <w:rFonts w:ascii="Times New Roman" w:hAnsi="Times New Roman" w:cs="Times New Roman"/>
          <w:sz w:val="24"/>
        </w:rPr>
        <w:tab/>
      </w:r>
    </w:p>
    <w:p w14:paraId="776CED3E" w14:textId="77777777" w:rsidR="00C46074" w:rsidRPr="00C56B34" w:rsidRDefault="00C46074" w:rsidP="00C46074">
      <w:pPr>
        <w:pStyle w:val="ListParagraph"/>
        <w:numPr>
          <w:ilvl w:val="0"/>
          <w:numId w:val="8"/>
        </w:numPr>
        <w:spacing w:after="0" w:line="360" w:lineRule="auto"/>
        <w:jc w:val="both"/>
        <w:rPr>
          <w:rFonts w:ascii="Times New Roman" w:hAnsi="Times New Roman" w:cs="Times New Roman"/>
          <w:i/>
          <w:sz w:val="24"/>
        </w:rPr>
      </w:pPr>
      <w:r w:rsidRPr="00C56B34">
        <w:rPr>
          <w:rFonts w:ascii="Times New Roman" w:hAnsi="Times New Roman" w:cs="Times New Roman"/>
          <w:i/>
          <w:sz w:val="24"/>
        </w:rPr>
        <w:t>The target firm is listed in one of the 10 countries mentioned above.</w:t>
      </w:r>
    </w:p>
    <w:p w14:paraId="28D65857" w14:textId="77777777" w:rsidR="00C46074" w:rsidRPr="00C56B34" w:rsidRDefault="00C46074" w:rsidP="00C46074">
      <w:pPr>
        <w:pStyle w:val="ListParagraph"/>
        <w:numPr>
          <w:ilvl w:val="0"/>
          <w:numId w:val="8"/>
        </w:numPr>
        <w:spacing w:after="0" w:line="360" w:lineRule="auto"/>
        <w:jc w:val="both"/>
        <w:rPr>
          <w:rFonts w:ascii="Times New Roman" w:hAnsi="Times New Roman" w:cs="Times New Roman"/>
          <w:i/>
          <w:sz w:val="24"/>
        </w:rPr>
      </w:pPr>
      <w:r w:rsidRPr="00C56B34">
        <w:rPr>
          <w:rFonts w:ascii="Times New Roman" w:hAnsi="Times New Roman" w:cs="Times New Roman"/>
          <w:i/>
          <w:sz w:val="24"/>
        </w:rPr>
        <w:t xml:space="preserve">Both the target and acquirer are public listed firms. </w:t>
      </w:r>
    </w:p>
    <w:p w14:paraId="4207BBFA" w14:textId="77777777" w:rsidR="00C46074" w:rsidRPr="00C56B34" w:rsidRDefault="00C46074" w:rsidP="00C46074">
      <w:pPr>
        <w:pStyle w:val="ListParagraph"/>
        <w:numPr>
          <w:ilvl w:val="0"/>
          <w:numId w:val="8"/>
        </w:numPr>
        <w:spacing w:after="0" w:line="360" w:lineRule="auto"/>
        <w:jc w:val="both"/>
        <w:rPr>
          <w:rFonts w:ascii="Times New Roman" w:hAnsi="Times New Roman" w:cs="Times New Roman"/>
          <w:i/>
          <w:sz w:val="24"/>
        </w:rPr>
      </w:pPr>
      <w:r w:rsidRPr="00C56B34">
        <w:rPr>
          <w:rFonts w:ascii="Times New Roman" w:hAnsi="Times New Roman" w:cs="Times New Roman"/>
          <w:i/>
          <w:sz w:val="24"/>
        </w:rPr>
        <w:t xml:space="preserve">The acquirer acquired at least 50% stake in the target firm. </w:t>
      </w:r>
    </w:p>
    <w:p w14:paraId="3DC32C67" w14:textId="77777777" w:rsidR="00C46074" w:rsidRPr="00C56B34" w:rsidRDefault="00C46074" w:rsidP="00C46074">
      <w:pPr>
        <w:pStyle w:val="ListParagraph"/>
        <w:numPr>
          <w:ilvl w:val="0"/>
          <w:numId w:val="8"/>
        </w:numPr>
        <w:spacing w:after="0" w:line="360" w:lineRule="auto"/>
        <w:jc w:val="both"/>
        <w:rPr>
          <w:rFonts w:ascii="Times New Roman" w:hAnsi="Times New Roman" w:cs="Times New Roman"/>
          <w:i/>
          <w:sz w:val="24"/>
        </w:rPr>
      </w:pPr>
      <w:r w:rsidRPr="00C56B34">
        <w:rPr>
          <w:rFonts w:ascii="Times New Roman" w:hAnsi="Times New Roman" w:cs="Times New Roman"/>
          <w:i/>
          <w:sz w:val="24"/>
        </w:rPr>
        <w:t xml:space="preserve">Both target and acquirer are not financial or governmental institutions.  </w:t>
      </w:r>
    </w:p>
    <w:p w14:paraId="038B494F" w14:textId="77777777" w:rsidR="00C46074" w:rsidRPr="00C56B34" w:rsidRDefault="00C46074" w:rsidP="00C46074">
      <w:pPr>
        <w:spacing w:after="0" w:line="360" w:lineRule="auto"/>
        <w:ind w:firstLine="284"/>
        <w:jc w:val="both"/>
        <w:rPr>
          <w:rFonts w:ascii="Times New Roman" w:hAnsi="Times New Roman" w:cs="Times New Roman"/>
          <w:sz w:val="24"/>
        </w:rPr>
      </w:pPr>
    </w:p>
    <w:p w14:paraId="1187FFAB" w14:textId="345CA64A" w:rsidR="00C46074" w:rsidRPr="00C56B34" w:rsidRDefault="00C46074" w:rsidP="00C46074">
      <w:pPr>
        <w:spacing w:after="0" w:line="360" w:lineRule="auto"/>
        <w:ind w:firstLine="284"/>
        <w:jc w:val="both"/>
        <w:rPr>
          <w:rFonts w:ascii="Times New Roman" w:hAnsi="Times New Roman" w:cs="Times New Roman"/>
          <w:sz w:val="24"/>
        </w:rPr>
      </w:pPr>
      <w:r w:rsidRPr="00C56B34">
        <w:rPr>
          <w:rFonts w:ascii="Times New Roman" w:hAnsi="Times New Roman" w:cs="Times New Roman"/>
          <w:sz w:val="24"/>
        </w:rPr>
        <w:t xml:space="preserve">The first three requirements are chosen for the sake of the study this paper is designed to conduct. The third requirement is, also, chosen to eliminate any disclosure biases, as acquisitions of minority interests, below 50%, can be affected by differences in disclosure requirements across countries (Erel, Liao, and Weisbach, 2012). The fourth requirement is chosen as these two industries can cause bias to the cross-border effect (Erel, Liao, and Weisbach, 2012). Deal information such as: the name, nationality, </w:t>
      </w:r>
      <w:r w:rsidR="00F843CA">
        <w:rPr>
          <w:rFonts w:ascii="Times New Roman" w:hAnsi="Times New Roman" w:cs="Times New Roman"/>
          <w:sz w:val="24"/>
        </w:rPr>
        <w:t>target industry, bidder industry</w:t>
      </w:r>
      <w:r w:rsidRPr="00C56B34">
        <w:rPr>
          <w:rFonts w:ascii="Times New Roman" w:hAnsi="Times New Roman" w:cs="Times New Roman"/>
          <w:sz w:val="24"/>
        </w:rPr>
        <w:t>, target firm’s financial multiplies, the deal attitude and value, whether or not the bidder firm had operations in Europe prior to the bid, the stake percentage acquir</w:t>
      </w:r>
      <w:r w:rsidRPr="00757F0C">
        <w:rPr>
          <w:rFonts w:ascii="Times New Roman" w:hAnsi="Times New Roman" w:cs="Times New Roman"/>
          <w:sz w:val="24"/>
        </w:rPr>
        <w:t xml:space="preserve">ed, the payment method of the deal and target’s firm enterprise value prior to the bid </w:t>
      </w:r>
      <w:r w:rsidR="00757F0C" w:rsidRPr="00757F0C">
        <w:rPr>
          <w:rFonts w:ascii="Times New Roman" w:hAnsi="Times New Roman" w:cs="Times New Roman"/>
          <w:sz w:val="24"/>
        </w:rPr>
        <w:t>are</w:t>
      </w:r>
      <w:r w:rsidRPr="00757F0C">
        <w:rPr>
          <w:rFonts w:ascii="Times New Roman" w:hAnsi="Times New Roman" w:cs="Times New Roman"/>
          <w:sz w:val="24"/>
        </w:rPr>
        <w:t xml:space="preserve"> all acquired from Thomson </w:t>
      </w:r>
      <w:r w:rsidR="00757F0C">
        <w:rPr>
          <w:rFonts w:ascii="Times New Roman" w:hAnsi="Times New Roman" w:cs="Times New Roman"/>
          <w:sz w:val="24"/>
        </w:rPr>
        <w:t>One</w:t>
      </w:r>
      <w:r w:rsidR="003A7F7D" w:rsidRPr="00757F0C">
        <w:rPr>
          <w:rFonts w:ascii="Times New Roman" w:hAnsi="Times New Roman" w:cs="Times New Roman"/>
          <w:sz w:val="24"/>
        </w:rPr>
        <w:t>, Bloomberg, and Financial Times</w:t>
      </w:r>
      <w:r w:rsidRPr="00757F0C">
        <w:rPr>
          <w:rFonts w:ascii="Times New Roman" w:hAnsi="Times New Roman" w:cs="Times New Roman"/>
          <w:sz w:val="24"/>
        </w:rPr>
        <w:t>.</w:t>
      </w:r>
      <w:r w:rsidR="003A7F7D">
        <w:rPr>
          <w:rFonts w:ascii="Times New Roman" w:hAnsi="Times New Roman" w:cs="Times New Roman"/>
          <w:sz w:val="24"/>
        </w:rPr>
        <w:t xml:space="preserve"> </w:t>
      </w:r>
      <w:r w:rsidRPr="00C56B34">
        <w:rPr>
          <w:rFonts w:ascii="Times New Roman" w:hAnsi="Times New Roman" w:cs="Times New Roman"/>
          <w:sz w:val="24"/>
        </w:rPr>
        <w:t>For each target firm, the monthly and daily returns</w:t>
      </w:r>
      <w:r w:rsidR="00757F0C">
        <w:rPr>
          <w:rFonts w:ascii="Times New Roman" w:hAnsi="Times New Roman" w:cs="Times New Roman"/>
          <w:sz w:val="24"/>
        </w:rPr>
        <w:t xml:space="preserve"> and abnormal returns,</w:t>
      </w:r>
      <w:r w:rsidRPr="00C56B34">
        <w:rPr>
          <w:rFonts w:ascii="Times New Roman" w:hAnsi="Times New Roman" w:cs="Times New Roman"/>
          <w:sz w:val="24"/>
        </w:rPr>
        <w:t xml:space="preserve"> around the deal announcement, are retrieved from Datastream, using the firm’s Datastream code which is retrieved </w:t>
      </w:r>
      <w:r w:rsidRPr="00757F0C">
        <w:rPr>
          <w:rFonts w:ascii="Times New Roman" w:hAnsi="Times New Roman" w:cs="Times New Roman"/>
          <w:sz w:val="24"/>
        </w:rPr>
        <w:t xml:space="preserve">from Thomson One. </w:t>
      </w:r>
      <w:r w:rsidR="00757F0C">
        <w:rPr>
          <w:rFonts w:ascii="Times New Roman" w:hAnsi="Times New Roman" w:cs="Times New Roman"/>
          <w:sz w:val="24"/>
        </w:rPr>
        <w:t xml:space="preserve">The </w:t>
      </w:r>
      <w:r w:rsidR="00F843CA">
        <w:rPr>
          <w:rFonts w:ascii="Times New Roman" w:hAnsi="Times New Roman" w:cs="Times New Roman"/>
          <w:sz w:val="24"/>
        </w:rPr>
        <w:t xml:space="preserve">currency </w:t>
      </w:r>
      <w:r w:rsidR="00757F0C">
        <w:rPr>
          <w:rFonts w:ascii="Times New Roman" w:hAnsi="Times New Roman" w:cs="Times New Roman"/>
          <w:sz w:val="24"/>
        </w:rPr>
        <w:t>e</w:t>
      </w:r>
      <w:r w:rsidRPr="00757F0C">
        <w:rPr>
          <w:rFonts w:ascii="Times New Roman" w:hAnsi="Times New Roman" w:cs="Times New Roman"/>
          <w:sz w:val="24"/>
        </w:rPr>
        <w:t xml:space="preserve">xchange rate of the acquirer’s to target’s currency </w:t>
      </w:r>
      <w:r w:rsidR="003A7F7D" w:rsidRPr="00757F0C">
        <w:rPr>
          <w:rFonts w:ascii="Times New Roman" w:hAnsi="Times New Roman" w:cs="Times New Roman"/>
          <w:sz w:val="24"/>
        </w:rPr>
        <w:t>is</w:t>
      </w:r>
      <w:r w:rsidRPr="00757F0C">
        <w:rPr>
          <w:rFonts w:ascii="Times New Roman" w:hAnsi="Times New Roman" w:cs="Times New Roman"/>
          <w:sz w:val="24"/>
        </w:rPr>
        <w:t xml:space="preserve"> download</w:t>
      </w:r>
      <w:r w:rsidR="003A7F7D" w:rsidRPr="00757F0C">
        <w:rPr>
          <w:rFonts w:ascii="Times New Roman" w:hAnsi="Times New Roman" w:cs="Times New Roman"/>
          <w:sz w:val="24"/>
        </w:rPr>
        <w:t>ed</w:t>
      </w:r>
      <w:r w:rsidRPr="00757F0C">
        <w:rPr>
          <w:rFonts w:ascii="Times New Roman" w:hAnsi="Times New Roman" w:cs="Times New Roman"/>
          <w:sz w:val="24"/>
        </w:rPr>
        <w:t xml:space="preserve"> from Bloomberg. For each target firm</w:t>
      </w:r>
      <w:r w:rsidR="00D05907" w:rsidRPr="00757F0C">
        <w:rPr>
          <w:rFonts w:ascii="Times New Roman" w:hAnsi="Times New Roman" w:cs="Times New Roman"/>
          <w:sz w:val="24"/>
        </w:rPr>
        <w:t>, an</w:t>
      </w:r>
      <w:r w:rsidR="00D05907" w:rsidRPr="00757F0C">
        <w:rPr>
          <w:rFonts w:ascii="Times New Roman" w:eastAsiaTheme="minorEastAsia" w:hAnsi="Times New Roman" w:cs="Times New Roman"/>
          <w:color w:val="222222"/>
          <w:sz w:val="24"/>
          <w:szCs w:val="20"/>
          <w:shd w:val="clear" w:color="auto" w:fill="FFFFFF"/>
        </w:rPr>
        <w:t xml:space="preserve"> equally weighted index of all the country’s listed shares is used </w:t>
      </w:r>
      <w:r w:rsidR="00757F0C">
        <w:rPr>
          <w:rFonts w:ascii="Times New Roman" w:eastAsiaTheme="minorEastAsia" w:hAnsi="Times New Roman" w:cs="Times New Roman"/>
          <w:color w:val="222222"/>
          <w:sz w:val="24"/>
          <w:szCs w:val="20"/>
          <w:shd w:val="clear" w:color="auto" w:fill="FFFFFF"/>
        </w:rPr>
        <w:t xml:space="preserve">as a benchmark </w:t>
      </w:r>
      <w:r w:rsidR="00D05907" w:rsidRPr="00757F0C">
        <w:rPr>
          <w:rFonts w:ascii="Times New Roman" w:eastAsiaTheme="minorEastAsia" w:hAnsi="Times New Roman" w:cs="Times New Roman"/>
          <w:color w:val="222222"/>
          <w:sz w:val="24"/>
          <w:szCs w:val="20"/>
          <w:shd w:val="clear" w:color="auto" w:fill="FFFFFF"/>
        </w:rPr>
        <w:t>to calculate the normal returns.</w:t>
      </w:r>
    </w:p>
    <w:p w14:paraId="2967FDCB" w14:textId="68FDC0DA" w:rsidR="00C46074" w:rsidRPr="00C56B34" w:rsidRDefault="00C46074" w:rsidP="00C46074">
      <w:pPr>
        <w:spacing w:after="0" w:line="360" w:lineRule="auto"/>
        <w:ind w:firstLine="284"/>
        <w:jc w:val="both"/>
        <w:rPr>
          <w:rFonts w:ascii="Times New Roman" w:hAnsi="Times New Roman" w:cs="Times New Roman"/>
          <w:sz w:val="24"/>
        </w:rPr>
      </w:pPr>
      <w:r w:rsidRPr="00C56B34">
        <w:rPr>
          <w:rFonts w:ascii="Times New Roman" w:hAnsi="Times New Roman" w:cs="Times New Roman"/>
          <w:sz w:val="24"/>
        </w:rPr>
        <w:t xml:space="preserve">The sample of European target firms is divided into two main subgroups; one for target firms acquired by cross-border acquirers and one for those acquired by domestic </w:t>
      </w:r>
      <w:r w:rsidR="002261AF">
        <w:rPr>
          <w:rFonts w:ascii="Times New Roman" w:hAnsi="Times New Roman" w:cs="Times New Roman"/>
          <w:sz w:val="24"/>
        </w:rPr>
        <w:t>bidders</w:t>
      </w:r>
      <w:r w:rsidRPr="00C56B34">
        <w:rPr>
          <w:rFonts w:ascii="Times New Roman" w:hAnsi="Times New Roman" w:cs="Times New Roman"/>
          <w:sz w:val="24"/>
        </w:rPr>
        <w:t>.</w:t>
      </w:r>
      <w:r w:rsidR="002261AF">
        <w:rPr>
          <w:rFonts w:ascii="Times New Roman" w:hAnsi="Times New Roman" w:cs="Times New Roman"/>
          <w:sz w:val="24"/>
        </w:rPr>
        <w:t xml:space="preserve"> In each of the target sub</w:t>
      </w:r>
      <w:r w:rsidRPr="00C56B34">
        <w:rPr>
          <w:rFonts w:ascii="Times New Roman" w:hAnsi="Times New Roman" w:cs="Times New Roman"/>
          <w:sz w:val="24"/>
        </w:rPr>
        <w:t xml:space="preserve">groups, targets are divided based on the industry of their operations. After classifying the acquirers by their region, the acquirers were classified as to whether they have European operations prior to the bid or not. </w:t>
      </w:r>
      <w:r w:rsidR="00016FEE" w:rsidRPr="00C56B34">
        <w:rPr>
          <w:rFonts w:ascii="Times New Roman" w:hAnsi="Times New Roman" w:cs="Times New Roman"/>
          <w:sz w:val="24"/>
        </w:rPr>
        <w:t xml:space="preserve">Target realized and normal returns are used to calculate the abnormal returns for the month and days around the announcement of the bid. The time frame is relative to the announcement of the bid, denoted as t0. </w:t>
      </w:r>
      <w:r w:rsidR="00622499" w:rsidRPr="00C56B34">
        <w:rPr>
          <w:rFonts w:ascii="Times New Roman" w:hAnsi="Times New Roman" w:cs="Times New Roman"/>
          <w:sz w:val="24"/>
        </w:rPr>
        <w:t xml:space="preserve">For each month, starting 5 months before and 4 months after the bid announcement month, the average daily abnormal returns </w:t>
      </w:r>
      <w:r w:rsidR="002261AF">
        <w:rPr>
          <w:rFonts w:ascii="Times New Roman" w:hAnsi="Times New Roman" w:cs="Times New Roman"/>
          <w:sz w:val="24"/>
        </w:rPr>
        <w:t>are</w:t>
      </w:r>
      <w:r w:rsidR="00622499" w:rsidRPr="00C56B34">
        <w:rPr>
          <w:rFonts w:ascii="Times New Roman" w:hAnsi="Times New Roman" w:cs="Times New Roman"/>
          <w:sz w:val="24"/>
        </w:rPr>
        <w:t xml:space="preserve"> calculated </w:t>
      </w:r>
      <w:r w:rsidR="00622499" w:rsidRPr="00C56B34">
        <w:rPr>
          <w:rFonts w:ascii="Times New Roman" w:hAnsi="Times New Roman" w:cs="Times New Roman"/>
          <w:sz w:val="24"/>
        </w:rPr>
        <w:lastRenderedPageBreak/>
        <w:t xml:space="preserve">using the data downloaded from Datastream. The abnormal daily returns around the announcement day are used to calculate the cumulative abnormal returns. </w:t>
      </w:r>
    </w:p>
    <w:p w14:paraId="0A340226" w14:textId="74A19827" w:rsidR="002261AF" w:rsidRDefault="002261AF" w:rsidP="002261AF">
      <w:pPr>
        <w:spacing w:after="0" w:line="360" w:lineRule="auto"/>
        <w:ind w:firstLine="284"/>
        <w:jc w:val="both"/>
        <w:rPr>
          <w:rFonts w:ascii="Times New Roman" w:hAnsi="Times New Roman" w:cs="Times New Roman"/>
          <w:sz w:val="24"/>
        </w:rPr>
      </w:pPr>
      <w:r w:rsidRPr="002261AF">
        <w:rPr>
          <w:rFonts w:ascii="Times New Roman" w:hAnsi="Times New Roman" w:cs="Times New Roman"/>
          <w:sz w:val="24"/>
        </w:rPr>
        <w:t xml:space="preserve">Several control variables where extracted and manipulated to be used in the cross-sectional analysis; a </w:t>
      </w:r>
      <w:r w:rsidR="00F843CA">
        <w:rPr>
          <w:rFonts w:ascii="Times New Roman" w:hAnsi="Times New Roman" w:cs="Times New Roman"/>
          <w:sz w:val="24"/>
        </w:rPr>
        <w:t>comprehensive</w:t>
      </w:r>
      <w:r w:rsidRPr="002261AF">
        <w:rPr>
          <w:rFonts w:ascii="Times New Roman" w:hAnsi="Times New Roman" w:cs="Times New Roman"/>
          <w:sz w:val="24"/>
        </w:rPr>
        <w:t xml:space="preserve"> </w:t>
      </w:r>
      <w:r w:rsidR="00F843CA">
        <w:rPr>
          <w:rFonts w:ascii="Times New Roman" w:hAnsi="Times New Roman" w:cs="Times New Roman"/>
          <w:sz w:val="24"/>
        </w:rPr>
        <w:t>overview</w:t>
      </w:r>
      <w:r w:rsidRPr="002261AF">
        <w:rPr>
          <w:rFonts w:ascii="Times New Roman" w:hAnsi="Times New Roman" w:cs="Times New Roman"/>
          <w:sz w:val="24"/>
        </w:rPr>
        <w:t xml:space="preserve"> of the variables used in this study as well as their sources are available in the appendix. The acquirer region and whether the acquirer had any European operations prior to the announcement of the bid will be used to test the international risk diversification and market access hypotheses. The exchange rate will be used to test for the exchange rate hypothesis, and finally, the financial multiplies, payment method, deal attitude, target pre-bid market value, percentage of stake acquired, and target different industries will be used to test if the cross-border effect is caused by </w:t>
      </w:r>
      <w:r w:rsidR="00F843CA">
        <w:rPr>
          <w:rFonts w:ascii="Times New Roman" w:hAnsi="Times New Roman" w:cs="Times New Roman"/>
          <w:sz w:val="24"/>
        </w:rPr>
        <w:t>the variations</w:t>
      </w:r>
      <w:r w:rsidRPr="002261AF">
        <w:rPr>
          <w:rFonts w:ascii="Times New Roman" w:hAnsi="Times New Roman" w:cs="Times New Roman"/>
          <w:sz w:val="24"/>
        </w:rPr>
        <w:t xml:space="preserve"> in deal characteristics and targeted firms by foreign bidders. </w:t>
      </w:r>
    </w:p>
    <w:p w14:paraId="6D12D581" w14:textId="08432162" w:rsidR="00C46074" w:rsidRPr="00C56B34" w:rsidRDefault="002261AF" w:rsidP="002261AF">
      <w:pPr>
        <w:spacing w:after="0" w:line="360" w:lineRule="auto"/>
        <w:ind w:firstLine="284"/>
        <w:jc w:val="both"/>
        <w:rPr>
          <w:rFonts w:ascii="Times New Roman" w:hAnsi="Times New Roman" w:cs="Times New Roman"/>
          <w:sz w:val="24"/>
        </w:rPr>
      </w:pPr>
      <w:r w:rsidRPr="002261AF">
        <w:rPr>
          <w:rFonts w:ascii="Times New Roman" w:hAnsi="Times New Roman" w:cs="Times New Roman"/>
          <w:sz w:val="24"/>
        </w:rPr>
        <w:t xml:space="preserve"> </w:t>
      </w:r>
    </w:p>
    <w:p w14:paraId="0695A80F" w14:textId="1B2EA896" w:rsidR="00C46074" w:rsidRPr="00C56B34" w:rsidRDefault="00C46074" w:rsidP="00C46074">
      <w:pPr>
        <w:spacing w:after="120" w:line="360" w:lineRule="auto"/>
        <w:jc w:val="both"/>
        <w:rPr>
          <w:rFonts w:ascii="Times New Roman" w:hAnsi="Times New Roman" w:cs="Times New Roman"/>
          <w:i/>
          <w:sz w:val="24"/>
        </w:rPr>
      </w:pPr>
      <w:r w:rsidRPr="00C56B34">
        <w:rPr>
          <w:rFonts w:ascii="Times New Roman" w:hAnsi="Times New Roman" w:cs="Times New Roman"/>
          <w:i/>
          <w:sz w:val="24"/>
        </w:rPr>
        <w:t>3.1</w:t>
      </w:r>
      <w:r w:rsidR="007C79C0">
        <w:rPr>
          <w:rFonts w:ascii="Times New Roman" w:hAnsi="Times New Roman" w:cs="Times New Roman"/>
          <w:i/>
          <w:sz w:val="24"/>
        </w:rPr>
        <w:t xml:space="preserve"> Descriptive s</w:t>
      </w:r>
      <w:r w:rsidRPr="00C56B34">
        <w:rPr>
          <w:rFonts w:ascii="Times New Roman" w:hAnsi="Times New Roman" w:cs="Times New Roman"/>
          <w:i/>
          <w:sz w:val="24"/>
        </w:rPr>
        <w:t xml:space="preserve">tatistics </w:t>
      </w:r>
    </w:p>
    <w:p w14:paraId="388D6B84" w14:textId="4E0BA0F4" w:rsidR="00B85E24" w:rsidRDefault="002261AF" w:rsidP="00C57007">
      <w:pPr>
        <w:spacing w:after="0" w:line="360" w:lineRule="auto"/>
        <w:jc w:val="both"/>
        <w:rPr>
          <w:rFonts w:ascii="Times New Roman" w:hAnsi="Times New Roman" w:cs="Times New Roman"/>
          <w:sz w:val="24"/>
        </w:rPr>
      </w:pPr>
      <w:r w:rsidRPr="002261AF">
        <w:rPr>
          <w:rFonts w:ascii="Times New Roman" w:hAnsi="Times New Roman" w:cs="Times New Roman"/>
          <w:sz w:val="24"/>
        </w:rPr>
        <w:t>Table 1</w:t>
      </w:r>
      <w:r w:rsidR="0024206F">
        <w:rPr>
          <w:rFonts w:ascii="Times New Roman" w:hAnsi="Times New Roman" w:cs="Times New Roman"/>
          <w:sz w:val="24"/>
        </w:rPr>
        <w:t xml:space="preserve"> </w:t>
      </w:r>
      <w:r w:rsidRPr="002261AF">
        <w:rPr>
          <w:rFonts w:ascii="Times New Roman" w:hAnsi="Times New Roman" w:cs="Times New Roman"/>
          <w:sz w:val="24"/>
        </w:rPr>
        <w:t xml:space="preserve">reports the descriptive statistics of the sample studied in this paper. In the sample studied, the number of target firms, involved cross-border acquisitions, is found to be significantly higher than that of target firms in domestic deals in these following countries: Austria, </w:t>
      </w:r>
      <w:r w:rsidR="00CC6B17" w:rsidRPr="002261AF">
        <w:rPr>
          <w:rFonts w:ascii="Times New Roman" w:hAnsi="Times New Roman" w:cs="Times New Roman"/>
          <w:sz w:val="24"/>
        </w:rPr>
        <w:t xml:space="preserve">Belgium, Germany, Luxemburg, and the Netherlands, from which German target firms have the highest difference. Out of the cross-border deals, studied, 11.5% are German target firms, while they only account for 5.2% of the target firms in domestic deals. Target firms in Spain, Greece, and the UK were found to account for a lower percentage in the cross-border deals compared to the percentage they account for in domestic deals. The majority of the target firms in the sample are UK target firms, which account for </w:t>
      </w:r>
      <w:r w:rsidR="009640E7">
        <w:rPr>
          <w:rFonts w:ascii="Times New Roman" w:hAnsi="Times New Roman" w:cs="Times New Roman"/>
          <w:sz w:val="24"/>
        </w:rPr>
        <w:t>68.9</w:t>
      </w:r>
      <w:r w:rsidR="00CC6B17" w:rsidRPr="002261AF">
        <w:rPr>
          <w:rFonts w:ascii="Times New Roman" w:hAnsi="Times New Roman" w:cs="Times New Roman"/>
          <w:sz w:val="24"/>
        </w:rPr>
        <w:t xml:space="preserve">% and </w:t>
      </w:r>
      <w:r w:rsidR="009640E7">
        <w:rPr>
          <w:rFonts w:ascii="Times New Roman" w:hAnsi="Times New Roman" w:cs="Times New Roman"/>
          <w:sz w:val="24"/>
        </w:rPr>
        <w:t>51</w:t>
      </w:r>
      <w:r w:rsidR="00CC6B17" w:rsidRPr="002261AF">
        <w:rPr>
          <w:rFonts w:ascii="Times New Roman" w:hAnsi="Times New Roman" w:cs="Times New Roman"/>
          <w:sz w:val="24"/>
        </w:rPr>
        <w:t xml:space="preserve">% of the </w:t>
      </w:r>
      <w:r w:rsidR="009640E7">
        <w:rPr>
          <w:rFonts w:ascii="Times New Roman" w:hAnsi="Times New Roman" w:cs="Times New Roman"/>
          <w:sz w:val="24"/>
        </w:rPr>
        <w:t>domestic</w:t>
      </w:r>
      <w:r w:rsidR="00CC6B17" w:rsidRPr="002261AF">
        <w:rPr>
          <w:rFonts w:ascii="Times New Roman" w:hAnsi="Times New Roman" w:cs="Times New Roman"/>
          <w:sz w:val="24"/>
        </w:rPr>
        <w:t xml:space="preserve"> and </w:t>
      </w:r>
      <w:r w:rsidR="009640E7">
        <w:rPr>
          <w:rFonts w:ascii="Times New Roman" w:hAnsi="Times New Roman" w:cs="Times New Roman"/>
          <w:sz w:val="24"/>
        </w:rPr>
        <w:t>cross-border transactions</w:t>
      </w:r>
      <w:r w:rsidR="00CC6B17" w:rsidRPr="002261AF">
        <w:rPr>
          <w:rFonts w:ascii="Times New Roman" w:hAnsi="Times New Roman" w:cs="Times New Roman"/>
          <w:sz w:val="24"/>
        </w:rPr>
        <w:t xml:space="preserve">, respectively. The acquirers are 51% European firms, 32% American firms and 7% Asian firms; in addition, 43% of acquirers had no prior European operations. On average, target firms in the cross-border </w:t>
      </w:r>
      <w:r w:rsidR="009640E7">
        <w:rPr>
          <w:rFonts w:ascii="Times New Roman" w:hAnsi="Times New Roman" w:cs="Times New Roman"/>
          <w:sz w:val="24"/>
        </w:rPr>
        <w:t>deals</w:t>
      </w:r>
      <w:r w:rsidR="00CC6B17" w:rsidRPr="002261AF">
        <w:rPr>
          <w:rFonts w:ascii="Times New Roman" w:hAnsi="Times New Roman" w:cs="Times New Roman"/>
          <w:sz w:val="24"/>
        </w:rPr>
        <w:t xml:space="preserve"> subgroup have an EPS of $1.7 compared to $0.2 EPS for target firms in the domestic acquisitions subgroup. 46.4% of the cross-border deals were financed 100%</w:t>
      </w:r>
      <w:r w:rsidR="00CC6B17" w:rsidRPr="00C56B34">
        <w:rPr>
          <w:rFonts w:ascii="Times New Roman" w:hAnsi="Times New Roman" w:cs="Times New Roman"/>
          <w:sz w:val="24"/>
        </w:rPr>
        <w:t>in cash while only 32.2% of the domestic deals were financed 100% in cash. 46.5% of the domestic deals were financed 100% by stock offerings; while, 35.6% of the cross-border deals were financed 100% by stock offerings.</w:t>
      </w:r>
      <w:r w:rsidR="00CC6B17" w:rsidRPr="00CC6B17">
        <w:rPr>
          <w:rFonts w:ascii="Times New Roman" w:hAnsi="Times New Roman" w:cs="Times New Roman"/>
          <w:sz w:val="24"/>
        </w:rPr>
        <w:t xml:space="preserve"> </w:t>
      </w:r>
      <w:r w:rsidR="00CC6B17" w:rsidRPr="00C56B34">
        <w:rPr>
          <w:rFonts w:ascii="Times New Roman" w:hAnsi="Times New Roman" w:cs="Times New Roman"/>
          <w:sz w:val="24"/>
        </w:rPr>
        <w:t xml:space="preserve">The majority of target firms in </w:t>
      </w:r>
      <w:r w:rsidR="009640E7">
        <w:rPr>
          <w:rFonts w:ascii="Times New Roman" w:hAnsi="Times New Roman" w:cs="Times New Roman"/>
          <w:sz w:val="24"/>
        </w:rPr>
        <w:t>overseas bids</w:t>
      </w:r>
      <w:r w:rsidR="00CC6B17" w:rsidRPr="00C56B34">
        <w:rPr>
          <w:rFonts w:ascii="Times New Roman" w:hAnsi="Times New Roman" w:cs="Times New Roman"/>
          <w:sz w:val="24"/>
        </w:rPr>
        <w:t xml:space="preserve"> are in the high technology industry, accounting for 19.1% of the sample, and targets from the retail industry account for 2.3% of all the target firms in </w:t>
      </w:r>
      <w:r w:rsidR="00C57007">
        <w:rPr>
          <w:rFonts w:ascii="Times New Roman" w:hAnsi="Times New Roman" w:cs="Times New Roman"/>
          <w:sz w:val="24"/>
        </w:rPr>
        <w:t>international bids</w:t>
      </w:r>
      <w:r w:rsidR="00CC6B17" w:rsidRPr="00C56B34">
        <w:rPr>
          <w:rFonts w:ascii="Times New Roman" w:hAnsi="Times New Roman" w:cs="Times New Roman"/>
          <w:sz w:val="24"/>
        </w:rPr>
        <w:t>.</w:t>
      </w:r>
      <w:r w:rsidR="00CC6B17" w:rsidRPr="00CC6B17">
        <w:rPr>
          <w:rFonts w:ascii="Times New Roman" w:hAnsi="Times New Roman" w:cs="Times New Roman"/>
          <w:sz w:val="24"/>
        </w:rPr>
        <w:t xml:space="preserve"> </w:t>
      </w:r>
      <w:r w:rsidR="00CC6B17" w:rsidRPr="00C56B34">
        <w:rPr>
          <w:rFonts w:ascii="Times New Roman" w:hAnsi="Times New Roman" w:cs="Times New Roman"/>
          <w:sz w:val="24"/>
        </w:rPr>
        <w:t xml:space="preserve">Targets from </w:t>
      </w:r>
      <w:r w:rsidR="00DF6DB2">
        <w:rPr>
          <w:rFonts w:ascii="Times New Roman" w:hAnsi="Times New Roman" w:cs="Times New Roman"/>
          <w:sz w:val="24"/>
        </w:rPr>
        <w:t xml:space="preserve">the </w:t>
      </w:r>
      <w:r w:rsidR="00CC6B17" w:rsidRPr="00C56B34">
        <w:rPr>
          <w:rFonts w:ascii="Times New Roman" w:hAnsi="Times New Roman" w:cs="Times New Roman"/>
          <w:sz w:val="24"/>
        </w:rPr>
        <w:t>industrial industry account for</w:t>
      </w:r>
      <w:r w:rsidR="00C57007">
        <w:rPr>
          <w:rFonts w:ascii="Times New Roman" w:hAnsi="Times New Roman" w:cs="Times New Roman"/>
          <w:sz w:val="24"/>
        </w:rPr>
        <w:t xml:space="preserve"> </w:t>
      </w:r>
      <w:r w:rsidR="00C57007" w:rsidRPr="00C56B34">
        <w:rPr>
          <w:rFonts w:ascii="Times New Roman" w:hAnsi="Times New Roman" w:cs="Times New Roman"/>
          <w:sz w:val="24"/>
        </w:rPr>
        <w:t xml:space="preserve">18.8% of the </w:t>
      </w:r>
    </w:p>
    <w:p w14:paraId="47F17793" w14:textId="5DF45F02" w:rsidR="00C46074" w:rsidRPr="00CC6B17" w:rsidRDefault="00C46074" w:rsidP="00CC6B17">
      <w:pPr>
        <w:spacing w:after="0" w:line="360" w:lineRule="auto"/>
        <w:jc w:val="center"/>
        <w:rPr>
          <w:rFonts w:ascii="Times New Roman" w:hAnsi="Times New Roman" w:cs="Times New Roman"/>
          <w:sz w:val="24"/>
        </w:rPr>
      </w:pPr>
      <w:r w:rsidRPr="00C56B34">
        <w:rPr>
          <w:rFonts w:ascii="Times New Roman" w:hAnsi="Times New Roman" w:cs="Times New Roman"/>
        </w:rPr>
        <w:lastRenderedPageBreak/>
        <w:t>Table 1</w:t>
      </w:r>
    </w:p>
    <w:p w14:paraId="15851F3E" w14:textId="534A2E70" w:rsidR="00C46074" w:rsidRPr="00C56B34" w:rsidRDefault="00C57007" w:rsidP="00D34A27">
      <w:pPr>
        <w:spacing w:after="120" w:line="276" w:lineRule="auto"/>
        <w:jc w:val="center"/>
        <w:rPr>
          <w:rFonts w:ascii="Times New Roman" w:hAnsi="Times New Roman" w:cs="Times New Roman"/>
        </w:rPr>
      </w:pPr>
      <w:r>
        <w:rPr>
          <w:rFonts w:ascii="Times New Roman" w:hAnsi="Times New Roman" w:cs="Times New Roman"/>
        </w:rPr>
        <w:t>Characteristics of the sample</w:t>
      </w:r>
    </w:p>
    <w:p w14:paraId="668A7EB9" w14:textId="19F3D601" w:rsidR="002261AF" w:rsidRDefault="002261AF" w:rsidP="002261AF">
      <w:pPr>
        <w:spacing w:after="0" w:line="276" w:lineRule="auto"/>
        <w:jc w:val="both"/>
        <w:rPr>
          <w:rFonts w:ascii="Times New Roman" w:hAnsi="Times New Roman" w:cs="Times New Roman"/>
        </w:rPr>
      </w:pPr>
      <w:r w:rsidRPr="002261AF">
        <w:rPr>
          <w:rFonts w:ascii="Times New Roman" w:hAnsi="Times New Roman" w:cs="Times New Roman"/>
        </w:rPr>
        <w:t xml:space="preserve">The table presents a detailed description of the sample studied and the sub-groups in the sample. The data were divided between target firms in cross-border or domestic </w:t>
      </w:r>
      <w:r w:rsidR="00C57007">
        <w:rPr>
          <w:rFonts w:ascii="Times New Roman" w:hAnsi="Times New Roman" w:cs="Times New Roman"/>
        </w:rPr>
        <w:t>deals</w:t>
      </w:r>
      <w:r w:rsidRPr="002261AF">
        <w:rPr>
          <w:rFonts w:ascii="Times New Roman" w:hAnsi="Times New Roman" w:cs="Times New Roman"/>
        </w:rPr>
        <w:t xml:space="preserve">. The cross-border effect refers to the difference between cross-border and domestic characteristics. </w:t>
      </w:r>
      <w:r w:rsidR="00C57007" w:rsidRPr="00C57007">
        <w:rPr>
          <w:rFonts w:ascii="Times New Roman" w:hAnsi="Times New Roman" w:cs="Times New Roman"/>
        </w:rPr>
        <w:t>A two-sample difference in mean t-test is used to test for the statistical significance of the difference between cross-border and domestic characteristics.</w:t>
      </w:r>
      <w:r w:rsidR="00C57007">
        <w:rPr>
          <w:rFonts w:ascii="Times New Roman" w:hAnsi="Times New Roman" w:cs="Times New Roman"/>
        </w:rPr>
        <w:t xml:space="preserve"> </w:t>
      </w:r>
      <w:r w:rsidRPr="002261AF">
        <w:rPr>
          <w:rFonts w:ascii="Times New Roman" w:hAnsi="Times New Roman" w:cs="Times New Roman"/>
        </w:rPr>
        <w:t xml:space="preserve">A </w:t>
      </w:r>
      <w:r w:rsidR="00C57007">
        <w:rPr>
          <w:rFonts w:ascii="Times New Roman" w:hAnsi="Times New Roman" w:cs="Times New Roman"/>
        </w:rPr>
        <w:t>comprehensive</w:t>
      </w:r>
      <w:r w:rsidRPr="002261AF">
        <w:rPr>
          <w:rFonts w:ascii="Times New Roman" w:hAnsi="Times New Roman" w:cs="Times New Roman"/>
        </w:rPr>
        <w:t xml:space="preserve"> description of each variable in this table can be found in the appendix. </w:t>
      </w:r>
      <w:r w:rsidR="007E6034">
        <w:rPr>
          <w:rFonts w:ascii="Times New Roman" w:hAnsi="Times New Roman" w:cs="Times New Roman"/>
        </w:rPr>
        <w:t xml:space="preserve">The category </w:t>
      </w:r>
      <w:r w:rsidRPr="002261AF">
        <w:rPr>
          <w:rFonts w:ascii="Times New Roman" w:hAnsi="Times New Roman" w:cs="Times New Roman"/>
        </w:rPr>
        <w:t xml:space="preserve">EU refers to cross-border </w:t>
      </w:r>
      <w:r w:rsidR="007E6034">
        <w:rPr>
          <w:rFonts w:ascii="Times New Roman" w:hAnsi="Times New Roman" w:cs="Times New Roman"/>
        </w:rPr>
        <w:t>deals</w:t>
      </w:r>
      <w:r w:rsidRPr="002261AF">
        <w:rPr>
          <w:rFonts w:ascii="Times New Roman" w:hAnsi="Times New Roman" w:cs="Times New Roman"/>
        </w:rPr>
        <w:t xml:space="preserve"> by </w:t>
      </w:r>
      <w:r w:rsidR="007E6034">
        <w:rPr>
          <w:rFonts w:ascii="Times New Roman" w:hAnsi="Times New Roman" w:cs="Times New Roman"/>
        </w:rPr>
        <w:t>bidders</w:t>
      </w:r>
      <w:r w:rsidRPr="002261AF">
        <w:rPr>
          <w:rFonts w:ascii="Times New Roman" w:hAnsi="Times New Roman" w:cs="Times New Roman"/>
        </w:rPr>
        <w:t xml:space="preserve"> </w:t>
      </w:r>
      <w:r w:rsidR="007E6034">
        <w:rPr>
          <w:rFonts w:ascii="Times New Roman" w:hAnsi="Times New Roman" w:cs="Times New Roman"/>
        </w:rPr>
        <w:t>from</w:t>
      </w:r>
      <w:r w:rsidRPr="002261AF">
        <w:rPr>
          <w:rFonts w:ascii="Times New Roman" w:hAnsi="Times New Roman" w:cs="Times New Roman"/>
        </w:rPr>
        <w:t xml:space="preserve"> continental Europe, US refers to </w:t>
      </w:r>
      <w:r w:rsidR="007E6034">
        <w:rPr>
          <w:rFonts w:ascii="Times New Roman" w:hAnsi="Times New Roman" w:cs="Times New Roman"/>
        </w:rPr>
        <w:t>offers</w:t>
      </w:r>
      <w:r w:rsidRPr="002261AF">
        <w:rPr>
          <w:rFonts w:ascii="Times New Roman" w:hAnsi="Times New Roman" w:cs="Times New Roman"/>
        </w:rPr>
        <w:t xml:space="preserve"> by US </w:t>
      </w:r>
      <w:r w:rsidR="007E6034">
        <w:rPr>
          <w:rFonts w:ascii="Times New Roman" w:hAnsi="Times New Roman" w:cs="Times New Roman"/>
        </w:rPr>
        <w:t>bidders</w:t>
      </w:r>
      <w:r w:rsidRPr="002261AF">
        <w:rPr>
          <w:rFonts w:ascii="Times New Roman" w:hAnsi="Times New Roman" w:cs="Times New Roman"/>
        </w:rPr>
        <w:t xml:space="preserve">, Asia refers to </w:t>
      </w:r>
      <w:r w:rsidR="007E6034">
        <w:rPr>
          <w:rFonts w:ascii="Times New Roman" w:hAnsi="Times New Roman" w:cs="Times New Roman"/>
        </w:rPr>
        <w:t>deals</w:t>
      </w:r>
      <w:r w:rsidRPr="002261AF">
        <w:rPr>
          <w:rFonts w:ascii="Times New Roman" w:hAnsi="Times New Roman" w:cs="Times New Roman"/>
        </w:rPr>
        <w:t xml:space="preserve"> by Asian </w:t>
      </w:r>
      <w:r w:rsidR="007E6034">
        <w:rPr>
          <w:rFonts w:ascii="Times New Roman" w:hAnsi="Times New Roman" w:cs="Times New Roman"/>
        </w:rPr>
        <w:t>bidders</w:t>
      </w:r>
      <w:r w:rsidRPr="002261AF">
        <w:rPr>
          <w:rFonts w:ascii="Times New Roman" w:hAnsi="Times New Roman" w:cs="Times New Roman"/>
        </w:rPr>
        <w:t xml:space="preserve">, and rest of the world refers to </w:t>
      </w:r>
      <w:r w:rsidR="007E6034">
        <w:rPr>
          <w:rFonts w:ascii="Times New Roman" w:hAnsi="Times New Roman" w:cs="Times New Roman"/>
        </w:rPr>
        <w:t>deal</w:t>
      </w:r>
      <w:r w:rsidRPr="002261AF">
        <w:rPr>
          <w:rFonts w:ascii="Times New Roman" w:hAnsi="Times New Roman" w:cs="Times New Roman"/>
        </w:rPr>
        <w:t xml:space="preserve"> by </w:t>
      </w:r>
      <w:r w:rsidR="007E6034">
        <w:rPr>
          <w:rFonts w:ascii="Times New Roman" w:hAnsi="Times New Roman" w:cs="Times New Roman"/>
        </w:rPr>
        <w:t>bidders</w:t>
      </w:r>
      <w:r w:rsidRPr="002261AF">
        <w:rPr>
          <w:rFonts w:ascii="Times New Roman" w:hAnsi="Times New Roman" w:cs="Times New Roman"/>
        </w:rPr>
        <w:t xml:space="preserve"> not based in Europe, United States or Asia. </w:t>
      </w:r>
      <w:r w:rsidR="007E6034">
        <w:rPr>
          <w:rFonts w:ascii="Times New Roman" w:hAnsi="Times New Roman" w:cs="Times New Roman"/>
        </w:rPr>
        <w:t>Market access category</w:t>
      </w:r>
      <w:r w:rsidRPr="002261AF">
        <w:rPr>
          <w:rFonts w:ascii="Times New Roman" w:hAnsi="Times New Roman" w:cs="Times New Roman"/>
        </w:rPr>
        <w:t xml:space="preserve"> refers to whether the bidder</w:t>
      </w:r>
      <w:r w:rsidR="007E6034">
        <w:rPr>
          <w:rFonts w:ascii="Times New Roman" w:hAnsi="Times New Roman" w:cs="Times New Roman"/>
        </w:rPr>
        <w:t xml:space="preserve"> had prior European operations </w:t>
      </w:r>
      <w:r w:rsidRPr="002261AF">
        <w:rPr>
          <w:rFonts w:ascii="Times New Roman" w:hAnsi="Times New Roman" w:cs="Times New Roman"/>
        </w:rPr>
        <w:t xml:space="preserve">before the announcement day. The average exchange rate of foreign currency to the Euro of the whole sample is 1.05. The region target displays the distribution of the target firms, in the sample studied, across 10 different Western European countries. UK target firms present the larger share of the sample, in which </w:t>
      </w:r>
      <w:r w:rsidR="007E6034">
        <w:rPr>
          <w:rFonts w:ascii="Times New Roman" w:hAnsi="Times New Roman" w:cs="Times New Roman"/>
        </w:rPr>
        <w:t>51%</w:t>
      </w:r>
      <w:r w:rsidRPr="002261AF">
        <w:rPr>
          <w:rFonts w:ascii="Times New Roman" w:hAnsi="Times New Roman" w:cs="Times New Roman"/>
        </w:rPr>
        <w:t xml:space="preserve"> and </w:t>
      </w:r>
      <w:r w:rsidR="007E6034" w:rsidRPr="002261AF">
        <w:rPr>
          <w:rFonts w:ascii="Times New Roman" w:hAnsi="Times New Roman" w:cs="Times New Roman"/>
        </w:rPr>
        <w:t>68.9% of</w:t>
      </w:r>
      <w:r w:rsidRPr="002261AF">
        <w:rPr>
          <w:rFonts w:ascii="Times New Roman" w:hAnsi="Times New Roman" w:cs="Times New Roman"/>
        </w:rPr>
        <w:t xml:space="preserve"> the domestic</w:t>
      </w:r>
      <w:r w:rsidR="007E6034">
        <w:rPr>
          <w:rFonts w:ascii="Times New Roman" w:hAnsi="Times New Roman" w:cs="Times New Roman"/>
        </w:rPr>
        <w:t xml:space="preserve"> and </w:t>
      </w:r>
      <w:r w:rsidR="007E6034" w:rsidRPr="002261AF">
        <w:rPr>
          <w:rFonts w:ascii="Times New Roman" w:hAnsi="Times New Roman" w:cs="Times New Roman"/>
        </w:rPr>
        <w:t>cross-border</w:t>
      </w:r>
      <w:r w:rsidRPr="002261AF">
        <w:rPr>
          <w:rFonts w:ascii="Times New Roman" w:hAnsi="Times New Roman" w:cs="Times New Roman"/>
        </w:rPr>
        <w:t xml:space="preserve"> deals, respectively, studied are UK target firms. The number of UK target firms in </w:t>
      </w:r>
      <w:r w:rsidR="007E6034">
        <w:rPr>
          <w:rFonts w:ascii="Times New Roman" w:hAnsi="Times New Roman" w:cs="Times New Roman"/>
        </w:rPr>
        <w:t>multinational bids</w:t>
      </w:r>
      <w:r w:rsidRPr="002261AF">
        <w:rPr>
          <w:rFonts w:ascii="Times New Roman" w:hAnsi="Times New Roman" w:cs="Times New Roman"/>
        </w:rPr>
        <w:t xml:space="preserve"> is significantly lower, by 17.9%, than the number of UK target firms in domestic </w:t>
      </w:r>
      <w:r w:rsidR="007E6034">
        <w:rPr>
          <w:rFonts w:ascii="Times New Roman" w:hAnsi="Times New Roman" w:cs="Times New Roman"/>
        </w:rPr>
        <w:t>deals</w:t>
      </w:r>
      <w:r w:rsidRPr="002261AF">
        <w:rPr>
          <w:rFonts w:ascii="Times New Roman" w:hAnsi="Times New Roman" w:cs="Times New Roman"/>
        </w:rPr>
        <w:t xml:space="preserve">. A variety of different target firms’ financial multiplies are used as control variables in the cross-sectional analysis. Average EPS refers to the average earnings-per-share of target companies in the sample. The average EV/EBITDA ratio reported in table 1 is the average for each subgroup. Average net assets, EBIT and EPS growth rates present the average growth rate for net assets, EBIT and EPS, respectively, for the whole sample. In the sample, there seems to be a significant difference of the average EPS of target firms in </w:t>
      </w:r>
      <w:r w:rsidR="007E6034">
        <w:rPr>
          <w:rFonts w:ascii="Times New Roman" w:hAnsi="Times New Roman" w:cs="Times New Roman"/>
        </w:rPr>
        <w:t>domestic</w:t>
      </w:r>
      <w:r w:rsidRPr="002261AF">
        <w:rPr>
          <w:rFonts w:ascii="Times New Roman" w:hAnsi="Times New Roman" w:cs="Times New Roman"/>
        </w:rPr>
        <w:t xml:space="preserve"> and </w:t>
      </w:r>
      <w:r w:rsidR="007E6034">
        <w:rPr>
          <w:rFonts w:ascii="Times New Roman" w:hAnsi="Times New Roman" w:cs="Times New Roman"/>
        </w:rPr>
        <w:t>cross-border</w:t>
      </w:r>
      <w:r w:rsidRPr="002261AF">
        <w:rPr>
          <w:rFonts w:ascii="Times New Roman" w:hAnsi="Times New Roman" w:cs="Times New Roman"/>
        </w:rPr>
        <w:t xml:space="preserve"> deals, where on average target firms engaged in cross-border deals have a $1.5 higher EPS than those in domestic deals. Log MV refers to the pre-bid target firm’s market value, with a 0.2 significant mean difference between target firms in cross-border and domestic deals. </w:t>
      </w:r>
      <w:r w:rsidR="007E6034" w:rsidRPr="007E6034">
        <w:rPr>
          <w:rFonts w:ascii="Times New Roman" w:hAnsi="Times New Roman" w:cs="Times New Roman"/>
        </w:rPr>
        <w:t xml:space="preserve">Stake % refers to the percentage of stake acquired by the bidder, and a 2.6% significant mean difference between both subgroups is observed. </w:t>
      </w:r>
      <w:r w:rsidRPr="002261AF">
        <w:rPr>
          <w:rFonts w:ascii="Times New Roman" w:hAnsi="Times New Roman" w:cs="Times New Roman"/>
        </w:rPr>
        <w:t xml:space="preserve"> The method payment is classified into: </w:t>
      </w:r>
      <w:r w:rsidR="002A71EB">
        <w:rPr>
          <w:rFonts w:ascii="Times New Roman" w:hAnsi="Times New Roman" w:cs="Times New Roman"/>
        </w:rPr>
        <w:t xml:space="preserve">100% </w:t>
      </w:r>
      <w:r w:rsidRPr="002261AF">
        <w:rPr>
          <w:rFonts w:ascii="Times New Roman" w:hAnsi="Times New Roman" w:cs="Times New Roman"/>
        </w:rPr>
        <w:t xml:space="preserve">Cash, </w:t>
      </w:r>
      <w:r w:rsidR="002A71EB">
        <w:rPr>
          <w:rFonts w:ascii="Times New Roman" w:hAnsi="Times New Roman" w:cs="Times New Roman"/>
        </w:rPr>
        <w:t xml:space="preserve">100% stock, </w:t>
      </w:r>
      <w:r w:rsidRPr="002261AF">
        <w:rPr>
          <w:rFonts w:ascii="Times New Roman" w:hAnsi="Times New Roman" w:cs="Times New Roman"/>
        </w:rPr>
        <w:t xml:space="preserve">and mixed; 46.4% of the cross-border deals are </w:t>
      </w:r>
      <w:r w:rsidR="002A71EB">
        <w:rPr>
          <w:rFonts w:ascii="Times New Roman" w:hAnsi="Times New Roman" w:cs="Times New Roman"/>
        </w:rPr>
        <w:t>funded</w:t>
      </w:r>
      <w:r w:rsidRPr="002261AF">
        <w:rPr>
          <w:rFonts w:ascii="Times New Roman" w:hAnsi="Times New Roman" w:cs="Times New Roman"/>
        </w:rPr>
        <w:t xml:space="preserve"> with 100% cash; while, only 32.2% of domestic deals are 100% cash. In addition, there is a significant mean </w:t>
      </w:r>
      <w:r w:rsidR="002A71EB">
        <w:rPr>
          <w:rFonts w:ascii="Times New Roman" w:hAnsi="Times New Roman" w:cs="Times New Roman"/>
        </w:rPr>
        <w:t>variation</w:t>
      </w:r>
      <w:r w:rsidRPr="002261AF">
        <w:rPr>
          <w:rFonts w:ascii="Times New Roman" w:hAnsi="Times New Roman" w:cs="Times New Roman"/>
        </w:rPr>
        <w:t xml:space="preserve">, of 10.9%, for deals financed by 100% stock offering between both subgroups. Hostile is a dummy that takes a value of 1 if the deal attitude is hostile and 0 otherwise. The industry refers to the detail distribution of the target firms’ different industries; the majority of target firms in cross-border </w:t>
      </w:r>
      <w:r w:rsidR="002A71EB">
        <w:rPr>
          <w:rFonts w:ascii="Times New Roman" w:hAnsi="Times New Roman" w:cs="Times New Roman"/>
        </w:rPr>
        <w:t>transactions</w:t>
      </w:r>
      <w:r w:rsidRPr="002261AF">
        <w:rPr>
          <w:rFonts w:ascii="Times New Roman" w:hAnsi="Times New Roman" w:cs="Times New Roman"/>
        </w:rPr>
        <w:t xml:space="preserve"> are part of the high technology industry, 19.1%, and minority are part of the retail industry, 2.3%.  </w:t>
      </w:r>
    </w:p>
    <w:p w14:paraId="04740B2F" w14:textId="6A2C6CC0" w:rsidR="00C46074" w:rsidRPr="00C56B34" w:rsidRDefault="00C46074" w:rsidP="00C46074">
      <w:pPr>
        <w:spacing w:after="0" w:line="360" w:lineRule="auto"/>
        <w:jc w:val="both"/>
        <w:rPr>
          <w:rFonts w:ascii="Times New Roman" w:hAnsi="Times New Roman" w:cs="Times New Roman"/>
          <w:color w:val="FF0000"/>
        </w:rPr>
      </w:pPr>
      <w:r w:rsidRPr="00C56B3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BE0C3A" wp14:editId="22E802A3">
                <wp:simplePos x="0" y="0"/>
                <wp:positionH relativeFrom="margin">
                  <wp:align>left</wp:align>
                </wp:positionH>
                <wp:positionV relativeFrom="paragraph">
                  <wp:posOffset>85725</wp:posOffset>
                </wp:positionV>
                <wp:extent cx="59721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59721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E3AA8C" id="Straight Connector 3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6.75pt" to="470.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QhcvQEAAMADAAAOAAAAZHJzL2Uyb0RvYy54bWysU8Fu2zAMvQ/oPwi6L3ZSdN2MOD2k6C7D&#10;FqzdB6iyFAuTRIHSYufvR8mJW3RDD0UvsiTyPfI90eub0Vl2UBgN+JYvFzVnykvojN+3/NfD3cfP&#10;nMUkfCcseNXyo4r8ZnPxYT2ERq2gB9spZETiYzOElvcphaaqouyVE3EBQXkKakAnEh1xX3UoBmJ3&#10;tlrV9adqAOwCglQx0u3tFOSbwq+1kumH1lElZltOvaWyYlkf81pt1qLZowi9kac2xBu6cMJ4KjpT&#10;3Yok2B80/1A5IxEi6LSQ4CrQ2khVNJCaZf1CzX0vgipayJwYZpvi+9HK74cdMtO1/HLJmReO3ug+&#10;oTD7PrEteE8OAjIKklNDiA0Btn6Hp1MMO8yyR40uf0kQG4u7x9ldNSYm6fLqy/VqeX3FmTzHqidg&#10;wJi+KnAsb1pujc/CRSMO32KiYpR6TsnX1ue73M/UQdmlo1VT8KfSpIlqXhaSMk1qa5EdBM1B97uo&#10;IUrrKTNDtLF2BtWvg065GabKhM3A1evAObtUBJ9moDMe8H/gNJ5b1VP+WfWkNct+hO5Y3qPYQWNS&#10;zDqNdJ7D5+cCf/rxNn8BAAD//wMAUEsDBBQABgAIAAAAIQBlXK0S3AAAAAYBAAAPAAAAZHJzL2Rv&#10;d25yZXYueG1sTI9PS8NAEMXvgt9hGcGLtBu18U/MpojgIUIF2+J5mp0m0exsyG7T+O0d8aC3mfeG&#10;N7+XLyfXqZGG0Ho2cDlPQBFX3rZcG9hunmd3oEJEtth5JgNfFGBZnJ7kmFl/5Dca17FWEsIhQwNN&#10;jH2mdagachjmvicWb+8Hh1HWodZ2wKOEu05fJcmNdtiyfGiwp6eGqs/1wRn4KN/LOr24bfevi/QF&#10;N2O64rE05vxsenwAFWmKf8fwgy/oUAjTzh/YBtUZkCJR1OsUlLj3i0SG3a+gi1z/xy++AQAA//8D&#10;AFBLAQItABQABgAIAAAAIQC2gziS/gAAAOEBAAATAAAAAAAAAAAAAAAAAAAAAABbQ29udGVudF9U&#10;eXBlc10ueG1sUEsBAi0AFAAGAAgAAAAhADj9If/WAAAAlAEAAAsAAAAAAAAAAAAAAAAALwEAAF9y&#10;ZWxzLy5yZWxzUEsBAi0AFAAGAAgAAAAhAAzRCFy9AQAAwAMAAA4AAAAAAAAAAAAAAAAALgIAAGRy&#10;cy9lMm9Eb2MueG1sUEsBAi0AFAAGAAgAAAAhAGVcrRLcAAAABgEAAA8AAAAAAAAAAAAAAAAAFwQA&#10;AGRycy9kb3ducmV2LnhtbFBLBQYAAAAABAAEAPMAAAAgBQAAAAA=&#10;" strokecolor="black [3200]" strokeweight="1.5pt">
                <v:stroke joinstyle="miter"/>
                <w10:wrap anchorx="margin"/>
              </v:line>
            </w:pict>
          </mc:Fallback>
        </mc:AlternateContent>
      </w:r>
      <w:r w:rsidRPr="00C56B34">
        <w:rPr>
          <w:rFonts w:ascii="Times New Roman" w:hAnsi="Times New Roman" w:cs="Times New Roman"/>
        </w:rPr>
        <w:tab/>
      </w:r>
    </w:p>
    <w:p w14:paraId="72DDC0EB" w14:textId="6DE4F232" w:rsidR="00C46074" w:rsidRPr="00C56B34" w:rsidRDefault="00C46074" w:rsidP="002A71EB">
      <w:pPr>
        <w:ind w:left="2880"/>
        <w:rPr>
          <w:rFonts w:ascii="Times New Roman" w:hAnsi="Times New Roman" w:cs="Times New Roman"/>
          <w:sz w:val="20"/>
          <w:szCs w:val="20"/>
        </w:rPr>
      </w:pPr>
      <w:r w:rsidRPr="00C56B34">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39B9DA8B" wp14:editId="2A01CA3C">
                <wp:simplePos x="0" y="0"/>
                <wp:positionH relativeFrom="margin">
                  <wp:align>left</wp:align>
                </wp:positionH>
                <wp:positionV relativeFrom="paragraph">
                  <wp:posOffset>190059</wp:posOffset>
                </wp:positionV>
                <wp:extent cx="5972175" cy="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A5F5F3" id="Straight Connector 37"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4.95pt" to="470.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e4zgEAAPkDAAAOAAAAZHJzL2Uyb0RvYy54bWysU8GO0zAQvSPxD5bvNE3RUoia7qGr5YKg&#10;YuEDvI7dWNgea2ya9O8ZO226AoTQai9Oxp73Zt7zeHM7OsuOCqMB3/J6seRMeQmd8YeWf/92/+Y9&#10;ZzEJ3wkLXrX8pCK/3b5+tRlCo1bQg+0UMiLxsRlCy/uUQlNVUfbKibiAoDwdakAnEoV4qDoUA7E7&#10;W62Wy3fVANgFBKlipN276ZBvC7/WSqYvWkeVmG059ZbKimV9zGu13YjmgCL0Rp7bEM/owgnjqehM&#10;dSeSYD/R/EHljESIoNNCgqtAayNV0UBq6uVvah56EVTRQubEMNsUX45Wfj7ukZmu5W/XnHnh6I4e&#10;Egpz6BPbgffkICCjQ3JqCLEhwM7v8RzFsMcse9To8pcEsbG4e5rdVWNikjZvPqxX9fqGM3k5q67A&#10;gDF9VOBY/mm5NT4LF404foqJilHqJSVvW5/XCNZ098baEuSRUTuL7CjostNY55YJ9ySLooysspCp&#10;9fKXTlZNrF+VJjOo2bpUL2N45ex+XDitp8wM0VR9Bi3/DTrnZpgqo/m/wDm7VASfZqAzHvBvVa/y&#10;9ZR/UT1pzbIfoTuViyx20HwVt85vIQ/w07jAry92+wsAAP//AwBQSwMEFAAGAAgAAAAhAAN8xrPd&#10;AAAABgEAAA8AAABkcnMvZG93bnJldi54bWxMj0FLw0AQhe+C/2EZwYvYjdWWJs2kSKAXD4KNFI/b&#10;7DQbzM6G7LZJ/70rHupx3nu8902+mWwnzjT41jHC0ywBQVw73XKD8FltH1cgfFCsVeeYEC7kYVPc&#10;3uQq027kDzrvQiNiCftMIZgQ+kxKXxuyys9cTxy9oxusCvEcGqkHNcZy28l5kiylVS3HBaN6Kg3V&#10;37uTRfhqHp63+4qrsQzvx6WZLvu3RYl4fze9rkEEmsI1DL/4ER2KyHRwJ9ZedAjxkYAwT1MQ0U1f&#10;kgWIw58gi1z+xy9+AAAA//8DAFBLAQItABQABgAIAAAAIQC2gziS/gAAAOEBAAATAAAAAAAAAAAA&#10;AAAAAAAAAABbQ29udGVudF9UeXBlc10ueG1sUEsBAi0AFAAGAAgAAAAhADj9If/WAAAAlAEAAAsA&#10;AAAAAAAAAAAAAAAALwEAAF9yZWxzLy5yZWxzUEsBAi0AFAAGAAgAAAAhACMl17jOAQAA+QMAAA4A&#10;AAAAAAAAAAAAAAAALgIAAGRycy9lMm9Eb2MueG1sUEsBAi0AFAAGAAgAAAAhAAN8xrPdAAAABgEA&#10;AA8AAAAAAAAAAAAAAAAAKAQAAGRycy9kb3ducmV2LnhtbFBLBQYAAAAABAAEAPMAAAAyBQAAAAA=&#10;" strokecolor="black [3213]" strokeweight=".5pt">
                <v:stroke joinstyle="miter"/>
                <w10:wrap anchorx="margin"/>
              </v:line>
            </w:pict>
          </mc:Fallback>
        </mc:AlternateContent>
      </w:r>
      <w:r w:rsidR="00C57007">
        <w:rPr>
          <w:rFonts w:ascii="Times New Roman" w:hAnsi="Times New Roman" w:cs="Times New Roman"/>
          <w:sz w:val="20"/>
          <w:szCs w:val="20"/>
        </w:rPr>
        <w:t>Total Sample        Cross-</w:t>
      </w:r>
      <w:r w:rsidRPr="00C56B34">
        <w:rPr>
          <w:rFonts w:ascii="Times New Roman" w:hAnsi="Times New Roman" w:cs="Times New Roman"/>
          <w:sz w:val="20"/>
          <w:szCs w:val="20"/>
        </w:rPr>
        <w:t xml:space="preserve">border          Domestic        Cross-border Effect </w:t>
      </w:r>
    </w:p>
    <w:p w14:paraId="403EF613"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Sample</w:t>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sz w:val="20"/>
          <w:szCs w:val="20"/>
        </w:rPr>
        <w:t>1089</w:t>
      </w:r>
      <w:r w:rsidRPr="00C56B34">
        <w:rPr>
          <w:rFonts w:ascii="Times New Roman" w:hAnsi="Times New Roman" w:cs="Times New Roman"/>
          <w:sz w:val="20"/>
          <w:szCs w:val="20"/>
        </w:rPr>
        <w:tab/>
        <w:t xml:space="preserve">                    435</w:t>
      </w:r>
      <w:r w:rsidRPr="00C56B34">
        <w:rPr>
          <w:rFonts w:ascii="Times New Roman" w:hAnsi="Times New Roman" w:cs="Times New Roman"/>
          <w:sz w:val="20"/>
          <w:szCs w:val="20"/>
        </w:rPr>
        <w:tab/>
        <w:t xml:space="preserve">               654</w:t>
      </w:r>
    </w:p>
    <w:p w14:paraId="4A7316BC" w14:textId="003A9E1F" w:rsidR="00C46074" w:rsidRPr="00C56B34" w:rsidRDefault="00C57007" w:rsidP="00C46074">
      <w:pPr>
        <w:spacing w:after="0"/>
        <w:rPr>
          <w:rFonts w:ascii="Times New Roman" w:hAnsi="Times New Roman" w:cs="Times New Roman"/>
          <w:sz w:val="20"/>
          <w:szCs w:val="20"/>
        </w:rPr>
      </w:pPr>
      <w:r>
        <w:rPr>
          <w:rFonts w:ascii="Times New Roman" w:hAnsi="Times New Roman" w:cs="Times New Roman"/>
          <w:i/>
          <w:sz w:val="20"/>
          <w:szCs w:val="20"/>
        </w:rPr>
        <w:t xml:space="preserve">Acquirer’s Region </w:t>
      </w:r>
      <w:r w:rsidR="00C46074" w:rsidRPr="00C56B34">
        <w:rPr>
          <w:rFonts w:ascii="Times New Roman" w:hAnsi="Times New Roman" w:cs="Times New Roman"/>
          <w:sz w:val="20"/>
          <w:szCs w:val="20"/>
        </w:rPr>
        <w:t>EU</w:t>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t>51</w:t>
      </w:r>
      <w:r w:rsidR="00611454">
        <w:rPr>
          <w:rFonts w:ascii="Times New Roman" w:hAnsi="Times New Roman" w:cs="Times New Roman"/>
          <w:sz w:val="20"/>
          <w:szCs w:val="20"/>
        </w:rPr>
        <w:t>.0</w:t>
      </w:r>
      <w:r w:rsidR="00C46074" w:rsidRPr="00C56B34">
        <w:rPr>
          <w:rFonts w:ascii="Times New Roman" w:hAnsi="Times New Roman" w:cs="Times New Roman"/>
          <w:sz w:val="20"/>
          <w:szCs w:val="20"/>
        </w:rPr>
        <w:t>%</w:t>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p>
    <w:p w14:paraId="3C3C105A" w14:textId="5BC4983A"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US</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32</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Rest of the World</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10</w:t>
      </w:r>
      <w:r w:rsidR="00611454">
        <w:rPr>
          <w:rFonts w:ascii="Times New Roman" w:hAnsi="Times New Roman" w:cs="Times New Roman"/>
          <w:sz w:val="20"/>
          <w:szCs w:val="20"/>
        </w:rPr>
        <w:t>.0</w:t>
      </w:r>
      <w:r w:rsidRPr="00C56B34">
        <w:rPr>
          <w:rFonts w:ascii="Times New Roman" w:hAnsi="Times New Roman" w:cs="Times New Roman"/>
          <w:sz w:val="20"/>
          <w:szCs w:val="20"/>
        </w:rPr>
        <w:t>%</w:t>
      </w:r>
    </w:p>
    <w:p w14:paraId="674C0F4E" w14:textId="2010CF5A"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Asia</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7</w:t>
      </w:r>
      <w:r w:rsidR="00611454">
        <w:rPr>
          <w:rFonts w:ascii="Times New Roman" w:hAnsi="Times New Roman" w:cs="Times New Roman"/>
          <w:sz w:val="20"/>
          <w:szCs w:val="20"/>
        </w:rPr>
        <w:t>.0</w:t>
      </w:r>
      <w:r w:rsidRPr="00C56B34">
        <w:rPr>
          <w:rFonts w:ascii="Times New Roman" w:hAnsi="Times New Roman" w:cs="Times New Roman"/>
          <w:sz w:val="20"/>
          <w:szCs w:val="20"/>
        </w:rPr>
        <w:t>%</w:t>
      </w:r>
    </w:p>
    <w:p w14:paraId="6BF40F88" w14:textId="3FEF60D9" w:rsidR="00C46074" w:rsidRPr="00C56B34" w:rsidRDefault="00C57007" w:rsidP="00C46074">
      <w:pPr>
        <w:spacing w:after="0"/>
        <w:rPr>
          <w:rFonts w:ascii="Times New Roman" w:hAnsi="Times New Roman" w:cs="Times New Roman"/>
          <w:sz w:val="20"/>
          <w:szCs w:val="20"/>
        </w:rPr>
      </w:pPr>
      <w:r>
        <w:rPr>
          <w:rFonts w:ascii="Times New Roman" w:hAnsi="Times New Roman" w:cs="Times New Roman"/>
          <w:i/>
          <w:sz w:val="20"/>
          <w:szCs w:val="20"/>
        </w:rPr>
        <w:t>Market Access</w:t>
      </w:r>
      <w:r w:rsidR="00C46074" w:rsidRPr="00C56B34">
        <w:rPr>
          <w:rFonts w:ascii="Times New Roman" w:hAnsi="Times New Roman" w:cs="Times New Roman"/>
          <w:i/>
          <w:sz w:val="20"/>
          <w:szCs w:val="20"/>
        </w:rPr>
        <w:tab/>
      </w:r>
      <w:r w:rsidR="00C46074" w:rsidRPr="00C56B34">
        <w:rPr>
          <w:rFonts w:ascii="Times New Roman" w:hAnsi="Times New Roman" w:cs="Times New Roman"/>
          <w:sz w:val="20"/>
          <w:szCs w:val="20"/>
        </w:rPr>
        <w:t>Prior EU operation</w:t>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r w:rsidR="00C46074" w:rsidRPr="00C56B34">
        <w:rPr>
          <w:rFonts w:ascii="Times New Roman" w:hAnsi="Times New Roman" w:cs="Times New Roman"/>
          <w:sz w:val="20"/>
          <w:szCs w:val="20"/>
        </w:rPr>
        <w:tab/>
      </w:r>
      <w:r w:rsidR="00ED136C" w:rsidRPr="00C56B34">
        <w:rPr>
          <w:rFonts w:ascii="Times New Roman" w:hAnsi="Times New Roman" w:cs="Times New Roman"/>
          <w:sz w:val="20"/>
          <w:szCs w:val="20"/>
        </w:rPr>
        <w:t>57</w:t>
      </w:r>
      <w:r w:rsidR="00611454">
        <w:rPr>
          <w:rFonts w:ascii="Times New Roman" w:hAnsi="Times New Roman" w:cs="Times New Roman"/>
          <w:sz w:val="20"/>
          <w:szCs w:val="20"/>
        </w:rPr>
        <w:t>.0</w:t>
      </w:r>
      <w:r w:rsidR="00C46074" w:rsidRPr="00C56B34">
        <w:rPr>
          <w:rFonts w:ascii="Times New Roman" w:hAnsi="Times New Roman" w:cs="Times New Roman"/>
          <w:sz w:val="20"/>
          <w:szCs w:val="20"/>
        </w:rPr>
        <w:t>%</w:t>
      </w:r>
    </w:p>
    <w:p w14:paraId="0D04B957" w14:textId="5D6344AA"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No Prior EU operation</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00ED136C" w:rsidRPr="00C56B34">
        <w:rPr>
          <w:rFonts w:ascii="Times New Roman" w:hAnsi="Times New Roman" w:cs="Times New Roman"/>
          <w:sz w:val="20"/>
          <w:szCs w:val="20"/>
        </w:rPr>
        <w:t>43</w:t>
      </w:r>
      <w:r w:rsidR="00611454">
        <w:rPr>
          <w:rFonts w:ascii="Times New Roman" w:hAnsi="Times New Roman" w:cs="Times New Roman"/>
          <w:sz w:val="20"/>
          <w:szCs w:val="20"/>
        </w:rPr>
        <w:t>.0</w:t>
      </w:r>
      <w:r w:rsidRPr="00C56B34">
        <w:rPr>
          <w:rFonts w:ascii="Times New Roman" w:hAnsi="Times New Roman" w:cs="Times New Roman"/>
          <w:sz w:val="20"/>
          <w:szCs w:val="20"/>
        </w:rPr>
        <w:t>%</w:t>
      </w:r>
    </w:p>
    <w:p w14:paraId="0946E57F"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Exchange Rate</w:t>
      </w:r>
      <w:r w:rsidRPr="00C56B34">
        <w:rPr>
          <w:rFonts w:ascii="Times New Roman" w:hAnsi="Times New Roman" w:cs="Times New Roman"/>
          <w:i/>
          <w:sz w:val="20"/>
          <w:szCs w:val="20"/>
        </w:rPr>
        <w:tab/>
      </w:r>
      <w:r w:rsidRPr="00C56B34">
        <w:rPr>
          <w:rFonts w:ascii="Times New Roman" w:hAnsi="Times New Roman" w:cs="Times New Roman"/>
          <w:sz w:val="20"/>
          <w:szCs w:val="20"/>
        </w:rPr>
        <w:t>Average exchange rate value</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1.05</w:t>
      </w:r>
    </w:p>
    <w:p w14:paraId="7FDEF706"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Region Target</w:t>
      </w:r>
      <w:r w:rsidRPr="00C56B34">
        <w:rPr>
          <w:rFonts w:ascii="Times New Roman" w:hAnsi="Times New Roman" w:cs="Times New Roman"/>
          <w:i/>
          <w:sz w:val="20"/>
          <w:szCs w:val="20"/>
        </w:rPr>
        <w:tab/>
      </w:r>
      <w:r w:rsidRPr="00C56B34">
        <w:rPr>
          <w:rFonts w:ascii="Times New Roman" w:hAnsi="Times New Roman" w:cs="Times New Roman"/>
          <w:sz w:val="20"/>
          <w:szCs w:val="20"/>
        </w:rPr>
        <w:t>Austria</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1.8%</w:t>
      </w:r>
      <w:r w:rsidRPr="00C56B34">
        <w:rPr>
          <w:rFonts w:ascii="Times New Roman" w:hAnsi="Times New Roman" w:cs="Times New Roman"/>
          <w:sz w:val="20"/>
          <w:szCs w:val="20"/>
        </w:rPr>
        <w:tab/>
      </w:r>
      <w:r w:rsidRPr="00C56B34">
        <w:rPr>
          <w:rFonts w:ascii="Times New Roman" w:hAnsi="Times New Roman" w:cs="Times New Roman"/>
          <w:sz w:val="20"/>
          <w:szCs w:val="20"/>
        </w:rPr>
        <w:tab/>
        <w:t>0.5%</w:t>
      </w:r>
      <w:r w:rsidRPr="00C56B34">
        <w:rPr>
          <w:rFonts w:ascii="Times New Roman" w:hAnsi="Times New Roman" w:cs="Times New Roman"/>
          <w:sz w:val="20"/>
          <w:szCs w:val="20"/>
        </w:rPr>
        <w:tab/>
      </w:r>
      <w:r w:rsidRPr="00C56B34">
        <w:rPr>
          <w:rFonts w:ascii="Times New Roman" w:hAnsi="Times New Roman" w:cs="Times New Roman"/>
          <w:sz w:val="20"/>
          <w:szCs w:val="20"/>
        </w:rPr>
        <w:tab/>
        <w:t>1.3%**</w:t>
      </w:r>
    </w:p>
    <w:p w14:paraId="27B7A2BC" w14:textId="77777777"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Belgium</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4.8%</w:t>
      </w:r>
      <w:r w:rsidRPr="00C56B34">
        <w:rPr>
          <w:rFonts w:ascii="Times New Roman" w:hAnsi="Times New Roman" w:cs="Times New Roman"/>
          <w:sz w:val="20"/>
          <w:szCs w:val="20"/>
        </w:rPr>
        <w:tab/>
      </w:r>
      <w:r w:rsidRPr="00C56B34">
        <w:rPr>
          <w:rFonts w:ascii="Times New Roman" w:hAnsi="Times New Roman" w:cs="Times New Roman"/>
          <w:sz w:val="20"/>
          <w:szCs w:val="20"/>
        </w:rPr>
        <w:tab/>
        <w:t>0.6%</w:t>
      </w:r>
      <w:r w:rsidRPr="00C56B34">
        <w:rPr>
          <w:rFonts w:ascii="Times New Roman" w:hAnsi="Times New Roman" w:cs="Times New Roman"/>
          <w:sz w:val="20"/>
          <w:szCs w:val="20"/>
        </w:rPr>
        <w:tab/>
      </w:r>
      <w:r w:rsidRPr="00C56B34">
        <w:rPr>
          <w:rFonts w:ascii="Times New Roman" w:hAnsi="Times New Roman" w:cs="Times New Roman"/>
          <w:sz w:val="20"/>
          <w:szCs w:val="20"/>
        </w:rPr>
        <w:tab/>
        <w:t>4.2%***</w:t>
      </w:r>
    </w:p>
    <w:p w14:paraId="2A3BEEB9" w14:textId="26AF9AA5" w:rsidR="00C4607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France</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16.1%</w:t>
      </w:r>
      <w:r w:rsidRPr="00C56B34">
        <w:rPr>
          <w:rFonts w:ascii="Times New Roman" w:hAnsi="Times New Roman" w:cs="Times New Roman"/>
          <w:sz w:val="20"/>
          <w:szCs w:val="20"/>
        </w:rPr>
        <w:tab/>
      </w:r>
      <w:r w:rsidRPr="00C56B34">
        <w:rPr>
          <w:rFonts w:ascii="Times New Roman" w:hAnsi="Times New Roman" w:cs="Times New Roman"/>
          <w:sz w:val="20"/>
          <w:szCs w:val="20"/>
        </w:rPr>
        <w:tab/>
        <w:t>14.5%</w:t>
      </w:r>
      <w:r w:rsidRPr="00C56B34">
        <w:rPr>
          <w:rFonts w:ascii="Times New Roman" w:hAnsi="Times New Roman" w:cs="Times New Roman"/>
          <w:sz w:val="20"/>
          <w:szCs w:val="20"/>
        </w:rPr>
        <w:tab/>
      </w:r>
      <w:r w:rsidRPr="00C56B34">
        <w:rPr>
          <w:rFonts w:ascii="Times New Roman" w:hAnsi="Times New Roman" w:cs="Times New Roman"/>
          <w:sz w:val="20"/>
          <w:szCs w:val="20"/>
        </w:rPr>
        <w:tab/>
        <w:t>1.7%</w:t>
      </w:r>
    </w:p>
    <w:p w14:paraId="776F65FD" w14:textId="1AF5A65C" w:rsidR="00D05907" w:rsidRDefault="00883FBE" w:rsidP="00D05907">
      <w:pPr>
        <w:spacing w:after="0" w:line="360" w:lineRule="auto"/>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Table 1</w:t>
      </w:r>
    </w:p>
    <w:p w14:paraId="0BD3A854" w14:textId="7CBE2839" w:rsidR="00D05907" w:rsidRDefault="00D05907" w:rsidP="00D05907">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Continued. </w:t>
      </w:r>
    </w:p>
    <w:p w14:paraId="17AFCF5C" w14:textId="338A3B21" w:rsidR="00D05907" w:rsidRPr="00C56B34" w:rsidRDefault="00D05907" w:rsidP="00D05907">
      <w:pPr>
        <w:spacing w:after="0" w:line="360" w:lineRule="auto"/>
        <w:jc w:val="both"/>
        <w:rPr>
          <w:rFonts w:ascii="Times New Roman" w:hAnsi="Times New Roman" w:cs="Times New Roman"/>
          <w:color w:val="FF0000"/>
        </w:rPr>
      </w:pPr>
      <w:r w:rsidRPr="00C56B34">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2561F539" wp14:editId="7F19DB52">
                <wp:simplePos x="0" y="0"/>
                <wp:positionH relativeFrom="margin">
                  <wp:align>left</wp:align>
                </wp:positionH>
                <wp:positionV relativeFrom="paragraph">
                  <wp:posOffset>47736</wp:posOffset>
                </wp:positionV>
                <wp:extent cx="5972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9DA2D" id="Straight Connector 4"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3.75pt" to="47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XzgEAAPcDAAAOAAAAZHJzL2Uyb0RvYy54bWysU8Fu2zAMvQ/YPwi6L7aDdt2MOD2k6C7D&#10;FqzdB6iyFAuTRIHSYufvRymJU2zDUBS7yKbE98j3RK1uJ2fZXmE04DveLGrOlJfQG7/r+PfH+3cf&#10;OItJ+F5Y8KrjBxX57frtm9UYWrWEAWyvkBGJj+0YOj6kFNqqinJQTsQFBOXpUAM6kSjEXdWjGInd&#10;2WpZ1++rEbAPCFLFSLt3x0O+LvxaK5m+ah1VYrbj1FsqK5b1Ka/VeiXaHYowGHlqQ7yiCyeMp6Iz&#10;1Z1Igv1E8weVMxIhgk4LCa4CrY1URQOpaerf1DwMIqiihcyJYbYp/j9a+WW/RWb6jl9x5oWjK3pI&#10;KMxuSGwD3pOBgOwq+zSG2FL6xm/xFMWwxSx60ujyl+SwqXh7mL1VU2KSNq8/3iybm2vO5PmsugAD&#10;xvRJgWP5p+PW+CxbtGL/OSYqRqnnlLxtfV4jWNPfG2tLkAdGbSyyvaCrTlOTWybcsyyKMrLKQo6t&#10;l790sOrI+k1psoKabUr1MoQXzv7HmdN6yswQTdVnUP1v0Ck3w1QZzJcC5+xSEXyagc54wL9VvcjX&#10;x/yz6qPWLPsJ+kO5yGIHTVdx6/QS8vg+jwv88l7XvwAAAP//AwBQSwMEFAAGAAgAAAAhADbY7w3c&#10;AAAABAEAAA8AAABkcnMvZG93bnJldi54bWxMj81uwjAQhO+VeAdrkXqpwOkP0KZxUBWJSw+VShDi&#10;aOIljhqvo9iQ8Pbd9tLeZjSrmW+z9ehaccE+NJ4U3M8TEEiVNw3VCnblZvYMIkRNRreeUMEVA6zz&#10;yU2mU+MH+sTLNtaCSyikWoGNsUulDJVFp8Pcd0icnXzvdGTb19L0euBy18qHJFlKpxviBas7LCxW&#10;X9uzU3Co7x43+5LKoYgfp6Udr/v3RaHU7XR8ewURcYx/x/CDz+iQM9PRn8kE0SrgR6KC1QIEhy9P&#10;CYvjr5d5Jv/D598AAAD//wMAUEsBAi0AFAAGAAgAAAAhALaDOJL+AAAA4QEAABMAAAAAAAAAAAAA&#10;AAAAAAAAAFtDb250ZW50X1R5cGVzXS54bWxQSwECLQAUAAYACAAAACEAOP0h/9YAAACUAQAACwAA&#10;AAAAAAAAAAAAAAAvAQAAX3JlbHMvLnJlbHNQSwECLQAUAAYACAAAACEAPi0kl84BAAD3AwAADgAA&#10;AAAAAAAAAAAAAAAuAgAAZHJzL2Uyb0RvYy54bWxQSwECLQAUAAYACAAAACEANtjvDdwAAAAEAQAA&#10;DwAAAAAAAAAAAAAAAAAoBAAAZHJzL2Rvd25yZXYueG1sUEsFBgAAAAAEAAQA8wAAADEFAAAAAA==&#10;" strokecolor="black [3213]" strokeweight=".5pt">
                <v:stroke joinstyle="miter"/>
                <w10:wrap anchorx="margin"/>
              </v:line>
            </w:pict>
          </mc:Fallback>
        </mc:AlternateContent>
      </w:r>
      <w:r w:rsidRPr="00C56B34">
        <w:rPr>
          <w:rFonts w:ascii="Times New Roman" w:hAnsi="Times New Roman" w:cs="Times New Roman"/>
        </w:rPr>
        <w:tab/>
      </w:r>
    </w:p>
    <w:p w14:paraId="4CA2AC10" w14:textId="56B5D209" w:rsidR="00D05907" w:rsidRPr="00C56B34" w:rsidRDefault="00D05907" w:rsidP="002A71EB">
      <w:pPr>
        <w:ind w:left="2880"/>
        <w:rPr>
          <w:rFonts w:ascii="Times New Roman" w:hAnsi="Times New Roman" w:cs="Times New Roman"/>
          <w:sz w:val="20"/>
          <w:szCs w:val="20"/>
        </w:rPr>
      </w:pPr>
      <w:r w:rsidRPr="00C56B34">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3B48F73D" wp14:editId="7941C330">
                <wp:simplePos x="0" y="0"/>
                <wp:positionH relativeFrom="margin">
                  <wp:align>left</wp:align>
                </wp:positionH>
                <wp:positionV relativeFrom="paragraph">
                  <wp:posOffset>190059</wp:posOffset>
                </wp:positionV>
                <wp:extent cx="59721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97933" id="Straight Connector 3"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14.95pt" to="470.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btzgEAAPcDAAAOAAAAZHJzL2Uyb0RvYy54bWysU8Fu2zAMvQ/YPwi6L7ZTdN2MOD2k6C7D&#10;FqzdB6iyFAuTRIHSYufvRymJU2zDUBS7yKbE98j3RK1uJ2fZXmE04DveLGrOlJfQG7/r+PfH+3cf&#10;OItJ+F5Y8KrjBxX57frtm9UYWrWEAWyvkBGJj+0YOj6kFNqqinJQTsQFBOXpUAM6kSjEXdWjGInd&#10;2WpZ1++rEbAPCFLFSLt3x0O+LvxaK5m+ah1VYrbj1FsqK5b1Ka/VeiXaHYowGHlqQ7yiCyeMp6Iz&#10;1Z1Igv1E8weVMxIhgk4LCa4CrY1URQOpaerf1DwMIqiihcyJYbYp/j9a+WW/RWb6jl9x5oWjK3pI&#10;KMxuSGwD3pOBgOwq+zSG2FL6xm/xFMWwxSx60ujyl+SwqXh7mL1VU2KSNq8/3iybm2vO5PmsugAD&#10;xvRJgWP5p+PW+CxbtGL/OSYqRqnnlLxtfV4jWNPfG2tLkAdGbSyyvaCrTlOTWybcsyyKMrLKQo6t&#10;l790sOrI+k1psoKabUr1MoQXzv7HmdN6yswQTdVnUP1v0Ck3w1QZzJcC5+xSEXyagc54wL9VvcjX&#10;x/yz6qPWLPsJ+kO5yGIHTVdx6/QS8vg+jwv88l7XvwAAAP//AwBQSwMEFAAGAAgAAAAhAAN8xrPd&#10;AAAABgEAAA8AAABkcnMvZG93bnJldi54bWxMj0FLw0AQhe+C/2EZwYvYjdWWJs2kSKAXD4KNFI/b&#10;7DQbzM6G7LZJ/70rHupx3nu8902+mWwnzjT41jHC0ywBQVw73XKD8FltH1cgfFCsVeeYEC7kYVPc&#10;3uQq027kDzrvQiNiCftMIZgQ+kxKXxuyys9cTxy9oxusCvEcGqkHNcZy28l5kiylVS3HBaN6Kg3V&#10;37uTRfhqHp63+4qrsQzvx6WZLvu3RYl4fze9rkEEmsI1DL/4ER2KyHRwJ9ZedAjxkYAwT1MQ0U1f&#10;kgWIw58gi1z+xy9+AAAA//8DAFBLAQItABQABgAIAAAAIQC2gziS/gAAAOEBAAATAAAAAAAAAAAA&#10;AAAAAAAAAABbQ29udGVudF9UeXBlc10ueG1sUEsBAi0AFAAGAAgAAAAhADj9If/WAAAAlAEAAAsA&#10;AAAAAAAAAAAAAAAALwEAAF9yZWxzLy5yZWxzUEsBAi0AFAAGAAgAAAAhABCU5u3OAQAA9wMAAA4A&#10;AAAAAAAAAAAAAAAALgIAAGRycy9lMm9Eb2MueG1sUEsBAi0AFAAGAAgAAAAhAAN8xrPdAAAABgEA&#10;AA8AAAAAAAAAAAAAAAAAKAQAAGRycy9kb3ducmV2LnhtbFBLBQYAAAAABAAEAPMAAAAyBQAAAAA=&#10;" strokecolor="black [3213]" strokeweight=".5pt">
                <v:stroke joinstyle="miter"/>
                <w10:wrap anchorx="margin"/>
              </v:line>
            </w:pict>
          </mc:Fallback>
        </mc:AlternateContent>
      </w:r>
      <w:r w:rsidR="00C57007">
        <w:rPr>
          <w:rFonts w:ascii="Times New Roman" w:hAnsi="Times New Roman" w:cs="Times New Roman"/>
          <w:sz w:val="20"/>
          <w:szCs w:val="20"/>
        </w:rPr>
        <w:t>Total Sample        Cross-</w:t>
      </w:r>
      <w:r w:rsidRPr="00C56B34">
        <w:rPr>
          <w:rFonts w:ascii="Times New Roman" w:hAnsi="Times New Roman" w:cs="Times New Roman"/>
          <w:sz w:val="20"/>
          <w:szCs w:val="20"/>
        </w:rPr>
        <w:t>border          Domes</w:t>
      </w:r>
      <w:r>
        <w:rPr>
          <w:rFonts w:ascii="Times New Roman" w:hAnsi="Times New Roman" w:cs="Times New Roman"/>
          <w:sz w:val="20"/>
          <w:szCs w:val="20"/>
        </w:rPr>
        <w:t xml:space="preserve">tic        Cross-border Effect </w:t>
      </w:r>
    </w:p>
    <w:p w14:paraId="39CC663C" w14:textId="77083324" w:rsidR="009C212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r>
      <w:r w:rsidR="009C2124" w:rsidRPr="00C56B34">
        <w:rPr>
          <w:rFonts w:ascii="Times New Roman" w:hAnsi="Times New Roman" w:cs="Times New Roman"/>
          <w:sz w:val="20"/>
          <w:szCs w:val="20"/>
        </w:rPr>
        <w:t>Germany</w:t>
      </w:r>
      <w:r w:rsidR="009C2124" w:rsidRPr="00C56B34">
        <w:rPr>
          <w:rFonts w:ascii="Times New Roman" w:hAnsi="Times New Roman" w:cs="Times New Roman"/>
          <w:sz w:val="20"/>
          <w:szCs w:val="20"/>
        </w:rPr>
        <w:tab/>
      </w:r>
      <w:r w:rsidR="009C2124" w:rsidRPr="00C56B34">
        <w:rPr>
          <w:rFonts w:ascii="Times New Roman" w:hAnsi="Times New Roman" w:cs="Times New Roman"/>
          <w:sz w:val="20"/>
          <w:szCs w:val="20"/>
        </w:rPr>
        <w:tab/>
      </w:r>
      <w:r w:rsidR="009C2124" w:rsidRPr="00C56B34">
        <w:rPr>
          <w:rFonts w:ascii="Times New Roman" w:hAnsi="Times New Roman" w:cs="Times New Roman"/>
          <w:sz w:val="20"/>
          <w:szCs w:val="20"/>
        </w:rPr>
        <w:tab/>
      </w:r>
      <w:r w:rsidR="009C2124" w:rsidRPr="00C56B34">
        <w:rPr>
          <w:rFonts w:ascii="Times New Roman" w:hAnsi="Times New Roman" w:cs="Times New Roman"/>
          <w:sz w:val="20"/>
          <w:szCs w:val="20"/>
        </w:rPr>
        <w:tab/>
      </w:r>
      <w:r w:rsidR="009C2124" w:rsidRPr="00C56B34">
        <w:rPr>
          <w:rFonts w:ascii="Times New Roman" w:hAnsi="Times New Roman" w:cs="Times New Roman"/>
          <w:sz w:val="20"/>
          <w:szCs w:val="20"/>
        </w:rPr>
        <w:tab/>
        <w:t>11.5%</w:t>
      </w:r>
      <w:r w:rsidR="009C2124" w:rsidRPr="00C56B34">
        <w:rPr>
          <w:rFonts w:ascii="Times New Roman" w:hAnsi="Times New Roman" w:cs="Times New Roman"/>
          <w:sz w:val="20"/>
          <w:szCs w:val="20"/>
        </w:rPr>
        <w:tab/>
      </w:r>
      <w:r w:rsidR="009C2124" w:rsidRPr="00C56B34">
        <w:rPr>
          <w:rFonts w:ascii="Times New Roman" w:hAnsi="Times New Roman" w:cs="Times New Roman"/>
          <w:sz w:val="20"/>
          <w:szCs w:val="20"/>
        </w:rPr>
        <w:tab/>
        <w:t>5.2%</w:t>
      </w:r>
      <w:r w:rsidR="009C2124" w:rsidRPr="00C56B34">
        <w:rPr>
          <w:rFonts w:ascii="Times New Roman" w:hAnsi="Times New Roman" w:cs="Times New Roman"/>
          <w:sz w:val="20"/>
          <w:szCs w:val="20"/>
        </w:rPr>
        <w:tab/>
      </w:r>
      <w:r w:rsidR="009C2124" w:rsidRPr="00C56B34">
        <w:rPr>
          <w:rFonts w:ascii="Times New Roman" w:hAnsi="Times New Roman" w:cs="Times New Roman"/>
          <w:sz w:val="20"/>
          <w:szCs w:val="20"/>
        </w:rPr>
        <w:tab/>
        <w:t>6.3%***</w:t>
      </w:r>
    </w:p>
    <w:p w14:paraId="5842000E" w14:textId="717AF1C6" w:rsidR="00C46074" w:rsidRPr="00C56B34" w:rsidRDefault="00C46074" w:rsidP="009C212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Greece</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0.9%</w:t>
      </w:r>
      <w:r w:rsidRPr="00C56B34">
        <w:rPr>
          <w:rFonts w:ascii="Times New Roman" w:hAnsi="Times New Roman" w:cs="Times New Roman"/>
          <w:sz w:val="20"/>
          <w:szCs w:val="20"/>
        </w:rPr>
        <w:tab/>
      </w:r>
      <w:r w:rsidRPr="00C56B34">
        <w:rPr>
          <w:rFonts w:ascii="Times New Roman" w:hAnsi="Times New Roman" w:cs="Times New Roman"/>
          <w:sz w:val="20"/>
          <w:szCs w:val="20"/>
        </w:rPr>
        <w:tab/>
        <w:t>2.1%</w:t>
      </w:r>
      <w:r w:rsidRPr="00C56B34">
        <w:rPr>
          <w:rFonts w:ascii="Times New Roman" w:hAnsi="Times New Roman" w:cs="Times New Roman"/>
          <w:sz w:val="20"/>
          <w:szCs w:val="20"/>
        </w:rPr>
        <w:tab/>
        <w:t xml:space="preserve">            </w:t>
      </w:r>
      <w:r w:rsidRPr="00C56B34">
        <w:rPr>
          <w:rFonts w:ascii="Times New Roman" w:hAnsi="Times New Roman" w:cs="Times New Roman"/>
          <w:sz w:val="20"/>
        </w:rPr>
        <w:t>−1.2%</w:t>
      </w:r>
    </w:p>
    <w:p w14:paraId="7708F28C" w14:textId="444E13CF"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Italy</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2.3%</w:t>
      </w:r>
      <w:r w:rsidRPr="00C56B34">
        <w:rPr>
          <w:rFonts w:ascii="Times New Roman" w:hAnsi="Times New Roman" w:cs="Times New Roman"/>
          <w:sz w:val="20"/>
          <w:szCs w:val="20"/>
        </w:rPr>
        <w:tab/>
      </w:r>
      <w:r w:rsidRPr="00C56B34">
        <w:rPr>
          <w:rFonts w:ascii="Times New Roman" w:hAnsi="Times New Roman" w:cs="Times New Roman"/>
          <w:sz w:val="20"/>
          <w:szCs w:val="20"/>
        </w:rPr>
        <w:tab/>
        <w:t>2</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0.3%</w:t>
      </w:r>
    </w:p>
    <w:p w14:paraId="2D4DE06B"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Luxemburg</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1.4%</w:t>
      </w:r>
      <w:r w:rsidRPr="00C56B34">
        <w:rPr>
          <w:rFonts w:ascii="Times New Roman" w:hAnsi="Times New Roman" w:cs="Times New Roman"/>
          <w:sz w:val="20"/>
          <w:szCs w:val="20"/>
        </w:rPr>
        <w:tab/>
      </w:r>
      <w:r w:rsidRPr="00C56B34">
        <w:rPr>
          <w:rFonts w:ascii="Times New Roman" w:hAnsi="Times New Roman" w:cs="Times New Roman"/>
          <w:sz w:val="20"/>
          <w:szCs w:val="20"/>
        </w:rPr>
        <w:tab/>
        <w:t>0.2%</w:t>
      </w:r>
      <w:r w:rsidRPr="00C56B34">
        <w:rPr>
          <w:rFonts w:ascii="Times New Roman" w:hAnsi="Times New Roman" w:cs="Times New Roman"/>
          <w:sz w:val="20"/>
          <w:szCs w:val="20"/>
        </w:rPr>
        <w:tab/>
      </w:r>
      <w:r w:rsidRPr="00C56B34">
        <w:rPr>
          <w:rFonts w:ascii="Times New Roman" w:hAnsi="Times New Roman" w:cs="Times New Roman"/>
          <w:sz w:val="20"/>
          <w:szCs w:val="20"/>
        </w:rPr>
        <w:tab/>
        <w:t>1.2%**</w:t>
      </w:r>
    </w:p>
    <w:p w14:paraId="1FA73094"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Netherlands</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7.6%</w:t>
      </w:r>
      <w:r w:rsidRPr="00C56B34">
        <w:rPr>
          <w:rFonts w:ascii="Times New Roman" w:hAnsi="Times New Roman" w:cs="Times New Roman"/>
          <w:sz w:val="20"/>
          <w:szCs w:val="20"/>
        </w:rPr>
        <w:tab/>
      </w:r>
      <w:r w:rsidRPr="00C56B34">
        <w:rPr>
          <w:rFonts w:ascii="Times New Roman" w:hAnsi="Times New Roman" w:cs="Times New Roman"/>
          <w:sz w:val="20"/>
          <w:szCs w:val="20"/>
        </w:rPr>
        <w:tab/>
        <w:t>3.1%</w:t>
      </w:r>
      <w:r w:rsidRPr="00C56B34">
        <w:rPr>
          <w:rFonts w:ascii="Times New Roman" w:hAnsi="Times New Roman" w:cs="Times New Roman"/>
          <w:sz w:val="20"/>
          <w:szCs w:val="20"/>
        </w:rPr>
        <w:tab/>
      </w:r>
      <w:r w:rsidRPr="00C56B34">
        <w:rPr>
          <w:rFonts w:ascii="Times New Roman" w:hAnsi="Times New Roman" w:cs="Times New Roman"/>
          <w:sz w:val="20"/>
          <w:szCs w:val="20"/>
        </w:rPr>
        <w:tab/>
        <w:t>4.5%***</w:t>
      </w:r>
    </w:p>
    <w:p w14:paraId="6BFF7115"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Spain</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2.5%</w:t>
      </w:r>
      <w:r w:rsidRPr="00C56B34">
        <w:rPr>
          <w:rFonts w:ascii="Times New Roman" w:hAnsi="Times New Roman" w:cs="Times New Roman"/>
          <w:sz w:val="20"/>
          <w:szCs w:val="20"/>
        </w:rPr>
        <w:tab/>
      </w:r>
      <w:r w:rsidRPr="00C56B34">
        <w:rPr>
          <w:rFonts w:ascii="Times New Roman" w:hAnsi="Times New Roman" w:cs="Times New Roman"/>
          <w:sz w:val="20"/>
          <w:szCs w:val="20"/>
        </w:rPr>
        <w:tab/>
        <w:t>2.9%</w:t>
      </w:r>
      <w:r w:rsidRPr="00C56B34">
        <w:rPr>
          <w:rFonts w:ascii="Times New Roman" w:hAnsi="Times New Roman" w:cs="Times New Roman"/>
          <w:sz w:val="20"/>
          <w:szCs w:val="20"/>
        </w:rPr>
        <w:tab/>
        <w:t xml:space="preserve">            </w:t>
      </w:r>
      <w:r w:rsidRPr="00C56B34">
        <w:rPr>
          <w:rFonts w:ascii="Times New Roman" w:hAnsi="Times New Roman" w:cs="Times New Roman"/>
          <w:sz w:val="20"/>
        </w:rPr>
        <w:t>−0.4%</w:t>
      </w:r>
    </w:p>
    <w:p w14:paraId="41A2323B" w14:textId="04F7047B"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UK</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51</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68.9%</w:t>
      </w:r>
      <w:r w:rsidRPr="00C56B34">
        <w:rPr>
          <w:rFonts w:ascii="Times New Roman" w:hAnsi="Times New Roman" w:cs="Times New Roman"/>
          <w:sz w:val="20"/>
          <w:szCs w:val="20"/>
        </w:rPr>
        <w:tab/>
        <w:t xml:space="preserve">          </w:t>
      </w:r>
      <w:r w:rsidRPr="00C56B34">
        <w:rPr>
          <w:rFonts w:ascii="Times New Roman" w:hAnsi="Times New Roman" w:cs="Times New Roman"/>
          <w:sz w:val="20"/>
        </w:rPr>
        <w:t>−17.9%***</w:t>
      </w:r>
    </w:p>
    <w:p w14:paraId="066DE82A"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Multiplies</w:t>
      </w:r>
      <w:r w:rsidRPr="00C56B34">
        <w:rPr>
          <w:rFonts w:ascii="Times New Roman" w:hAnsi="Times New Roman" w:cs="Times New Roman"/>
          <w:i/>
          <w:sz w:val="20"/>
          <w:szCs w:val="20"/>
        </w:rPr>
        <w:tab/>
      </w:r>
      <w:r w:rsidRPr="00C56B34">
        <w:rPr>
          <w:rFonts w:ascii="Times New Roman" w:hAnsi="Times New Roman" w:cs="Times New Roman"/>
          <w:sz w:val="20"/>
          <w:szCs w:val="20"/>
        </w:rPr>
        <w:t>Average EPS</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$1.7</w:t>
      </w:r>
      <w:r w:rsidRPr="00C56B34">
        <w:rPr>
          <w:rFonts w:ascii="Times New Roman" w:hAnsi="Times New Roman" w:cs="Times New Roman"/>
          <w:sz w:val="20"/>
          <w:szCs w:val="20"/>
        </w:rPr>
        <w:tab/>
      </w:r>
      <w:r w:rsidRPr="00C56B34">
        <w:rPr>
          <w:rFonts w:ascii="Times New Roman" w:hAnsi="Times New Roman" w:cs="Times New Roman"/>
          <w:sz w:val="20"/>
          <w:szCs w:val="20"/>
        </w:rPr>
        <w:tab/>
        <w:t xml:space="preserve">$0.2 </w:t>
      </w:r>
      <w:r w:rsidRPr="00C56B34">
        <w:rPr>
          <w:rFonts w:ascii="Times New Roman" w:hAnsi="Times New Roman" w:cs="Times New Roman"/>
          <w:sz w:val="20"/>
          <w:szCs w:val="20"/>
        </w:rPr>
        <w:tab/>
      </w:r>
      <w:r w:rsidRPr="00C56B34">
        <w:rPr>
          <w:rFonts w:ascii="Times New Roman" w:hAnsi="Times New Roman" w:cs="Times New Roman"/>
          <w:sz w:val="20"/>
          <w:szCs w:val="20"/>
        </w:rPr>
        <w:tab/>
        <w:t>$1.5**</w:t>
      </w:r>
    </w:p>
    <w:p w14:paraId="417047DC"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Average EV/EBITDA ratio</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18.7</w:t>
      </w:r>
      <w:r w:rsidRPr="00C56B34">
        <w:rPr>
          <w:rFonts w:ascii="Times New Roman" w:hAnsi="Times New Roman" w:cs="Times New Roman"/>
          <w:sz w:val="20"/>
          <w:szCs w:val="20"/>
        </w:rPr>
        <w:tab/>
      </w:r>
      <w:r w:rsidRPr="00C56B34">
        <w:rPr>
          <w:rFonts w:ascii="Times New Roman" w:hAnsi="Times New Roman" w:cs="Times New Roman"/>
          <w:sz w:val="20"/>
          <w:szCs w:val="20"/>
        </w:rPr>
        <w:tab/>
        <w:t>19.2</w:t>
      </w:r>
      <w:r w:rsidRPr="00C56B34">
        <w:rPr>
          <w:rFonts w:ascii="Times New Roman" w:hAnsi="Times New Roman" w:cs="Times New Roman"/>
          <w:sz w:val="20"/>
          <w:szCs w:val="20"/>
        </w:rPr>
        <w:tab/>
        <w:t xml:space="preserve">            </w:t>
      </w:r>
      <w:r w:rsidRPr="00C56B34">
        <w:rPr>
          <w:rFonts w:ascii="Times New Roman" w:hAnsi="Times New Roman" w:cs="Times New Roman"/>
          <w:sz w:val="20"/>
        </w:rPr>
        <w:t>−0.5</w:t>
      </w:r>
    </w:p>
    <w:p w14:paraId="0B818A08" w14:textId="51DC1104"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Average Net Assets growth rate</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27</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19.3%</w:t>
      </w:r>
      <w:r w:rsidRPr="00C56B34">
        <w:rPr>
          <w:rFonts w:ascii="Times New Roman" w:hAnsi="Times New Roman" w:cs="Times New Roman"/>
          <w:sz w:val="20"/>
          <w:szCs w:val="20"/>
        </w:rPr>
        <w:tab/>
      </w:r>
      <w:r w:rsidRPr="00C56B34">
        <w:rPr>
          <w:rFonts w:ascii="Times New Roman" w:hAnsi="Times New Roman" w:cs="Times New Roman"/>
          <w:sz w:val="20"/>
          <w:szCs w:val="20"/>
        </w:rPr>
        <w:tab/>
        <w:t>7.7</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Average EBIT growth rate</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13</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14.2%</w:t>
      </w:r>
      <w:r w:rsidRPr="00C56B34">
        <w:rPr>
          <w:rFonts w:ascii="Times New Roman" w:hAnsi="Times New Roman" w:cs="Times New Roman"/>
          <w:sz w:val="20"/>
          <w:szCs w:val="20"/>
        </w:rPr>
        <w:tab/>
      </w:r>
      <w:r w:rsidRPr="00C56B34">
        <w:rPr>
          <w:rFonts w:ascii="Times New Roman" w:hAnsi="Times New Roman" w:cs="Times New Roman"/>
          <w:sz w:val="20"/>
          <w:szCs w:val="20"/>
        </w:rPr>
        <w:tab/>
        <w:t>1.4</w:t>
      </w:r>
    </w:p>
    <w:p w14:paraId="039916D9" w14:textId="0285B820"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Average EPS growth rate</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12</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15.5%</w:t>
      </w:r>
      <w:r w:rsidRPr="00C56B34">
        <w:rPr>
          <w:rFonts w:ascii="Times New Roman" w:hAnsi="Times New Roman" w:cs="Times New Roman"/>
          <w:sz w:val="20"/>
          <w:szCs w:val="20"/>
        </w:rPr>
        <w:tab/>
      </w:r>
      <w:r w:rsidRPr="00C56B34">
        <w:rPr>
          <w:rFonts w:ascii="Times New Roman" w:hAnsi="Times New Roman" w:cs="Times New Roman"/>
          <w:sz w:val="20"/>
          <w:szCs w:val="20"/>
        </w:rPr>
        <w:tab/>
        <w:t>3.6</w:t>
      </w:r>
    </w:p>
    <w:p w14:paraId="230E3051"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Log MV</w:t>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sz w:val="20"/>
          <w:szCs w:val="20"/>
        </w:rPr>
        <w:t>Average pre-bid market value (log)</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2.6</w:t>
      </w:r>
      <w:r w:rsidRPr="00C56B34">
        <w:rPr>
          <w:rFonts w:ascii="Times New Roman" w:hAnsi="Times New Roman" w:cs="Times New Roman"/>
          <w:sz w:val="20"/>
          <w:szCs w:val="20"/>
        </w:rPr>
        <w:tab/>
      </w:r>
      <w:r w:rsidRPr="00C56B34">
        <w:rPr>
          <w:rFonts w:ascii="Times New Roman" w:hAnsi="Times New Roman" w:cs="Times New Roman"/>
          <w:sz w:val="20"/>
          <w:szCs w:val="20"/>
        </w:rPr>
        <w:tab/>
        <w:t>2.2</w:t>
      </w:r>
      <w:r w:rsidRPr="00C56B34">
        <w:rPr>
          <w:rFonts w:ascii="Times New Roman" w:hAnsi="Times New Roman" w:cs="Times New Roman"/>
          <w:sz w:val="20"/>
          <w:szCs w:val="20"/>
        </w:rPr>
        <w:tab/>
      </w:r>
      <w:r w:rsidRPr="00C56B34">
        <w:rPr>
          <w:rFonts w:ascii="Times New Roman" w:hAnsi="Times New Roman" w:cs="Times New Roman"/>
          <w:sz w:val="20"/>
          <w:szCs w:val="20"/>
        </w:rPr>
        <w:tab/>
        <w:t>0.4***</w:t>
      </w:r>
    </w:p>
    <w:p w14:paraId="726050B7" w14:textId="025AD52E"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Stake %</w:t>
      </w:r>
      <w:r w:rsidRPr="00C56B34">
        <w:rPr>
          <w:rFonts w:ascii="Times New Roman" w:hAnsi="Times New Roman" w:cs="Times New Roman"/>
          <w:sz w:val="20"/>
          <w:szCs w:val="20"/>
        </w:rPr>
        <w:tab/>
      </w:r>
      <w:r w:rsidRPr="00C56B34">
        <w:rPr>
          <w:rFonts w:ascii="Times New Roman" w:hAnsi="Times New Roman" w:cs="Times New Roman"/>
          <w:sz w:val="20"/>
          <w:szCs w:val="20"/>
        </w:rPr>
        <w:tab/>
        <w:t xml:space="preserve">Average stake percentage acquired </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89</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92</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00B41D48" w:rsidRPr="00C56B34">
        <w:rPr>
          <w:rFonts w:ascii="Times New Roman" w:hAnsi="Times New Roman" w:cs="Times New Roman"/>
          <w:sz w:val="20"/>
        </w:rPr>
        <w:t>−</w:t>
      </w:r>
      <w:r w:rsidR="00B41D48">
        <w:rPr>
          <w:rFonts w:ascii="Times New Roman" w:hAnsi="Times New Roman" w:cs="Times New Roman"/>
          <w:sz w:val="20"/>
          <w:szCs w:val="20"/>
        </w:rPr>
        <w:t>3</w:t>
      </w:r>
      <w:r w:rsidRPr="00C56B34">
        <w:rPr>
          <w:rFonts w:ascii="Times New Roman" w:hAnsi="Times New Roman" w:cs="Times New Roman"/>
          <w:sz w:val="20"/>
          <w:szCs w:val="20"/>
        </w:rPr>
        <w:t>%**</w:t>
      </w:r>
    </w:p>
    <w:p w14:paraId="74056CA5"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Payment</w:t>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sz w:val="20"/>
          <w:szCs w:val="20"/>
        </w:rPr>
        <w:t>Cash only</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46.4%</w:t>
      </w:r>
      <w:r w:rsidRPr="00C56B34">
        <w:rPr>
          <w:rFonts w:ascii="Times New Roman" w:hAnsi="Times New Roman" w:cs="Times New Roman"/>
          <w:sz w:val="20"/>
          <w:szCs w:val="20"/>
        </w:rPr>
        <w:tab/>
      </w:r>
      <w:r w:rsidRPr="00C56B34">
        <w:rPr>
          <w:rFonts w:ascii="Times New Roman" w:hAnsi="Times New Roman" w:cs="Times New Roman"/>
          <w:sz w:val="20"/>
          <w:szCs w:val="20"/>
        </w:rPr>
        <w:tab/>
        <w:t>32.2%</w:t>
      </w:r>
      <w:r w:rsidRPr="00C56B34">
        <w:rPr>
          <w:rFonts w:ascii="Times New Roman" w:hAnsi="Times New Roman" w:cs="Times New Roman"/>
          <w:sz w:val="20"/>
          <w:szCs w:val="20"/>
        </w:rPr>
        <w:tab/>
        <w:t xml:space="preserve">            14.2%***</w:t>
      </w:r>
    </w:p>
    <w:p w14:paraId="0F25F300"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Stock only</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35.6%</w:t>
      </w:r>
      <w:r w:rsidRPr="00C56B34">
        <w:rPr>
          <w:rFonts w:ascii="Times New Roman" w:hAnsi="Times New Roman" w:cs="Times New Roman"/>
          <w:sz w:val="20"/>
          <w:szCs w:val="20"/>
        </w:rPr>
        <w:tab/>
      </w:r>
      <w:r w:rsidRPr="00C56B34">
        <w:rPr>
          <w:rFonts w:ascii="Times New Roman" w:hAnsi="Times New Roman" w:cs="Times New Roman"/>
          <w:sz w:val="20"/>
          <w:szCs w:val="20"/>
        </w:rPr>
        <w:tab/>
        <w:t>46.5%</w:t>
      </w:r>
      <w:r w:rsidRPr="00C56B34">
        <w:rPr>
          <w:rFonts w:ascii="Times New Roman" w:hAnsi="Times New Roman" w:cs="Times New Roman"/>
          <w:sz w:val="20"/>
          <w:szCs w:val="20"/>
        </w:rPr>
        <w:tab/>
        <w:t xml:space="preserve">          </w:t>
      </w:r>
      <w:r w:rsidRPr="00C56B34">
        <w:rPr>
          <w:rFonts w:ascii="Times New Roman" w:hAnsi="Times New Roman" w:cs="Times New Roman"/>
          <w:sz w:val="20"/>
        </w:rPr>
        <w:t>−10.9%***</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Mixed</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17.9%</w:t>
      </w:r>
      <w:r w:rsidRPr="00C56B34">
        <w:rPr>
          <w:rFonts w:ascii="Times New Roman" w:hAnsi="Times New Roman" w:cs="Times New Roman"/>
          <w:sz w:val="20"/>
          <w:szCs w:val="20"/>
        </w:rPr>
        <w:tab/>
      </w:r>
      <w:r w:rsidRPr="00C56B34">
        <w:rPr>
          <w:rFonts w:ascii="Times New Roman" w:hAnsi="Times New Roman" w:cs="Times New Roman"/>
          <w:sz w:val="20"/>
          <w:szCs w:val="20"/>
        </w:rPr>
        <w:tab/>
        <w:t>21.3%</w:t>
      </w:r>
      <w:r w:rsidRPr="00C56B34">
        <w:rPr>
          <w:rFonts w:ascii="Times New Roman" w:hAnsi="Times New Roman" w:cs="Times New Roman"/>
          <w:sz w:val="20"/>
          <w:szCs w:val="20"/>
        </w:rPr>
        <w:tab/>
      </w:r>
      <w:r w:rsidRPr="00C56B34">
        <w:rPr>
          <w:rFonts w:ascii="Times New Roman" w:hAnsi="Times New Roman" w:cs="Times New Roman"/>
          <w:sz w:val="20"/>
          <w:szCs w:val="20"/>
        </w:rPr>
        <w:tab/>
        <w:t>3.3%</w:t>
      </w:r>
    </w:p>
    <w:p w14:paraId="3DE8009F"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Hostile</w:t>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sz w:val="20"/>
          <w:szCs w:val="20"/>
        </w:rPr>
        <w:t>Hostile bid</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21.3%</w:t>
      </w:r>
      <w:r w:rsidRPr="00C56B34">
        <w:rPr>
          <w:rFonts w:ascii="Times New Roman" w:hAnsi="Times New Roman" w:cs="Times New Roman"/>
          <w:sz w:val="20"/>
          <w:szCs w:val="20"/>
        </w:rPr>
        <w:tab/>
      </w:r>
      <w:r w:rsidRPr="00C56B34">
        <w:rPr>
          <w:rFonts w:ascii="Times New Roman" w:hAnsi="Times New Roman" w:cs="Times New Roman"/>
          <w:sz w:val="20"/>
          <w:szCs w:val="20"/>
        </w:rPr>
        <w:tab/>
        <w:t>23.1%</w:t>
      </w:r>
      <w:r w:rsidRPr="00C56B34">
        <w:rPr>
          <w:rFonts w:ascii="Times New Roman" w:hAnsi="Times New Roman" w:cs="Times New Roman"/>
          <w:sz w:val="20"/>
          <w:szCs w:val="20"/>
        </w:rPr>
        <w:tab/>
        <w:t xml:space="preserve">            </w:t>
      </w:r>
      <w:r w:rsidRPr="00C56B34">
        <w:rPr>
          <w:rFonts w:ascii="Times New Roman" w:hAnsi="Times New Roman" w:cs="Times New Roman"/>
          <w:sz w:val="20"/>
        </w:rPr>
        <w:t>−1.8%</w:t>
      </w:r>
    </w:p>
    <w:p w14:paraId="086CA164"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Industry</w:t>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sz w:val="20"/>
          <w:szCs w:val="20"/>
        </w:rPr>
        <w:t>High Technology</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19.1%</w:t>
      </w:r>
      <w:r w:rsidRPr="00C56B34">
        <w:rPr>
          <w:rFonts w:ascii="Times New Roman" w:hAnsi="Times New Roman" w:cs="Times New Roman"/>
          <w:sz w:val="20"/>
          <w:szCs w:val="20"/>
        </w:rPr>
        <w:tab/>
      </w:r>
      <w:r w:rsidRPr="00C56B34">
        <w:rPr>
          <w:rFonts w:ascii="Times New Roman" w:hAnsi="Times New Roman" w:cs="Times New Roman"/>
          <w:sz w:val="20"/>
          <w:szCs w:val="20"/>
        </w:rPr>
        <w:tab/>
        <w:t>13.6%</w:t>
      </w:r>
      <w:r w:rsidRPr="00C56B34">
        <w:rPr>
          <w:rFonts w:ascii="Times New Roman" w:hAnsi="Times New Roman" w:cs="Times New Roman"/>
          <w:sz w:val="20"/>
          <w:szCs w:val="20"/>
        </w:rPr>
        <w:tab/>
      </w:r>
      <w:r w:rsidRPr="00C56B34">
        <w:rPr>
          <w:rFonts w:ascii="Times New Roman" w:hAnsi="Times New Roman" w:cs="Times New Roman"/>
          <w:sz w:val="20"/>
          <w:szCs w:val="20"/>
        </w:rPr>
        <w:tab/>
        <w:t>5.3%**</w:t>
      </w:r>
    </w:p>
    <w:p w14:paraId="4A7833B2" w14:textId="02834FFF"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 xml:space="preserve">Materials </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17</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8.3%</w:t>
      </w:r>
      <w:r w:rsidRPr="00C56B34">
        <w:rPr>
          <w:rFonts w:ascii="Times New Roman" w:hAnsi="Times New Roman" w:cs="Times New Roman"/>
          <w:sz w:val="20"/>
          <w:szCs w:val="20"/>
        </w:rPr>
        <w:tab/>
      </w:r>
      <w:r w:rsidRPr="00C56B34">
        <w:rPr>
          <w:rFonts w:ascii="Times New Roman" w:hAnsi="Times New Roman" w:cs="Times New Roman"/>
          <w:sz w:val="20"/>
          <w:szCs w:val="20"/>
        </w:rPr>
        <w:tab/>
        <w:t>8.8%***</w:t>
      </w:r>
    </w:p>
    <w:p w14:paraId="0064209D" w14:textId="77777777"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Industrials</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15.6%</w:t>
      </w:r>
      <w:r w:rsidRPr="00C56B34">
        <w:rPr>
          <w:rFonts w:ascii="Times New Roman" w:hAnsi="Times New Roman" w:cs="Times New Roman"/>
          <w:sz w:val="20"/>
          <w:szCs w:val="20"/>
        </w:rPr>
        <w:tab/>
      </w:r>
      <w:r w:rsidRPr="00C56B34">
        <w:rPr>
          <w:rFonts w:ascii="Times New Roman" w:hAnsi="Times New Roman" w:cs="Times New Roman"/>
          <w:sz w:val="20"/>
          <w:szCs w:val="20"/>
        </w:rPr>
        <w:tab/>
        <w:t>18.8%</w:t>
      </w:r>
      <w:r w:rsidRPr="00C56B34">
        <w:rPr>
          <w:rFonts w:ascii="Times New Roman" w:hAnsi="Times New Roman" w:cs="Times New Roman"/>
          <w:sz w:val="20"/>
          <w:szCs w:val="20"/>
        </w:rPr>
        <w:tab/>
        <w:t xml:space="preserve">            </w:t>
      </w:r>
      <w:r w:rsidRPr="00C56B34">
        <w:rPr>
          <w:rFonts w:ascii="Times New Roman" w:hAnsi="Times New Roman" w:cs="Times New Roman"/>
          <w:sz w:val="20"/>
        </w:rPr>
        <w:t>−3.2%</w:t>
      </w:r>
    </w:p>
    <w:p w14:paraId="1C43DE8F" w14:textId="77777777"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Consumer Product &amp; Services</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11%</w:t>
      </w:r>
      <w:r w:rsidRPr="00C56B34">
        <w:rPr>
          <w:rFonts w:ascii="Times New Roman" w:hAnsi="Times New Roman" w:cs="Times New Roman"/>
          <w:sz w:val="20"/>
          <w:szCs w:val="20"/>
        </w:rPr>
        <w:tab/>
      </w:r>
      <w:r w:rsidRPr="00C56B34">
        <w:rPr>
          <w:rFonts w:ascii="Times New Roman" w:hAnsi="Times New Roman" w:cs="Times New Roman"/>
          <w:sz w:val="20"/>
          <w:szCs w:val="20"/>
        </w:rPr>
        <w:tab/>
        <w:t>8.7%</w:t>
      </w:r>
      <w:r w:rsidRPr="00C56B34">
        <w:rPr>
          <w:rFonts w:ascii="Times New Roman" w:hAnsi="Times New Roman" w:cs="Times New Roman"/>
          <w:sz w:val="20"/>
          <w:szCs w:val="20"/>
        </w:rPr>
        <w:tab/>
      </w:r>
      <w:r w:rsidRPr="00C56B34">
        <w:rPr>
          <w:rFonts w:ascii="Times New Roman" w:hAnsi="Times New Roman" w:cs="Times New Roman"/>
          <w:sz w:val="20"/>
          <w:szCs w:val="20"/>
        </w:rPr>
        <w:tab/>
        <w:t>2.3%</w:t>
      </w:r>
    </w:p>
    <w:p w14:paraId="72BDDE47" w14:textId="77777777"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Health Care</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8.3%</w:t>
      </w:r>
      <w:r w:rsidRPr="00C56B34">
        <w:rPr>
          <w:rFonts w:ascii="Times New Roman" w:hAnsi="Times New Roman" w:cs="Times New Roman"/>
          <w:sz w:val="20"/>
          <w:szCs w:val="20"/>
        </w:rPr>
        <w:tab/>
      </w:r>
      <w:r w:rsidRPr="00C56B34">
        <w:rPr>
          <w:rFonts w:ascii="Times New Roman" w:hAnsi="Times New Roman" w:cs="Times New Roman"/>
          <w:sz w:val="20"/>
          <w:szCs w:val="20"/>
        </w:rPr>
        <w:tab/>
        <w:t>5.4%</w:t>
      </w:r>
      <w:r w:rsidRPr="00C56B34">
        <w:rPr>
          <w:rFonts w:ascii="Times New Roman" w:hAnsi="Times New Roman" w:cs="Times New Roman"/>
          <w:sz w:val="20"/>
          <w:szCs w:val="20"/>
        </w:rPr>
        <w:tab/>
      </w:r>
      <w:r w:rsidRPr="00C56B34">
        <w:rPr>
          <w:rFonts w:ascii="Times New Roman" w:hAnsi="Times New Roman" w:cs="Times New Roman"/>
          <w:sz w:val="20"/>
          <w:szCs w:val="20"/>
        </w:rPr>
        <w:tab/>
        <w:t>2.9%*</w:t>
      </w:r>
    </w:p>
    <w:p w14:paraId="79053935" w14:textId="77777777"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Media &amp; Entertainment</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7.4%</w:t>
      </w:r>
      <w:r w:rsidRPr="00C56B34">
        <w:rPr>
          <w:rFonts w:ascii="Times New Roman" w:hAnsi="Times New Roman" w:cs="Times New Roman"/>
          <w:sz w:val="20"/>
          <w:szCs w:val="20"/>
        </w:rPr>
        <w:tab/>
      </w:r>
      <w:r w:rsidRPr="00C56B34">
        <w:rPr>
          <w:rFonts w:ascii="Times New Roman" w:hAnsi="Times New Roman" w:cs="Times New Roman"/>
          <w:sz w:val="20"/>
          <w:szCs w:val="20"/>
        </w:rPr>
        <w:tab/>
        <w:t>9.6%</w:t>
      </w:r>
      <w:r w:rsidRPr="00C56B34">
        <w:rPr>
          <w:rFonts w:ascii="Times New Roman" w:hAnsi="Times New Roman" w:cs="Times New Roman"/>
          <w:sz w:val="20"/>
          <w:szCs w:val="20"/>
        </w:rPr>
        <w:tab/>
        <w:t xml:space="preserve">            </w:t>
      </w:r>
      <w:r w:rsidRPr="00C56B34">
        <w:rPr>
          <w:rFonts w:ascii="Times New Roman" w:hAnsi="Times New Roman" w:cs="Times New Roman"/>
          <w:sz w:val="20"/>
        </w:rPr>
        <w:t>−2.3%</w:t>
      </w:r>
    </w:p>
    <w:p w14:paraId="5870AA5A" w14:textId="77777777" w:rsidR="00C46074" w:rsidRPr="00C56B34" w:rsidRDefault="00C46074" w:rsidP="00C46074">
      <w:pPr>
        <w:spacing w:after="0"/>
        <w:ind w:left="1440"/>
        <w:rPr>
          <w:rFonts w:ascii="Times New Roman" w:hAnsi="Times New Roman" w:cs="Times New Roman"/>
          <w:sz w:val="20"/>
          <w:szCs w:val="20"/>
        </w:rPr>
      </w:pPr>
      <w:r w:rsidRPr="00C56B34">
        <w:rPr>
          <w:rFonts w:ascii="Times New Roman" w:hAnsi="Times New Roman" w:cs="Times New Roman"/>
          <w:sz w:val="20"/>
          <w:szCs w:val="20"/>
        </w:rPr>
        <w:t xml:space="preserve">Consumer Staples </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7.1%</w:t>
      </w:r>
      <w:r w:rsidRPr="00C56B34">
        <w:rPr>
          <w:rFonts w:ascii="Times New Roman" w:hAnsi="Times New Roman" w:cs="Times New Roman"/>
          <w:sz w:val="20"/>
          <w:szCs w:val="20"/>
        </w:rPr>
        <w:tab/>
      </w:r>
      <w:r w:rsidRPr="00C56B34">
        <w:rPr>
          <w:rFonts w:ascii="Times New Roman" w:hAnsi="Times New Roman" w:cs="Times New Roman"/>
          <w:sz w:val="20"/>
          <w:szCs w:val="20"/>
        </w:rPr>
        <w:tab/>
        <w:t>8.7%</w:t>
      </w:r>
      <w:r w:rsidRPr="00C56B34">
        <w:rPr>
          <w:rFonts w:ascii="Times New Roman" w:hAnsi="Times New Roman" w:cs="Times New Roman"/>
          <w:sz w:val="20"/>
          <w:szCs w:val="20"/>
        </w:rPr>
        <w:tab/>
        <w:t xml:space="preserve">            </w:t>
      </w:r>
      <w:r w:rsidRPr="00C56B34">
        <w:rPr>
          <w:rFonts w:ascii="Times New Roman" w:hAnsi="Times New Roman" w:cs="Times New Roman"/>
          <w:sz w:val="20"/>
        </w:rPr>
        <w:t>−1.6%</w:t>
      </w:r>
    </w:p>
    <w:p w14:paraId="75442186" w14:textId="77777777"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Energy &amp; Power</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4.8%</w:t>
      </w:r>
      <w:r w:rsidRPr="00C56B34">
        <w:rPr>
          <w:rFonts w:ascii="Times New Roman" w:hAnsi="Times New Roman" w:cs="Times New Roman"/>
          <w:sz w:val="20"/>
          <w:szCs w:val="20"/>
        </w:rPr>
        <w:tab/>
      </w:r>
      <w:r w:rsidRPr="00C56B34">
        <w:rPr>
          <w:rFonts w:ascii="Times New Roman" w:hAnsi="Times New Roman" w:cs="Times New Roman"/>
          <w:sz w:val="20"/>
          <w:szCs w:val="20"/>
        </w:rPr>
        <w:tab/>
        <w:t>7.5%</w:t>
      </w:r>
      <w:r w:rsidRPr="00C56B34">
        <w:rPr>
          <w:rFonts w:ascii="Times New Roman" w:hAnsi="Times New Roman" w:cs="Times New Roman"/>
          <w:sz w:val="20"/>
          <w:szCs w:val="20"/>
        </w:rPr>
        <w:tab/>
        <w:t xml:space="preserve">            </w:t>
      </w:r>
      <w:r w:rsidRPr="00C56B34">
        <w:rPr>
          <w:rFonts w:ascii="Times New Roman" w:hAnsi="Times New Roman" w:cs="Times New Roman"/>
          <w:sz w:val="20"/>
        </w:rPr>
        <w:t>−2.7%</w:t>
      </w:r>
    </w:p>
    <w:p w14:paraId="51C701EC" w14:textId="77777777"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 xml:space="preserve">Telecommunication </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4.4%</w:t>
      </w:r>
      <w:r w:rsidRPr="00C56B34">
        <w:rPr>
          <w:rFonts w:ascii="Times New Roman" w:hAnsi="Times New Roman" w:cs="Times New Roman"/>
          <w:sz w:val="20"/>
          <w:szCs w:val="20"/>
        </w:rPr>
        <w:tab/>
      </w:r>
      <w:r w:rsidRPr="00C56B34">
        <w:rPr>
          <w:rFonts w:ascii="Times New Roman" w:hAnsi="Times New Roman" w:cs="Times New Roman"/>
          <w:sz w:val="20"/>
          <w:szCs w:val="20"/>
        </w:rPr>
        <w:tab/>
        <w:t>2.5%</w:t>
      </w:r>
      <w:r w:rsidRPr="00C56B34">
        <w:rPr>
          <w:rFonts w:ascii="Times New Roman" w:hAnsi="Times New Roman" w:cs="Times New Roman"/>
          <w:sz w:val="20"/>
          <w:szCs w:val="20"/>
        </w:rPr>
        <w:tab/>
        <w:t xml:space="preserve">              1.9%*</w:t>
      </w:r>
    </w:p>
    <w:p w14:paraId="5AA19878" w14:textId="2A54FAA5" w:rsidR="00C46074" w:rsidRPr="00C56B34" w:rsidRDefault="00C46074" w:rsidP="00C46074">
      <w:pPr>
        <w:spacing w:after="0"/>
        <w:ind w:left="720" w:firstLine="720"/>
        <w:rPr>
          <w:rFonts w:ascii="Times New Roman" w:hAnsi="Times New Roman" w:cs="Times New Roman"/>
          <w:sz w:val="20"/>
          <w:szCs w:val="20"/>
        </w:rPr>
      </w:pPr>
      <w:r w:rsidRPr="00C56B34">
        <w:rPr>
          <w:rFonts w:ascii="Times New Roman" w:hAnsi="Times New Roman" w:cs="Times New Roman"/>
          <w:sz w:val="20"/>
          <w:szCs w:val="20"/>
        </w:rPr>
        <w:t xml:space="preserve">Real Estate </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3</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r>
      <w:r w:rsidRPr="00C56B34">
        <w:rPr>
          <w:rFonts w:ascii="Times New Roman" w:hAnsi="Times New Roman" w:cs="Times New Roman"/>
          <w:sz w:val="20"/>
          <w:szCs w:val="20"/>
        </w:rPr>
        <w:tab/>
        <w:t>10</w:t>
      </w:r>
      <w:r w:rsidR="00611454">
        <w:rPr>
          <w:rFonts w:ascii="Times New Roman" w:hAnsi="Times New Roman" w:cs="Times New Roman"/>
          <w:sz w:val="20"/>
          <w:szCs w:val="20"/>
        </w:rPr>
        <w:t>.0</w:t>
      </w:r>
      <w:r w:rsidRPr="00C56B34">
        <w:rPr>
          <w:rFonts w:ascii="Times New Roman" w:hAnsi="Times New Roman" w:cs="Times New Roman"/>
          <w:sz w:val="20"/>
          <w:szCs w:val="20"/>
        </w:rPr>
        <w:t>%</w:t>
      </w:r>
      <w:r w:rsidRPr="00C56B34">
        <w:rPr>
          <w:rFonts w:ascii="Times New Roman" w:hAnsi="Times New Roman" w:cs="Times New Roman"/>
          <w:sz w:val="20"/>
          <w:szCs w:val="20"/>
        </w:rPr>
        <w:tab/>
        <w:t xml:space="preserve">            </w:t>
      </w:r>
      <w:r w:rsidRPr="00C56B34">
        <w:rPr>
          <w:rFonts w:ascii="Times New Roman" w:hAnsi="Times New Roman" w:cs="Times New Roman"/>
          <w:sz w:val="20"/>
        </w:rPr>
        <w:t>−7</w:t>
      </w:r>
      <w:r w:rsidR="00611454">
        <w:rPr>
          <w:rFonts w:ascii="Times New Roman" w:hAnsi="Times New Roman" w:cs="Times New Roman"/>
          <w:sz w:val="20"/>
        </w:rPr>
        <w:t>.0</w:t>
      </w:r>
      <w:r w:rsidRPr="00C56B34">
        <w:rPr>
          <w:rFonts w:ascii="Times New Roman" w:hAnsi="Times New Roman" w:cs="Times New Roman"/>
          <w:sz w:val="20"/>
        </w:rPr>
        <w:t>%***</w:t>
      </w:r>
    </w:p>
    <w:p w14:paraId="0463165A" w14:textId="77777777"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sz w:val="20"/>
          <w:szCs w:val="20"/>
        </w:rPr>
        <w:tab/>
      </w:r>
      <w:r w:rsidRPr="00C56B34">
        <w:rPr>
          <w:rFonts w:ascii="Times New Roman" w:hAnsi="Times New Roman" w:cs="Times New Roman"/>
          <w:sz w:val="20"/>
          <w:szCs w:val="20"/>
        </w:rPr>
        <w:tab/>
        <w:t>Retail</w:t>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sz w:val="20"/>
          <w:szCs w:val="20"/>
        </w:rPr>
        <w:tab/>
        <w:t>2.3%</w:t>
      </w:r>
      <w:r w:rsidRPr="00C56B34">
        <w:rPr>
          <w:rFonts w:ascii="Times New Roman" w:hAnsi="Times New Roman" w:cs="Times New Roman"/>
          <w:sz w:val="20"/>
          <w:szCs w:val="20"/>
        </w:rPr>
        <w:tab/>
      </w:r>
      <w:r w:rsidRPr="00C56B34">
        <w:rPr>
          <w:rFonts w:ascii="Times New Roman" w:hAnsi="Times New Roman" w:cs="Times New Roman"/>
          <w:sz w:val="20"/>
          <w:szCs w:val="20"/>
        </w:rPr>
        <w:tab/>
        <w:t>6.9%</w:t>
      </w:r>
      <w:r w:rsidRPr="00C56B34">
        <w:rPr>
          <w:rFonts w:ascii="Times New Roman" w:hAnsi="Times New Roman" w:cs="Times New Roman"/>
          <w:sz w:val="20"/>
          <w:szCs w:val="20"/>
        </w:rPr>
        <w:tab/>
        <w:t xml:space="preserve">            </w:t>
      </w:r>
      <w:r w:rsidRPr="00C56B34">
        <w:rPr>
          <w:rFonts w:ascii="Times New Roman" w:hAnsi="Times New Roman" w:cs="Times New Roman"/>
          <w:sz w:val="20"/>
        </w:rPr>
        <w:t>−</w:t>
      </w:r>
      <w:r w:rsidRPr="00C56B34">
        <w:rPr>
          <w:rFonts w:ascii="Times New Roman" w:hAnsi="Times New Roman" w:cs="Times New Roman"/>
          <w:sz w:val="20"/>
          <w:szCs w:val="20"/>
        </w:rPr>
        <w:t>4.6%***</w:t>
      </w:r>
    </w:p>
    <w:p w14:paraId="685D3D9B" w14:textId="69085891" w:rsidR="00C46074" w:rsidRPr="00C56B34" w:rsidRDefault="00C46074" w:rsidP="00C46074">
      <w:pPr>
        <w:spacing w:after="0"/>
        <w:rPr>
          <w:rFonts w:ascii="Times New Roman" w:hAnsi="Times New Roman" w:cs="Times New Roman"/>
          <w:sz w:val="20"/>
          <w:szCs w:val="20"/>
        </w:rPr>
      </w:pPr>
      <w:r w:rsidRPr="00C56B34">
        <w:rPr>
          <w:rFonts w:ascii="Times New Roman" w:hAnsi="Times New Roman" w:cs="Times New Roman"/>
          <w:i/>
          <w:sz w:val="20"/>
          <w:szCs w:val="20"/>
        </w:rPr>
        <w:t>Related</w:t>
      </w:r>
      <w:r w:rsidRPr="00C56B34">
        <w:rPr>
          <w:rFonts w:ascii="Times New Roman" w:hAnsi="Times New Roman" w:cs="Times New Roman"/>
          <w:i/>
          <w:sz w:val="20"/>
          <w:szCs w:val="20"/>
        </w:rPr>
        <w:tab/>
      </w:r>
      <w:r w:rsidRPr="00C56B34">
        <w:rPr>
          <w:rFonts w:ascii="Times New Roman" w:hAnsi="Times New Roman" w:cs="Times New Roman"/>
          <w:i/>
          <w:sz w:val="20"/>
          <w:szCs w:val="20"/>
        </w:rPr>
        <w:tab/>
      </w:r>
      <w:r w:rsidRPr="00C56B34">
        <w:rPr>
          <w:rFonts w:ascii="Times New Roman" w:hAnsi="Times New Roman" w:cs="Times New Roman"/>
          <w:sz w:val="20"/>
          <w:szCs w:val="20"/>
        </w:rPr>
        <w:t>Same Industry</w:t>
      </w:r>
      <w:r w:rsidR="00EE3DE0" w:rsidRPr="00C56B34">
        <w:rPr>
          <w:rFonts w:ascii="Times New Roman" w:hAnsi="Times New Roman" w:cs="Times New Roman"/>
          <w:sz w:val="20"/>
          <w:szCs w:val="20"/>
        </w:rPr>
        <w:tab/>
      </w:r>
      <w:r w:rsidR="00EE3DE0" w:rsidRPr="00C56B34">
        <w:rPr>
          <w:rFonts w:ascii="Times New Roman" w:hAnsi="Times New Roman" w:cs="Times New Roman"/>
          <w:sz w:val="20"/>
          <w:szCs w:val="20"/>
        </w:rPr>
        <w:tab/>
      </w:r>
      <w:r w:rsidR="00EE3DE0" w:rsidRPr="00C56B34">
        <w:rPr>
          <w:rFonts w:ascii="Times New Roman" w:hAnsi="Times New Roman" w:cs="Times New Roman"/>
          <w:sz w:val="20"/>
          <w:szCs w:val="20"/>
        </w:rPr>
        <w:tab/>
      </w:r>
      <w:r w:rsidR="00EE3DE0" w:rsidRPr="00C56B34">
        <w:rPr>
          <w:rFonts w:ascii="Times New Roman" w:hAnsi="Times New Roman" w:cs="Times New Roman"/>
          <w:sz w:val="20"/>
          <w:szCs w:val="20"/>
        </w:rPr>
        <w:tab/>
      </w:r>
      <w:r w:rsidR="00EE3DE0" w:rsidRPr="00C56B34">
        <w:rPr>
          <w:rFonts w:ascii="Times New Roman" w:hAnsi="Times New Roman" w:cs="Times New Roman"/>
          <w:sz w:val="20"/>
          <w:szCs w:val="20"/>
        </w:rPr>
        <w:tab/>
        <w:t>69</w:t>
      </w:r>
      <w:r w:rsidR="00611454">
        <w:rPr>
          <w:rFonts w:ascii="Times New Roman" w:hAnsi="Times New Roman" w:cs="Times New Roman"/>
          <w:sz w:val="20"/>
          <w:szCs w:val="20"/>
        </w:rPr>
        <w:t>.0</w:t>
      </w:r>
      <w:r w:rsidR="00EE3DE0" w:rsidRPr="00C56B34">
        <w:rPr>
          <w:rFonts w:ascii="Times New Roman" w:hAnsi="Times New Roman" w:cs="Times New Roman"/>
          <w:sz w:val="20"/>
          <w:szCs w:val="20"/>
        </w:rPr>
        <w:t>%</w:t>
      </w:r>
      <w:r w:rsidR="00EE3DE0" w:rsidRPr="00C56B34">
        <w:rPr>
          <w:rFonts w:ascii="Times New Roman" w:hAnsi="Times New Roman" w:cs="Times New Roman"/>
          <w:sz w:val="20"/>
          <w:szCs w:val="20"/>
        </w:rPr>
        <w:tab/>
      </w:r>
      <w:r w:rsidR="00EE3DE0" w:rsidRPr="00C56B34">
        <w:rPr>
          <w:rFonts w:ascii="Times New Roman" w:hAnsi="Times New Roman" w:cs="Times New Roman"/>
          <w:sz w:val="20"/>
          <w:szCs w:val="20"/>
        </w:rPr>
        <w:tab/>
        <w:t>67.4%</w:t>
      </w:r>
      <w:r w:rsidR="00EE3DE0" w:rsidRPr="00C56B34">
        <w:rPr>
          <w:rFonts w:ascii="Times New Roman" w:hAnsi="Times New Roman" w:cs="Times New Roman"/>
          <w:sz w:val="20"/>
          <w:szCs w:val="20"/>
        </w:rPr>
        <w:tab/>
        <w:t xml:space="preserve">               1.5</w:t>
      </w:r>
      <w:r w:rsidRPr="00C56B34">
        <w:rPr>
          <w:rFonts w:ascii="Times New Roman" w:hAnsi="Times New Roman" w:cs="Times New Roman"/>
          <w:sz w:val="20"/>
          <w:szCs w:val="20"/>
        </w:rPr>
        <w:t>%</w:t>
      </w:r>
      <w:r w:rsidRPr="00C56B34">
        <w:rPr>
          <w:rFonts w:ascii="Times New Roman" w:hAnsi="Times New Roman" w:cs="Times New Roman"/>
          <w:sz w:val="20"/>
          <w:szCs w:val="20"/>
        </w:rPr>
        <w:tab/>
      </w:r>
    </w:p>
    <w:p w14:paraId="5C114504" w14:textId="77777777" w:rsidR="00C46074" w:rsidRPr="00C56B34" w:rsidRDefault="00C46074" w:rsidP="00C46074">
      <w:pPr>
        <w:tabs>
          <w:tab w:val="left" w:pos="720"/>
          <w:tab w:val="left" w:pos="1440"/>
          <w:tab w:val="left" w:pos="8340"/>
        </w:tabs>
        <w:spacing w:after="0"/>
        <w:rPr>
          <w:rFonts w:ascii="Times New Roman" w:hAnsi="Times New Roman" w:cs="Times New Roman"/>
        </w:rPr>
      </w:pPr>
      <w:r w:rsidRPr="00C56B34">
        <w:rPr>
          <w:rFonts w:ascii="Times New Roman" w:hAnsi="Times New Roman" w:cs="Times New Roman"/>
          <w:sz w:val="20"/>
          <w:szCs w:val="20"/>
        </w:rPr>
        <w:tab/>
      </w:r>
      <w:r w:rsidRPr="00C56B34">
        <w:rPr>
          <w:rFonts w:ascii="Times New Roman" w:hAnsi="Times New Roman" w:cs="Times New Roman"/>
          <w:sz w:val="20"/>
          <w:szCs w:val="20"/>
        </w:rPr>
        <w:tab/>
      </w:r>
      <w:r w:rsidRPr="00C56B3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1B81B11" wp14:editId="2EF328A7">
                <wp:simplePos x="0" y="0"/>
                <wp:positionH relativeFrom="margin">
                  <wp:align>left</wp:align>
                </wp:positionH>
                <wp:positionV relativeFrom="paragraph">
                  <wp:posOffset>80010</wp:posOffset>
                </wp:positionV>
                <wp:extent cx="59721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59721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408D69" id="Straight Connector 36"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6.3pt" to="47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yywvgEAAMADAAAOAAAAZHJzL2Uyb0RvYy54bWysU01v2zAMvQ/ofxB0X+ykaLsZcXpIsV2G&#10;Lli3H6DKUixUEgVKi51/X0pO3KEbehh6kcWP98hH0evb0Vl2UBgN+JYvFzVnykvojN+3/NfPLx8/&#10;cRaT8J2w4FXLjyry283Fh/UQGrWCHmynkBGJj80QWt6nFJqqirJXTsQFBOUpqAGdSGTivupQDMTu&#10;bLWq6+tqAOwCglQxkvduCvJN4ddayfRd66gSsy2n3lI5sZyP+aw2a9HsUYTeyFMb4j+6cMJ4KjpT&#10;3Ykk2G80f1E5IxEi6LSQ4CrQ2khVNJCaZf1KzUMvgipaaDgxzGOK70cr7w87ZKZr+eU1Z144eqOH&#10;hMLs+8S24D1NEJBRkCY1hNgQYOt3eLJi2GGWPWp0+UuC2Fime5ynq8bEJDmvPt+sljdXnMlzrHoB&#10;BozpqwLH8qXl1vgsXDTi8C0mKkap55Tstj77cj9TB+WWjlZNwR9KkyaqeVlIyjaprUV2ELQH3dMy&#10;qyFK6ykzQ7SxdgbVb4NOuRmmyobNwNXbwDm7VASfZqAzHvBf4DSeW9VT/ln1pDXLfoTuWN6jjIPW&#10;pCg7rXTewz/tAn/58TbPAAAA//8DAFBLAwQUAAYACAAAACEAa42MMNwAAAAGAQAADwAAAGRycy9k&#10;b3ducmV2LnhtbEyPQUvDQBCF74L/YRnBi9iNpak1ZlNE8BBBwVZ6nmanSTQ7G7LbNP57Rzzo8b03&#10;vPdNvp5cp0YaQuvZwM0sAUVcedtybeB9+3S9AhUissXOMxn4ogDr4vwsx8z6E7/RuIm1khIOGRpo&#10;YuwzrUPVkMMw8z2xZAc/OIwih1rbAU9S7jo9T5KldtiyLDTY02ND1efm6Ax8lLuyTq9u28PrIn3G&#10;7Zi+8Fgac3kxPdyDijTFv2P4wRd0KIRp749sg+oMyCNR3PkSlKR3iyQFtf81dJHr//jFNwAAAP//&#10;AwBQSwECLQAUAAYACAAAACEAtoM4kv4AAADhAQAAEwAAAAAAAAAAAAAAAAAAAAAAW0NvbnRlbnRf&#10;VHlwZXNdLnhtbFBLAQItABQABgAIAAAAIQA4/SH/1gAAAJQBAAALAAAAAAAAAAAAAAAAAC8BAABf&#10;cmVscy8ucmVsc1BLAQItABQABgAIAAAAIQDs7yywvgEAAMADAAAOAAAAAAAAAAAAAAAAAC4CAABk&#10;cnMvZTJvRG9jLnhtbFBLAQItABQABgAIAAAAIQBrjYww3AAAAAYBAAAPAAAAAAAAAAAAAAAAABgE&#10;AABkcnMvZG93bnJldi54bWxQSwUGAAAAAAQABADzAAAAIQUAAAAA&#10;" strokecolor="black [3200]" strokeweight="1.5pt">
                <v:stroke joinstyle="miter"/>
                <w10:wrap anchorx="margin"/>
              </v:line>
            </w:pict>
          </mc:Fallback>
        </mc:AlternateContent>
      </w:r>
      <w:r w:rsidRPr="00C56B34">
        <w:rPr>
          <w:rFonts w:ascii="Times New Roman" w:hAnsi="Times New Roman" w:cs="Times New Roman"/>
          <w:sz w:val="20"/>
          <w:szCs w:val="20"/>
        </w:rPr>
        <w:tab/>
      </w:r>
    </w:p>
    <w:p w14:paraId="584FD1E6" w14:textId="121CBF87" w:rsidR="00AA7B5A" w:rsidRPr="00611454" w:rsidRDefault="00C46074" w:rsidP="008464C9">
      <w:pPr>
        <w:rPr>
          <w:rFonts w:ascii="Times New Roman" w:hAnsi="Times New Roman" w:cs="Times New Roman"/>
        </w:rPr>
      </w:pPr>
      <w:r w:rsidRPr="00611454">
        <w:rPr>
          <w:rFonts w:ascii="Times New Roman" w:hAnsi="Times New Roman" w:cs="Times New Roman"/>
        </w:rPr>
        <w:t>*, **, and *** indicate a statistical significance level of 10%, 5%, and 1% (using two-tailed tests), respectively.</w:t>
      </w:r>
    </w:p>
    <w:p w14:paraId="0C27BBAD" w14:textId="77777777" w:rsidR="009D1534" w:rsidRDefault="009D1534" w:rsidP="00493F1A">
      <w:pPr>
        <w:spacing w:after="0" w:line="360" w:lineRule="auto"/>
        <w:jc w:val="both"/>
        <w:rPr>
          <w:rFonts w:ascii="Times New Roman" w:hAnsi="Times New Roman" w:cs="Times New Roman"/>
          <w:sz w:val="24"/>
        </w:rPr>
      </w:pPr>
    </w:p>
    <w:p w14:paraId="140B57E6" w14:textId="7D166A4C" w:rsidR="00CC6B17" w:rsidRDefault="00DF6DB2" w:rsidP="00493F1A">
      <w:pPr>
        <w:spacing w:after="0" w:line="360" w:lineRule="auto"/>
        <w:jc w:val="both"/>
        <w:rPr>
          <w:rFonts w:ascii="Times New Roman" w:hAnsi="Times New Roman" w:cs="Times New Roman"/>
          <w:sz w:val="24"/>
        </w:rPr>
      </w:pPr>
      <w:r w:rsidRPr="00C56B34">
        <w:rPr>
          <w:rFonts w:ascii="Times New Roman" w:hAnsi="Times New Roman" w:cs="Times New Roman"/>
          <w:sz w:val="24"/>
        </w:rPr>
        <w:t>total target firms in domestic deals; while, targets in the telecommunication industry account for only 2.5% of the total target firms in domestic deals. In 69% of the cross-border deals and 67.4% of domestic deals, the target and acquir</w:t>
      </w:r>
      <w:r>
        <w:rPr>
          <w:rFonts w:ascii="Times New Roman" w:hAnsi="Times New Roman" w:cs="Times New Roman"/>
          <w:sz w:val="24"/>
        </w:rPr>
        <w:t>er are from the same industry.</w:t>
      </w:r>
    </w:p>
    <w:p w14:paraId="6B5790D2" w14:textId="77777777" w:rsidR="009D1534" w:rsidRDefault="009D1534" w:rsidP="00493F1A">
      <w:pPr>
        <w:spacing w:after="0" w:line="360" w:lineRule="auto"/>
        <w:jc w:val="both"/>
        <w:rPr>
          <w:rFonts w:ascii="Times New Roman" w:hAnsi="Times New Roman" w:cs="Times New Roman"/>
          <w:sz w:val="24"/>
        </w:rPr>
      </w:pPr>
    </w:p>
    <w:p w14:paraId="195BB23E" w14:textId="77777777" w:rsidR="009D1534" w:rsidRDefault="009D1534" w:rsidP="00493F1A">
      <w:pPr>
        <w:spacing w:after="0" w:line="360" w:lineRule="auto"/>
        <w:jc w:val="both"/>
        <w:rPr>
          <w:rFonts w:ascii="Times New Roman" w:hAnsi="Times New Roman" w:cs="Times New Roman"/>
          <w:sz w:val="24"/>
        </w:rPr>
      </w:pPr>
    </w:p>
    <w:p w14:paraId="6DD1A201" w14:textId="77777777" w:rsidR="009D1534" w:rsidRPr="00D05907" w:rsidRDefault="009D1534" w:rsidP="00493F1A">
      <w:pPr>
        <w:spacing w:after="0" w:line="360" w:lineRule="auto"/>
        <w:jc w:val="both"/>
        <w:rPr>
          <w:rFonts w:ascii="Times New Roman" w:hAnsi="Times New Roman" w:cs="Times New Roman"/>
          <w:sz w:val="24"/>
        </w:rPr>
      </w:pPr>
    </w:p>
    <w:p w14:paraId="748EAAC6" w14:textId="77777777" w:rsidR="004065CA" w:rsidRPr="00C119BE" w:rsidRDefault="004065CA" w:rsidP="004065CA">
      <w:pPr>
        <w:spacing w:after="120" w:line="360" w:lineRule="auto"/>
        <w:rPr>
          <w:rFonts w:ascii="Times New Roman" w:hAnsi="Times New Roman" w:cs="Times New Roman"/>
          <w:b/>
          <w:sz w:val="24"/>
        </w:rPr>
      </w:pPr>
      <w:r w:rsidRPr="007C79C0">
        <w:rPr>
          <w:rFonts w:ascii="Times New Roman" w:hAnsi="Times New Roman" w:cs="Times New Roman"/>
          <w:b/>
          <w:sz w:val="24"/>
        </w:rPr>
        <w:lastRenderedPageBreak/>
        <w:t>4. Methodology</w:t>
      </w:r>
    </w:p>
    <w:p w14:paraId="7FC413B4" w14:textId="17FFF7CF" w:rsidR="00173DBA" w:rsidRDefault="004065CA" w:rsidP="00B85E24">
      <w:pPr>
        <w:spacing w:after="0" w:line="360" w:lineRule="auto"/>
        <w:jc w:val="both"/>
        <w:rPr>
          <w:rFonts w:ascii="Times New Roman" w:hAnsi="Times New Roman" w:cs="Times New Roman"/>
          <w:sz w:val="24"/>
        </w:rPr>
      </w:pPr>
      <w:r w:rsidRPr="003C60FD">
        <w:rPr>
          <w:rFonts w:ascii="Times New Roman" w:hAnsi="Times New Roman" w:cs="Times New Roman"/>
          <w:sz w:val="24"/>
        </w:rPr>
        <w:t>An event study will be performed to examine the difference in effect between domestic and cross-border acquisitions on the wealth</w:t>
      </w:r>
      <w:r>
        <w:rPr>
          <w:rFonts w:ascii="Times New Roman" w:hAnsi="Times New Roman" w:cs="Times New Roman"/>
          <w:sz w:val="24"/>
        </w:rPr>
        <w:t xml:space="preserve"> of target firms ' shareholders</w:t>
      </w:r>
      <w:r w:rsidRPr="00173DBA">
        <w:rPr>
          <w:rFonts w:ascii="Times New Roman" w:hAnsi="Times New Roman" w:cs="Times New Roman"/>
          <w:sz w:val="24"/>
        </w:rPr>
        <w:t xml:space="preserve">. </w:t>
      </w:r>
      <w:r>
        <w:rPr>
          <w:rFonts w:ascii="Times New Roman" w:hAnsi="Times New Roman" w:cs="Times New Roman"/>
          <w:sz w:val="24"/>
        </w:rPr>
        <w:t xml:space="preserve">The standard event study </w:t>
      </w:r>
      <w:r w:rsidR="00B85E24">
        <w:rPr>
          <w:rFonts w:ascii="Times New Roman" w:hAnsi="Times New Roman" w:cs="Times New Roman"/>
          <w:sz w:val="24"/>
        </w:rPr>
        <w:t>methodology of Brown and Warner</w:t>
      </w:r>
      <w:r w:rsidR="00B85E24" w:rsidRPr="00173DBA">
        <w:rPr>
          <w:rFonts w:ascii="Times New Roman" w:hAnsi="Times New Roman" w:cs="Times New Roman"/>
          <w:sz w:val="24"/>
        </w:rPr>
        <w:t xml:space="preserve"> (1985) will be followed to first calculate the cumulative abnormal returns (CAR) for target companies for various time periods.</w:t>
      </w:r>
      <w:r w:rsidR="00B85E24">
        <w:rPr>
          <w:rFonts w:ascii="Times New Roman" w:hAnsi="Times New Roman" w:cs="Times New Roman"/>
          <w:sz w:val="24"/>
        </w:rPr>
        <w:t xml:space="preserve"> </w:t>
      </w:r>
      <w:r w:rsidR="00173DBA" w:rsidRPr="00173DBA">
        <w:rPr>
          <w:rFonts w:ascii="Times New Roman" w:hAnsi="Times New Roman" w:cs="Times New Roman"/>
          <w:sz w:val="24"/>
        </w:rPr>
        <w:t xml:space="preserve">The analysis will, also, focus on longer time periods, from month t-5 to t+4, where announcement month is t0, because previous research has shown that target </w:t>
      </w:r>
      <w:r w:rsidR="00173DBA">
        <w:rPr>
          <w:rFonts w:ascii="Times New Roman" w:hAnsi="Times New Roman" w:cs="Times New Roman"/>
          <w:sz w:val="24"/>
        </w:rPr>
        <w:t>firms</w:t>
      </w:r>
      <w:r w:rsidR="00173DBA" w:rsidRPr="00173DBA">
        <w:rPr>
          <w:rFonts w:ascii="Times New Roman" w:hAnsi="Times New Roman" w:cs="Times New Roman"/>
          <w:sz w:val="24"/>
        </w:rPr>
        <w:t xml:space="preserve"> stock</w:t>
      </w:r>
      <w:r w:rsidR="00173DBA">
        <w:rPr>
          <w:rFonts w:ascii="Times New Roman" w:hAnsi="Times New Roman" w:cs="Times New Roman"/>
          <w:sz w:val="24"/>
        </w:rPr>
        <w:t>s</w:t>
      </w:r>
      <w:r w:rsidR="00173DBA" w:rsidRPr="00173DBA">
        <w:rPr>
          <w:rFonts w:ascii="Times New Roman" w:hAnsi="Times New Roman" w:cs="Times New Roman"/>
          <w:sz w:val="24"/>
        </w:rPr>
        <w:t xml:space="preserve"> prices tend to increase several months before the deal announcement day (Frank et al., 1977; Limmack, 1991). The long analysis period will also allow testing whether stock price fluctuations before the deal differ if the target </w:t>
      </w:r>
      <w:r w:rsidR="003C60FD">
        <w:rPr>
          <w:rFonts w:ascii="Times New Roman" w:hAnsi="Times New Roman" w:cs="Times New Roman"/>
          <w:sz w:val="24"/>
        </w:rPr>
        <w:t>firm</w:t>
      </w:r>
      <w:r w:rsidR="00173DBA" w:rsidRPr="00173DBA">
        <w:rPr>
          <w:rFonts w:ascii="Times New Roman" w:hAnsi="Times New Roman" w:cs="Times New Roman"/>
          <w:sz w:val="24"/>
        </w:rPr>
        <w:t xml:space="preserve"> is in the domestic or </w:t>
      </w:r>
      <w:r w:rsidR="003C60FD">
        <w:rPr>
          <w:rFonts w:ascii="Times New Roman" w:hAnsi="Times New Roman" w:cs="Times New Roman"/>
          <w:sz w:val="24"/>
        </w:rPr>
        <w:t>overseas bids</w:t>
      </w:r>
      <w:r w:rsidR="00173DBA" w:rsidRPr="00173DBA">
        <w:rPr>
          <w:rFonts w:ascii="Times New Roman" w:hAnsi="Times New Roman" w:cs="Times New Roman"/>
          <w:sz w:val="24"/>
        </w:rPr>
        <w:t>.</w:t>
      </w:r>
    </w:p>
    <w:p w14:paraId="447657EB" w14:textId="4722B89F" w:rsidR="007F4837" w:rsidRPr="00C56B34" w:rsidRDefault="003C60FD" w:rsidP="00173DBA">
      <w:pPr>
        <w:spacing w:after="0" w:line="360" w:lineRule="auto"/>
        <w:ind w:firstLine="284"/>
        <w:jc w:val="both"/>
        <w:rPr>
          <w:rFonts w:ascii="Times New Roman" w:hAnsi="Times New Roman" w:cs="Times New Roman"/>
          <w:sz w:val="24"/>
        </w:rPr>
      </w:pPr>
      <w:r w:rsidRPr="003C60FD">
        <w:rPr>
          <w:rFonts w:ascii="Times New Roman" w:hAnsi="Times New Roman" w:cs="Times New Roman"/>
          <w:sz w:val="24"/>
        </w:rPr>
        <w:t>Two-tailed tests will be implemented to evaluate the statistical significance of the cross-border effect and the generated abnormal returns.</w:t>
      </w:r>
      <w:r>
        <w:rPr>
          <w:rFonts w:ascii="Times New Roman" w:hAnsi="Times New Roman" w:cs="Times New Roman"/>
          <w:sz w:val="24"/>
        </w:rPr>
        <w:t xml:space="preserve"> </w:t>
      </w:r>
      <w:r w:rsidR="007F4837" w:rsidRPr="00C56B34">
        <w:rPr>
          <w:rFonts w:ascii="Times New Roman" w:hAnsi="Times New Roman" w:cs="Times New Roman"/>
          <w:sz w:val="24"/>
        </w:rPr>
        <w:t xml:space="preserve">Following, the cross-sectional analysis will </w:t>
      </w:r>
      <w:r w:rsidR="00173DBA">
        <w:rPr>
          <w:rFonts w:ascii="Times New Roman" w:hAnsi="Times New Roman" w:cs="Times New Roman"/>
          <w:sz w:val="24"/>
        </w:rPr>
        <w:t>be conducted to test the theory-</w:t>
      </w:r>
      <w:r w:rsidR="007F4837" w:rsidRPr="00C56B34">
        <w:rPr>
          <w:rFonts w:ascii="Times New Roman" w:hAnsi="Times New Roman" w:cs="Times New Roman"/>
          <w:sz w:val="24"/>
        </w:rPr>
        <w:t>driven hypotheses, mentioned in section 2.2. Finally,</w:t>
      </w:r>
      <w:r w:rsidR="00EF4C31" w:rsidRPr="00EF4C31">
        <w:rPr>
          <w:rFonts w:ascii="Times New Roman" w:hAnsi="Times New Roman" w:cs="Times New Roman"/>
          <w:sz w:val="24"/>
        </w:rPr>
        <w:t xml:space="preserve"> </w:t>
      </w:r>
      <w:r w:rsidR="00EF4C31" w:rsidRPr="00C56B34">
        <w:rPr>
          <w:rFonts w:ascii="Times New Roman" w:hAnsi="Times New Roman" w:cs="Times New Roman"/>
          <w:sz w:val="24"/>
        </w:rPr>
        <w:t>a couple of robustness checks will be used to ensure the results are robust</w:t>
      </w:r>
      <w:r w:rsidR="00EF4C31">
        <w:rPr>
          <w:rFonts w:ascii="Times New Roman" w:hAnsi="Times New Roman" w:cs="Times New Roman"/>
          <w:sz w:val="24"/>
        </w:rPr>
        <w:t>. I</w:t>
      </w:r>
      <w:r w:rsidR="007F4837" w:rsidRPr="00C56B34">
        <w:rPr>
          <w:rFonts w:ascii="Times New Roman" w:hAnsi="Times New Roman" w:cs="Times New Roman"/>
          <w:sz w:val="24"/>
        </w:rPr>
        <w:t>n addition to controlling for industry, target country and acquirer region effect</w:t>
      </w:r>
      <w:r w:rsidR="00173DBA">
        <w:rPr>
          <w:rFonts w:ascii="Times New Roman" w:hAnsi="Times New Roman" w:cs="Times New Roman"/>
          <w:sz w:val="24"/>
        </w:rPr>
        <w:t>s</w:t>
      </w:r>
      <w:r w:rsidR="00EF4C31">
        <w:rPr>
          <w:rFonts w:ascii="Times New Roman" w:hAnsi="Times New Roman" w:cs="Times New Roman"/>
          <w:sz w:val="24"/>
        </w:rPr>
        <w:t xml:space="preserve">, UK target firms will be removed from the sample to ensure that the sample majority is not driving the results. The abnormal returns will be calculated with the market model and capital asset pricing model to ensure the results are robust. </w:t>
      </w:r>
    </w:p>
    <w:p w14:paraId="0B17BC9F" w14:textId="51EC8CC9" w:rsidR="007F4837" w:rsidRPr="00C56B34" w:rsidRDefault="007C79C0" w:rsidP="00173DBA">
      <w:pPr>
        <w:spacing w:before="160" w:after="120" w:line="360" w:lineRule="auto"/>
        <w:jc w:val="both"/>
        <w:rPr>
          <w:rFonts w:ascii="Times New Roman" w:hAnsi="Times New Roman" w:cs="Times New Roman"/>
          <w:i/>
          <w:sz w:val="24"/>
        </w:rPr>
      </w:pPr>
      <w:r>
        <w:rPr>
          <w:rFonts w:ascii="Times New Roman" w:hAnsi="Times New Roman" w:cs="Times New Roman"/>
          <w:i/>
          <w:sz w:val="24"/>
        </w:rPr>
        <w:t>4.1 Event s</w:t>
      </w:r>
      <w:r w:rsidR="007F4837" w:rsidRPr="00C56B34">
        <w:rPr>
          <w:rFonts w:ascii="Times New Roman" w:hAnsi="Times New Roman" w:cs="Times New Roman"/>
          <w:i/>
          <w:sz w:val="24"/>
        </w:rPr>
        <w:t xml:space="preserve">tudy </w:t>
      </w:r>
    </w:p>
    <w:p w14:paraId="28ABE8F8" w14:textId="0C9693A5" w:rsidR="007F4837" w:rsidRPr="00C56B34" w:rsidRDefault="007F4837" w:rsidP="007F4837">
      <w:pPr>
        <w:spacing w:after="0" w:line="360" w:lineRule="auto"/>
        <w:jc w:val="both"/>
        <w:rPr>
          <w:rFonts w:ascii="Times New Roman" w:hAnsi="Times New Roman" w:cs="Times New Roman"/>
          <w:sz w:val="24"/>
        </w:rPr>
      </w:pPr>
      <w:r w:rsidRPr="00C56B34">
        <w:rPr>
          <w:rFonts w:ascii="Times New Roman" w:hAnsi="Times New Roman" w:cs="Times New Roman"/>
          <w:sz w:val="24"/>
        </w:rPr>
        <w:t>The event study</w:t>
      </w:r>
      <w:r w:rsidR="00493F1A">
        <w:rPr>
          <w:rFonts w:ascii="Times New Roman" w:hAnsi="Times New Roman" w:cs="Times New Roman"/>
          <w:sz w:val="24"/>
        </w:rPr>
        <w:t>, displayed in figure 1 below,</w:t>
      </w:r>
      <w:r w:rsidRPr="00C56B34">
        <w:rPr>
          <w:rFonts w:ascii="Times New Roman" w:hAnsi="Times New Roman" w:cs="Times New Roman"/>
          <w:sz w:val="24"/>
        </w:rPr>
        <w:t xml:space="preserve"> is used to calculate the abnormal returns for each target firm in the sample studied.  Abnormal returns are</w:t>
      </w:r>
      <w:r w:rsidR="00112F86">
        <w:rPr>
          <w:rFonts w:ascii="Times New Roman" w:hAnsi="Times New Roman" w:cs="Times New Roman"/>
          <w:sz w:val="24"/>
        </w:rPr>
        <w:t xml:space="preserve"> defined as</w:t>
      </w:r>
      <w:r w:rsidRPr="00C56B34">
        <w:rPr>
          <w:rFonts w:ascii="Times New Roman" w:hAnsi="Times New Roman" w:cs="Times New Roman"/>
          <w:sz w:val="24"/>
        </w:rPr>
        <w:t xml:space="preserve"> the difference between realized returns and ‘normal’ returns, which is estimated using a benchmark. The following points are estimated to calculate the abnormal returns: </w:t>
      </w:r>
    </w:p>
    <w:p w14:paraId="66153753" w14:textId="77777777" w:rsidR="007F4837" w:rsidRPr="00C56B34" w:rsidRDefault="007F4837" w:rsidP="007F4837">
      <w:pPr>
        <w:spacing w:after="0" w:line="360" w:lineRule="auto"/>
        <w:ind w:left="720" w:firstLine="720"/>
        <w:jc w:val="both"/>
        <w:rPr>
          <w:rFonts w:ascii="Times New Roman" w:hAnsi="Times New Roman" w:cs="Times New Roman"/>
          <w:i/>
          <w:sz w:val="24"/>
        </w:rPr>
      </w:pPr>
    </w:p>
    <w:p w14:paraId="56F8650F" w14:textId="77777777" w:rsidR="007F4837" w:rsidRPr="00C56B34" w:rsidRDefault="007F4837" w:rsidP="007F4837">
      <w:pPr>
        <w:spacing w:after="0" w:line="360" w:lineRule="auto"/>
        <w:ind w:left="720" w:firstLine="720"/>
        <w:jc w:val="both"/>
        <w:rPr>
          <w:rFonts w:ascii="Times New Roman" w:hAnsi="Times New Roman" w:cs="Times New Roman"/>
          <w:i/>
          <w:sz w:val="24"/>
        </w:rPr>
      </w:pPr>
      <w:r w:rsidRPr="00C56B34">
        <w:rPr>
          <w:rFonts w:ascii="Times New Roman" w:hAnsi="Times New Roman" w:cs="Times New Roman"/>
          <w:i/>
          <w:sz w:val="24"/>
        </w:rPr>
        <w:t>Event date</w:t>
      </w:r>
    </w:p>
    <w:p w14:paraId="1249DE99" w14:textId="77777777" w:rsidR="007F4837" w:rsidRPr="00C56B34" w:rsidRDefault="007F4837" w:rsidP="007F4837">
      <w:pPr>
        <w:spacing w:after="0" w:line="360" w:lineRule="auto"/>
        <w:ind w:left="720" w:firstLine="720"/>
        <w:jc w:val="both"/>
        <w:rPr>
          <w:rFonts w:ascii="Times New Roman" w:hAnsi="Times New Roman" w:cs="Times New Roman"/>
          <w:i/>
          <w:sz w:val="24"/>
        </w:rPr>
      </w:pPr>
      <w:r w:rsidRPr="00C56B34">
        <w:rPr>
          <w:rFonts w:ascii="Times New Roman" w:hAnsi="Times New Roman" w:cs="Times New Roman"/>
          <w:i/>
          <w:sz w:val="24"/>
        </w:rPr>
        <w:t>Event Window (time frame)</w:t>
      </w:r>
    </w:p>
    <w:p w14:paraId="36ED4782" w14:textId="77777777" w:rsidR="007F4837" w:rsidRPr="00C56B34" w:rsidRDefault="007F4837" w:rsidP="007F4837">
      <w:pPr>
        <w:spacing w:after="0" w:line="360" w:lineRule="auto"/>
        <w:ind w:left="720" w:firstLine="720"/>
        <w:jc w:val="both"/>
        <w:rPr>
          <w:rFonts w:ascii="Times New Roman" w:hAnsi="Times New Roman" w:cs="Times New Roman"/>
          <w:i/>
          <w:sz w:val="24"/>
        </w:rPr>
      </w:pPr>
      <w:r w:rsidRPr="00C56B34">
        <w:rPr>
          <w:rFonts w:ascii="Times New Roman" w:hAnsi="Times New Roman" w:cs="Times New Roman"/>
          <w:i/>
          <w:sz w:val="24"/>
        </w:rPr>
        <w:t>Estimation period (time frame)</w:t>
      </w:r>
    </w:p>
    <w:p w14:paraId="47DD1B58" w14:textId="77777777" w:rsidR="007F4837" w:rsidRPr="00C56B34" w:rsidRDefault="007F4837" w:rsidP="007F4837">
      <w:pPr>
        <w:spacing w:after="0" w:line="360" w:lineRule="auto"/>
        <w:ind w:left="720" w:firstLine="720"/>
        <w:jc w:val="both"/>
        <w:rPr>
          <w:rFonts w:ascii="Times New Roman" w:hAnsi="Times New Roman" w:cs="Times New Roman"/>
          <w:i/>
          <w:sz w:val="24"/>
        </w:rPr>
      </w:pPr>
      <w:r w:rsidRPr="00C56B34">
        <w:rPr>
          <w:rFonts w:ascii="Times New Roman" w:hAnsi="Times New Roman" w:cs="Times New Roman"/>
          <w:i/>
          <w:sz w:val="24"/>
        </w:rPr>
        <w:t xml:space="preserve">Normal Return </w:t>
      </w:r>
    </w:p>
    <w:p w14:paraId="086EE600" w14:textId="77777777" w:rsidR="007F4837" w:rsidRPr="00C56B34" w:rsidRDefault="007F4837" w:rsidP="007F4837">
      <w:pPr>
        <w:spacing w:after="0" w:line="360" w:lineRule="auto"/>
        <w:jc w:val="both"/>
        <w:rPr>
          <w:rFonts w:ascii="Times New Roman" w:hAnsi="Times New Roman" w:cs="Times New Roman"/>
          <w:color w:val="222222"/>
          <w:sz w:val="24"/>
          <w:szCs w:val="20"/>
          <w:shd w:val="clear" w:color="auto" w:fill="FFFFFF"/>
        </w:rPr>
      </w:pPr>
    </w:p>
    <w:p w14:paraId="54A22483" w14:textId="77777777" w:rsidR="00112F86" w:rsidRDefault="007F4837" w:rsidP="007F4837">
      <w:pPr>
        <w:spacing w:after="0" w:line="360" w:lineRule="auto"/>
        <w:ind w:firstLine="284"/>
        <w:jc w:val="both"/>
        <w:rPr>
          <w:rFonts w:ascii="Times New Roman" w:hAnsi="Times New Roman" w:cs="Times New Roman"/>
          <w:color w:val="222222"/>
          <w:sz w:val="24"/>
          <w:szCs w:val="20"/>
          <w:shd w:val="clear" w:color="auto" w:fill="FFFFFF"/>
        </w:rPr>
      </w:pPr>
      <w:r w:rsidRPr="00C56B34">
        <w:rPr>
          <w:rFonts w:ascii="Times New Roman" w:hAnsi="Times New Roman" w:cs="Times New Roman"/>
          <w:color w:val="222222"/>
          <w:sz w:val="24"/>
          <w:szCs w:val="20"/>
          <w:shd w:val="clear" w:color="auto" w:fill="FFFFFF"/>
        </w:rPr>
        <w:t>The first step in identifying the abnormal retu</w:t>
      </w:r>
      <w:r w:rsidR="00173DBA">
        <w:rPr>
          <w:rFonts w:ascii="Times New Roman" w:hAnsi="Times New Roman" w:cs="Times New Roman"/>
          <w:color w:val="222222"/>
          <w:sz w:val="24"/>
          <w:szCs w:val="20"/>
          <w:shd w:val="clear" w:color="auto" w:fill="FFFFFF"/>
        </w:rPr>
        <w:t>rns to target firms’ shareholders is determining</w:t>
      </w:r>
      <w:r w:rsidRPr="00C56B34">
        <w:rPr>
          <w:rFonts w:ascii="Times New Roman" w:hAnsi="Times New Roman" w:cs="Times New Roman"/>
          <w:color w:val="222222"/>
          <w:sz w:val="24"/>
          <w:szCs w:val="20"/>
          <w:shd w:val="clear" w:color="auto" w:fill="FFFFFF"/>
        </w:rPr>
        <w:t xml:space="preserve"> the event date. Because an acquisition deal is usually announced publicly </w:t>
      </w:r>
      <w:r w:rsidR="00173DBA">
        <w:rPr>
          <w:rFonts w:ascii="Times New Roman" w:hAnsi="Times New Roman" w:cs="Times New Roman"/>
          <w:color w:val="222222"/>
          <w:sz w:val="24"/>
          <w:szCs w:val="20"/>
          <w:shd w:val="clear" w:color="auto" w:fill="FFFFFF"/>
        </w:rPr>
        <w:t xml:space="preserve">a </w:t>
      </w:r>
      <w:r w:rsidRPr="00C56B34">
        <w:rPr>
          <w:rFonts w:ascii="Times New Roman" w:hAnsi="Times New Roman" w:cs="Times New Roman"/>
          <w:color w:val="222222"/>
          <w:sz w:val="24"/>
          <w:szCs w:val="20"/>
          <w:shd w:val="clear" w:color="auto" w:fill="FFFFFF"/>
        </w:rPr>
        <w:t>few month</w:t>
      </w:r>
      <w:r w:rsidR="00173DBA">
        <w:rPr>
          <w:rFonts w:ascii="Times New Roman" w:hAnsi="Times New Roman" w:cs="Times New Roman"/>
          <w:color w:val="222222"/>
          <w:sz w:val="24"/>
          <w:szCs w:val="20"/>
          <w:shd w:val="clear" w:color="auto" w:fill="FFFFFF"/>
        </w:rPr>
        <w:t>s</w:t>
      </w:r>
      <w:r w:rsidRPr="00C56B34">
        <w:rPr>
          <w:rFonts w:ascii="Times New Roman" w:hAnsi="Times New Roman" w:cs="Times New Roman"/>
          <w:color w:val="222222"/>
          <w:sz w:val="24"/>
          <w:szCs w:val="20"/>
          <w:shd w:val="clear" w:color="auto" w:fill="FFFFFF"/>
        </w:rPr>
        <w:t xml:space="preserve"> prior to </w:t>
      </w:r>
      <w:r w:rsidRPr="00C56B34">
        <w:rPr>
          <w:rFonts w:ascii="Times New Roman" w:hAnsi="Times New Roman" w:cs="Times New Roman"/>
          <w:color w:val="222222"/>
          <w:sz w:val="24"/>
          <w:szCs w:val="20"/>
          <w:shd w:val="clear" w:color="auto" w:fill="FFFFFF"/>
        </w:rPr>
        <w:lastRenderedPageBreak/>
        <w:t xml:space="preserve">the event date, the event date will be chosen as the day or month the deal became public knowledge (Bowman, 1983). The event date will be denoted as t0, and </w:t>
      </w:r>
      <w:r w:rsidR="00112F86" w:rsidRPr="00112F86">
        <w:rPr>
          <w:rFonts w:ascii="Times New Roman" w:hAnsi="Times New Roman" w:cs="Times New Roman"/>
          <w:color w:val="222222"/>
          <w:sz w:val="24"/>
          <w:szCs w:val="20"/>
          <w:shd w:val="clear" w:color="auto" w:fill="FFFFFF"/>
        </w:rPr>
        <w:t>the abnormal returns will be studied around the event date to examine the impact of the takeover on the wealth of the shareholders of the target companies.</w:t>
      </w:r>
    </w:p>
    <w:p w14:paraId="68C76728" w14:textId="0810810B" w:rsidR="007F4837" w:rsidRPr="00C56B34" w:rsidRDefault="007F4837" w:rsidP="007F4837">
      <w:pPr>
        <w:spacing w:after="0" w:line="360" w:lineRule="auto"/>
        <w:ind w:firstLine="284"/>
        <w:jc w:val="both"/>
        <w:rPr>
          <w:rFonts w:ascii="Times New Roman" w:eastAsiaTheme="minorEastAsia" w:hAnsi="Times New Roman" w:cs="Times New Roman"/>
          <w:color w:val="222222"/>
          <w:sz w:val="24"/>
          <w:szCs w:val="20"/>
          <w:shd w:val="clear" w:color="auto" w:fill="FFFFFF"/>
        </w:rPr>
      </w:pPr>
      <w:r w:rsidRPr="00C56B34">
        <w:rPr>
          <w:rFonts w:ascii="Times New Roman" w:hAnsi="Times New Roman" w:cs="Times New Roman"/>
          <w:color w:val="222222"/>
          <w:sz w:val="24"/>
          <w:szCs w:val="20"/>
          <w:shd w:val="clear" w:color="auto" w:fill="FFFFFF"/>
        </w:rPr>
        <w:t>For this paper</w:t>
      </w:r>
      <w:r w:rsidR="00860B08">
        <w:rPr>
          <w:rFonts w:ascii="Times New Roman" w:hAnsi="Times New Roman" w:cs="Times New Roman"/>
          <w:color w:val="222222"/>
          <w:sz w:val="24"/>
          <w:szCs w:val="20"/>
          <w:shd w:val="clear" w:color="auto" w:fill="FFFFFF"/>
        </w:rPr>
        <w:t>,</w:t>
      </w:r>
      <w:r w:rsidRPr="00C56B34">
        <w:rPr>
          <w:rFonts w:ascii="Times New Roman" w:hAnsi="Times New Roman" w:cs="Times New Roman"/>
          <w:color w:val="222222"/>
          <w:sz w:val="24"/>
          <w:szCs w:val="20"/>
          <w:shd w:val="clear" w:color="auto" w:fill="FFFFFF"/>
        </w:rPr>
        <w:t xml:space="preserve"> the abnormal </w:t>
      </w:r>
      <w:r w:rsidRPr="00173DBA">
        <w:rPr>
          <w:rFonts w:ascii="Times New Roman" w:hAnsi="Times New Roman" w:cs="Times New Roman"/>
          <w:color w:val="222222"/>
          <w:sz w:val="24"/>
          <w:szCs w:val="20"/>
          <w:shd w:val="clear" w:color="auto" w:fill="FFFFFF"/>
        </w:rPr>
        <w:t>returns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i,t</m:t>
            </m:r>
          </m:sub>
        </m:sSub>
      </m:oMath>
      <w:r w:rsidRPr="00173DBA">
        <w:rPr>
          <w:rFonts w:ascii="Times New Roman" w:eastAsiaTheme="minorEastAsia" w:hAnsi="Times New Roman" w:cs="Times New Roman"/>
          <w:color w:val="222222"/>
          <w:sz w:val="24"/>
          <w:szCs w:val="20"/>
          <w:shd w:val="clear" w:color="auto" w:fill="FFFFFF"/>
        </w:rPr>
        <w:t xml:space="preserve">) are </w:t>
      </w:r>
      <w:r w:rsidR="00112F86">
        <w:rPr>
          <w:rFonts w:ascii="Times New Roman" w:eastAsiaTheme="minorEastAsia" w:hAnsi="Times New Roman" w:cs="Times New Roman"/>
          <w:color w:val="222222"/>
          <w:sz w:val="24"/>
          <w:szCs w:val="20"/>
          <w:shd w:val="clear" w:color="auto" w:fill="FFFFFF"/>
        </w:rPr>
        <w:t>estimated</w:t>
      </w:r>
      <w:r w:rsidRPr="00C56B34">
        <w:rPr>
          <w:rFonts w:ascii="Times New Roman" w:eastAsiaTheme="minorEastAsia" w:hAnsi="Times New Roman" w:cs="Times New Roman"/>
          <w:color w:val="222222"/>
          <w:sz w:val="24"/>
          <w:szCs w:val="20"/>
          <w:shd w:val="clear" w:color="auto" w:fill="FFFFFF"/>
        </w:rPr>
        <w:t xml:space="preserve"> over two different event windows. The first is the ten month</w:t>
      </w:r>
      <w:r w:rsidR="00860B08">
        <w:rPr>
          <w:rFonts w:ascii="Times New Roman" w:eastAsiaTheme="minorEastAsia" w:hAnsi="Times New Roman" w:cs="Times New Roman"/>
          <w:color w:val="222222"/>
          <w:sz w:val="24"/>
          <w:szCs w:val="20"/>
          <w:shd w:val="clear" w:color="auto" w:fill="FFFFFF"/>
        </w:rPr>
        <w:t>s</w:t>
      </w:r>
      <w:r w:rsidRPr="00C56B34">
        <w:rPr>
          <w:rFonts w:ascii="Times New Roman" w:eastAsiaTheme="minorEastAsia" w:hAnsi="Times New Roman" w:cs="Times New Roman"/>
          <w:color w:val="222222"/>
          <w:sz w:val="24"/>
          <w:szCs w:val="20"/>
          <w:shd w:val="clear" w:color="auto" w:fill="FFFFFF"/>
        </w:rPr>
        <w:t xml:space="preserve"> period around the event date, from the month t-5 to t+4</w:t>
      </w:r>
      <w:r w:rsidR="00860B08">
        <w:rPr>
          <w:rFonts w:ascii="Times New Roman" w:eastAsiaTheme="minorEastAsia" w:hAnsi="Times New Roman" w:cs="Times New Roman"/>
          <w:color w:val="222222"/>
          <w:sz w:val="24"/>
          <w:szCs w:val="20"/>
          <w:shd w:val="clear" w:color="auto" w:fill="FFFFFF"/>
        </w:rPr>
        <w:t>,</w:t>
      </w:r>
      <w:r w:rsidRPr="00C56B34">
        <w:rPr>
          <w:rFonts w:ascii="Times New Roman" w:eastAsiaTheme="minorEastAsia" w:hAnsi="Times New Roman" w:cs="Times New Roman"/>
          <w:color w:val="222222"/>
          <w:sz w:val="24"/>
          <w:szCs w:val="20"/>
          <w:shd w:val="clear" w:color="auto" w:fill="FFFFFF"/>
        </w:rPr>
        <w:t xml:space="preserve"> where the announcement month is denoted as t0, and the second is the 14 days around the event date, from day </w:t>
      </w:r>
      <w:r w:rsidR="006236C0">
        <w:rPr>
          <w:rFonts w:ascii="Times New Roman" w:eastAsiaTheme="minorEastAsia" w:hAnsi="Times New Roman" w:cs="Times New Roman"/>
          <w:color w:val="222222"/>
          <w:sz w:val="24"/>
          <w:szCs w:val="20"/>
          <w:shd w:val="clear" w:color="auto" w:fill="FFFFFF"/>
        </w:rPr>
        <w:t>t</w:t>
      </w:r>
      <w:r w:rsidRPr="00C56B34">
        <w:rPr>
          <w:rFonts w:ascii="Times New Roman" w:eastAsiaTheme="minorEastAsia" w:hAnsi="Times New Roman" w:cs="Times New Roman"/>
          <w:color w:val="222222"/>
          <w:sz w:val="24"/>
          <w:szCs w:val="20"/>
          <w:shd w:val="clear" w:color="auto" w:fill="FFFFFF"/>
        </w:rPr>
        <w:t xml:space="preserve">-8 to </w:t>
      </w:r>
      <w:r w:rsidR="006236C0">
        <w:rPr>
          <w:rFonts w:ascii="Times New Roman" w:eastAsiaTheme="minorEastAsia" w:hAnsi="Times New Roman" w:cs="Times New Roman"/>
          <w:color w:val="222222"/>
          <w:sz w:val="24"/>
          <w:szCs w:val="20"/>
          <w:shd w:val="clear" w:color="auto" w:fill="FFFFFF"/>
        </w:rPr>
        <w:t>t</w:t>
      </w:r>
      <w:r w:rsidRPr="00C56B34">
        <w:rPr>
          <w:rFonts w:ascii="Times New Roman" w:eastAsiaTheme="minorEastAsia" w:hAnsi="Times New Roman" w:cs="Times New Roman"/>
          <w:color w:val="222222"/>
          <w:sz w:val="24"/>
          <w:szCs w:val="20"/>
          <w:shd w:val="clear" w:color="auto" w:fill="FFFFFF"/>
        </w:rPr>
        <w:t>+5</w:t>
      </w:r>
      <w:r w:rsidR="00860B08">
        <w:rPr>
          <w:rFonts w:ascii="Times New Roman" w:eastAsiaTheme="minorEastAsia" w:hAnsi="Times New Roman" w:cs="Times New Roman"/>
          <w:color w:val="222222"/>
          <w:sz w:val="24"/>
          <w:szCs w:val="20"/>
          <w:shd w:val="clear" w:color="auto" w:fill="FFFFFF"/>
        </w:rPr>
        <w:t>,</w:t>
      </w:r>
      <w:r w:rsidRPr="00C56B34">
        <w:rPr>
          <w:rFonts w:ascii="Times New Roman" w:eastAsiaTheme="minorEastAsia" w:hAnsi="Times New Roman" w:cs="Times New Roman"/>
          <w:color w:val="222222"/>
          <w:sz w:val="24"/>
          <w:szCs w:val="20"/>
          <w:shd w:val="clear" w:color="auto" w:fill="FFFFFF"/>
        </w:rPr>
        <w:t xml:space="preserve"> where the anno</w:t>
      </w:r>
      <w:r w:rsidR="00AD5A1C">
        <w:rPr>
          <w:rFonts w:ascii="Times New Roman" w:eastAsiaTheme="minorEastAsia" w:hAnsi="Times New Roman" w:cs="Times New Roman"/>
          <w:color w:val="222222"/>
          <w:sz w:val="24"/>
          <w:szCs w:val="20"/>
          <w:shd w:val="clear" w:color="auto" w:fill="FFFFFF"/>
        </w:rPr>
        <w:t xml:space="preserve">uncement day is denoted as t0. </w:t>
      </w:r>
      <w:r w:rsidRPr="00C56B34">
        <w:rPr>
          <w:rFonts w:ascii="Times New Roman" w:eastAsiaTheme="minorEastAsia" w:hAnsi="Times New Roman" w:cs="Times New Roman"/>
          <w:color w:val="222222"/>
          <w:sz w:val="24"/>
          <w:szCs w:val="20"/>
          <w:shd w:val="clear" w:color="auto" w:fill="FFFFFF"/>
        </w:rPr>
        <w:t xml:space="preserve">These two event windows are chosen to capture potential rumors or delay of new information realized in the deal announcement date. </w:t>
      </w:r>
    </w:p>
    <w:p w14:paraId="44CD5354" w14:textId="3F9AF1B7" w:rsidR="007F4837" w:rsidRDefault="007F4837" w:rsidP="007F4837">
      <w:pPr>
        <w:spacing w:after="0" w:line="360" w:lineRule="auto"/>
        <w:ind w:firstLine="284"/>
        <w:jc w:val="both"/>
        <w:rPr>
          <w:rFonts w:ascii="Times New Roman" w:eastAsiaTheme="minorEastAsia" w:hAnsi="Times New Roman" w:cs="Times New Roman"/>
          <w:color w:val="222222"/>
          <w:sz w:val="24"/>
          <w:szCs w:val="20"/>
          <w:shd w:val="clear" w:color="auto" w:fill="FFFFFF"/>
        </w:rPr>
      </w:pPr>
      <w:r w:rsidRPr="00C56B34">
        <w:rPr>
          <w:rFonts w:ascii="Times New Roman" w:eastAsiaTheme="minorEastAsia" w:hAnsi="Times New Roman" w:cs="Times New Roman"/>
          <w:color w:val="222222"/>
          <w:sz w:val="24"/>
          <w:szCs w:val="20"/>
          <w:shd w:val="clear" w:color="auto" w:fill="FFFFFF"/>
        </w:rPr>
        <w:t xml:space="preserve">The estimation period is a control period that is used to estimate the normal return of each target firm in the absence of the announcement of the deal. The estimation period used in this research is the 270 days until the 30 days prior to the event date, [-270,-30]. The 30 days prior to the announcement day are excluded to exclude any effect that may result from potential rumors or any spillover of new information prior to the deal. </w:t>
      </w:r>
    </w:p>
    <w:p w14:paraId="5C7A55F3" w14:textId="77777777" w:rsidR="00493F1A" w:rsidRDefault="00493F1A" w:rsidP="007F4837">
      <w:pPr>
        <w:spacing w:after="0" w:line="360" w:lineRule="auto"/>
        <w:ind w:firstLine="284"/>
        <w:jc w:val="both"/>
        <w:rPr>
          <w:rFonts w:ascii="Times New Roman" w:eastAsiaTheme="minorEastAsia" w:hAnsi="Times New Roman" w:cs="Times New Roman"/>
          <w:color w:val="222222"/>
          <w:sz w:val="24"/>
          <w:szCs w:val="20"/>
          <w:shd w:val="clear" w:color="auto" w:fill="FFFFFF"/>
        </w:rPr>
      </w:pPr>
    </w:p>
    <w:p w14:paraId="5C484BA2" w14:textId="3EB131EB" w:rsidR="004A1851" w:rsidRDefault="004A1851" w:rsidP="007F4837">
      <w:pPr>
        <w:spacing w:after="0" w:line="360" w:lineRule="auto"/>
        <w:ind w:firstLine="284"/>
        <w:jc w:val="both"/>
        <w:rPr>
          <w:rFonts w:ascii="Times New Roman" w:eastAsiaTheme="minorEastAsia" w:hAnsi="Times New Roman" w:cs="Times New Roman"/>
          <w:color w:val="222222"/>
          <w:sz w:val="24"/>
          <w:szCs w:val="20"/>
          <w:shd w:val="clear" w:color="auto" w:fill="FFFFFF"/>
        </w:rPr>
      </w:pPr>
      <w:r>
        <w:rPr>
          <w:noProof/>
        </w:rPr>
        <w:drawing>
          <wp:inline distT="0" distB="0" distL="0" distR="0" wp14:anchorId="2ED4CD0E" wp14:editId="34CB4CE8">
            <wp:extent cx="482917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1543050"/>
                    </a:xfrm>
                    <a:prstGeom prst="rect">
                      <a:avLst/>
                    </a:prstGeom>
                  </pic:spPr>
                </pic:pic>
              </a:graphicData>
            </a:graphic>
          </wp:inline>
        </w:drawing>
      </w:r>
    </w:p>
    <w:p w14:paraId="5C40451C" w14:textId="566D76BE" w:rsidR="00493F1A" w:rsidRPr="00493F1A" w:rsidRDefault="00493F1A" w:rsidP="007F4837">
      <w:pPr>
        <w:spacing w:after="0" w:line="360" w:lineRule="auto"/>
        <w:ind w:firstLine="284"/>
        <w:jc w:val="both"/>
        <w:rPr>
          <w:rFonts w:ascii="Times New Roman" w:eastAsiaTheme="minorEastAsia" w:hAnsi="Times New Roman" w:cs="Times New Roman"/>
          <w:i/>
          <w:color w:val="222222"/>
          <w:sz w:val="20"/>
          <w:szCs w:val="20"/>
          <w:shd w:val="clear" w:color="auto" w:fill="FFFFFF"/>
        </w:rPr>
      </w:pPr>
      <w:r>
        <w:rPr>
          <w:rFonts w:ascii="Times New Roman" w:eastAsiaTheme="minorEastAsia" w:hAnsi="Times New Roman" w:cs="Times New Roman"/>
          <w:i/>
          <w:color w:val="222222"/>
          <w:sz w:val="20"/>
          <w:szCs w:val="20"/>
          <w:shd w:val="clear" w:color="auto" w:fill="FFFFFF"/>
        </w:rPr>
        <w:t xml:space="preserve">Figure 1: </w:t>
      </w:r>
      <w:r w:rsidRPr="00493F1A">
        <w:rPr>
          <w:rFonts w:ascii="Times New Roman" w:eastAsiaTheme="minorEastAsia" w:hAnsi="Times New Roman" w:cs="Times New Roman"/>
          <w:i/>
          <w:color w:val="222222"/>
          <w:sz w:val="20"/>
          <w:szCs w:val="20"/>
          <w:shd w:val="clear" w:color="auto" w:fill="FFFFFF"/>
        </w:rPr>
        <w:t>event study time line</w:t>
      </w:r>
      <w:r>
        <w:rPr>
          <w:rFonts w:ascii="Times New Roman" w:eastAsiaTheme="minorEastAsia" w:hAnsi="Times New Roman" w:cs="Times New Roman"/>
          <w:i/>
          <w:color w:val="222222"/>
          <w:sz w:val="20"/>
          <w:szCs w:val="20"/>
          <w:shd w:val="clear" w:color="auto" w:fill="FFFFFF"/>
        </w:rPr>
        <w:t xml:space="preserve"> </w:t>
      </w:r>
    </w:p>
    <w:p w14:paraId="1402A9A4" w14:textId="77777777" w:rsidR="007F4837" w:rsidRPr="00C56B34"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p>
    <w:p w14:paraId="4532B02D" w14:textId="4467F0D4" w:rsidR="007F4837" w:rsidRPr="00C03199" w:rsidRDefault="007C79C0" w:rsidP="007F4837">
      <w:pPr>
        <w:spacing w:after="120" w:line="360" w:lineRule="auto"/>
        <w:jc w:val="both"/>
        <w:rPr>
          <w:rFonts w:ascii="Times New Roman" w:eastAsiaTheme="minorEastAsia" w:hAnsi="Times New Roman" w:cs="Times New Roman"/>
          <w:i/>
          <w:color w:val="222222"/>
          <w:sz w:val="24"/>
          <w:szCs w:val="20"/>
          <w:shd w:val="clear" w:color="auto" w:fill="FFFFFF"/>
        </w:rPr>
      </w:pPr>
      <w:r>
        <w:rPr>
          <w:rFonts w:ascii="Times New Roman" w:eastAsiaTheme="minorEastAsia" w:hAnsi="Times New Roman" w:cs="Times New Roman"/>
          <w:i/>
          <w:color w:val="222222"/>
          <w:sz w:val="24"/>
          <w:szCs w:val="20"/>
          <w:shd w:val="clear" w:color="auto" w:fill="FFFFFF"/>
        </w:rPr>
        <w:t>4.1.1</w:t>
      </w:r>
      <w:r w:rsidR="007F4837" w:rsidRPr="00C03199">
        <w:rPr>
          <w:rFonts w:ascii="Times New Roman" w:eastAsiaTheme="minorEastAsia" w:hAnsi="Times New Roman" w:cs="Times New Roman"/>
          <w:i/>
          <w:color w:val="222222"/>
          <w:sz w:val="24"/>
          <w:szCs w:val="20"/>
          <w:shd w:val="clear" w:color="auto" w:fill="FFFFFF"/>
        </w:rPr>
        <w:t xml:space="preserve"> Calculating the normal returns</w:t>
      </w:r>
    </w:p>
    <w:p w14:paraId="449D7FA5" w14:textId="3DAEEC03"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hAnsi="Times New Roman" w:cs="Times New Roman"/>
          <w:color w:val="222222"/>
          <w:sz w:val="24"/>
          <w:szCs w:val="20"/>
          <w:shd w:val="clear" w:color="auto" w:fill="FFFFFF"/>
        </w:rPr>
        <w:t xml:space="preserve">Using the estimation period, the normal returns for each target </w:t>
      </w:r>
      <w:r w:rsidR="00112F86">
        <w:rPr>
          <w:rFonts w:ascii="Times New Roman" w:hAnsi="Times New Roman" w:cs="Times New Roman"/>
          <w:color w:val="222222"/>
          <w:sz w:val="24"/>
          <w:szCs w:val="20"/>
          <w:shd w:val="clear" w:color="auto" w:fill="FFFFFF"/>
        </w:rPr>
        <w:t>company</w:t>
      </w:r>
      <w:r w:rsidRPr="00C03199">
        <w:rPr>
          <w:rFonts w:ascii="Times New Roman" w:hAnsi="Times New Roman" w:cs="Times New Roman"/>
          <w:color w:val="222222"/>
          <w:sz w:val="24"/>
          <w:szCs w:val="20"/>
          <w:shd w:val="clear" w:color="auto" w:fill="FFFFFF"/>
        </w:rPr>
        <w:t xml:space="preserve"> are </w:t>
      </w:r>
      <w:r w:rsidR="00112F86">
        <w:rPr>
          <w:rFonts w:ascii="Times New Roman" w:hAnsi="Times New Roman" w:cs="Times New Roman"/>
          <w:color w:val="222222"/>
          <w:sz w:val="24"/>
          <w:szCs w:val="20"/>
          <w:shd w:val="clear" w:color="auto" w:fill="FFFFFF"/>
        </w:rPr>
        <w:t>estimated</w:t>
      </w:r>
      <w:r w:rsidRPr="00C03199">
        <w:rPr>
          <w:rFonts w:ascii="Times New Roman" w:hAnsi="Times New Roman" w:cs="Times New Roman"/>
          <w:color w:val="222222"/>
          <w:sz w:val="24"/>
          <w:szCs w:val="20"/>
          <w:shd w:val="clear" w:color="auto" w:fill="FFFFFF"/>
        </w:rPr>
        <w:t xml:space="preserve"> using the market model (MM) and capital asset pricing model (CAPM); in essence, the normal returns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oMath>
      <w:r w:rsidRPr="00C03199">
        <w:rPr>
          <w:rFonts w:ascii="Times New Roman" w:eastAsiaTheme="minorEastAsia" w:hAnsi="Times New Roman" w:cs="Times New Roman"/>
          <w:color w:val="222222"/>
          <w:sz w:val="24"/>
          <w:szCs w:val="20"/>
          <w:shd w:val="clear" w:color="auto" w:fill="FFFFFF"/>
        </w:rPr>
        <w:t xml:space="preserve">) are the hypothesized </w:t>
      </w:r>
      <w:r w:rsidR="00860B08">
        <w:rPr>
          <w:rFonts w:ascii="Times New Roman" w:eastAsiaTheme="minorEastAsia" w:hAnsi="Times New Roman" w:cs="Times New Roman"/>
          <w:color w:val="222222"/>
          <w:sz w:val="24"/>
          <w:szCs w:val="20"/>
          <w:shd w:val="clear" w:color="auto" w:fill="FFFFFF"/>
        </w:rPr>
        <w:t xml:space="preserve">return to </w:t>
      </w:r>
      <w:r w:rsidRPr="00C03199">
        <w:rPr>
          <w:rFonts w:ascii="Times New Roman" w:eastAsiaTheme="minorEastAsia" w:hAnsi="Times New Roman" w:cs="Times New Roman"/>
          <w:color w:val="222222"/>
          <w:sz w:val="24"/>
          <w:szCs w:val="20"/>
          <w:shd w:val="clear" w:color="auto" w:fill="FFFFFF"/>
        </w:rPr>
        <w:t xml:space="preserve">target firms’ shareholders without the occurrence of the acquisition deal. </w:t>
      </w:r>
      <w:r w:rsidR="00D166DB" w:rsidRPr="00D166DB">
        <w:rPr>
          <w:rFonts w:ascii="Times New Roman" w:eastAsiaTheme="minorEastAsia" w:hAnsi="Times New Roman" w:cs="Times New Roman"/>
          <w:color w:val="222222"/>
          <w:sz w:val="24"/>
          <w:szCs w:val="20"/>
          <w:shd w:val="clear" w:color="auto" w:fill="FFFFFF"/>
        </w:rPr>
        <w:t xml:space="preserve">Although the market model is the most commonly used model for the event study, the CAPM is also used, as the market model tends to have problems </w:t>
      </w:r>
      <w:r w:rsidR="00D166DB">
        <w:rPr>
          <w:rFonts w:ascii="Times New Roman" w:eastAsiaTheme="minorEastAsia" w:hAnsi="Times New Roman" w:cs="Times New Roman"/>
          <w:color w:val="222222"/>
          <w:sz w:val="24"/>
          <w:szCs w:val="20"/>
          <w:shd w:val="clear" w:color="auto" w:fill="FFFFFF"/>
        </w:rPr>
        <w:t>in setting a suitable benchmark</w:t>
      </w:r>
      <w:r w:rsidR="00D166DB" w:rsidRPr="00D166DB">
        <w:rPr>
          <w:rFonts w:ascii="Times New Roman" w:eastAsiaTheme="minorEastAsia" w:hAnsi="Times New Roman" w:cs="Times New Roman"/>
          <w:color w:val="222222"/>
          <w:sz w:val="24"/>
          <w:szCs w:val="20"/>
          <w:shd w:val="clear" w:color="auto" w:fill="FFFFFF"/>
        </w:rPr>
        <w:t xml:space="preserve"> </w:t>
      </w:r>
      <w:r w:rsidRPr="00C03199">
        <w:rPr>
          <w:rFonts w:ascii="Times New Roman" w:eastAsiaTheme="minorEastAsia" w:hAnsi="Times New Roman" w:cs="Times New Roman"/>
          <w:color w:val="222222"/>
          <w:sz w:val="24"/>
          <w:szCs w:val="20"/>
          <w:shd w:val="clear" w:color="auto" w:fill="FFFFFF"/>
        </w:rPr>
        <w:t xml:space="preserve">(Connell and Conn, 1993; Danbolt, 2004). </w:t>
      </w:r>
      <w:r w:rsidR="00D166DB">
        <w:rPr>
          <w:rFonts w:ascii="Times New Roman" w:eastAsiaTheme="minorEastAsia" w:hAnsi="Times New Roman" w:cs="Times New Roman"/>
          <w:color w:val="222222"/>
          <w:sz w:val="24"/>
          <w:szCs w:val="20"/>
          <w:shd w:val="clear" w:color="auto" w:fill="FFFFFF"/>
        </w:rPr>
        <w:t>Both models are specified as follow</w:t>
      </w:r>
      <w:r w:rsidRPr="00C03199">
        <w:rPr>
          <w:rFonts w:ascii="Times New Roman" w:eastAsiaTheme="minorEastAsia" w:hAnsi="Times New Roman" w:cs="Times New Roman"/>
          <w:color w:val="222222"/>
          <w:sz w:val="24"/>
          <w:szCs w:val="20"/>
          <w:shd w:val="clear" w:color="auto" w:fill="FFFFFF"/>
        </w:rPr>
        <w:t xml:space="preserve">: </w:t>
      </w:r>
    </w:p>
    <w:p w14:paraId="6936B9DA" w14:textId="77777777"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p>
    <w:p w14:paraId="7384C306" w14:textId="014B48FC" w:rsidR="007F4837" w:rsidRPr="00C03199" w:rsidRDefault="007F4837" w:rsidP="007F4837">
      <w:pPr>
        <w:spacing w:after="0" w:line="360" w:lineRule="auto"/>
        <w:ind w:left="720" w:firstLine="720"/>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i/>
          <w:color w:val="222222"/>
          <w:sz w:val="24"/>
          <w:szCs w:val="20"/>
          <w:shd w:val="clear" w:color="auto" w:fill="FFFFFF"/>
        </w:rPr>
        <w:lastRenderedPageBreak/>
        <w:t>CAPM:</w:t>
      </w:r>
      <w:r w:rsidRPr="00C03199">
        <w:rPr>
          <w:rFonts w:ascii="Times New Roman" w:eastAsiaTheme="minorEastAsia" w:hAnsi="Times New Roman" w:cs="Times New Roman"/>
          <w:i/>
          <w:color w:val="222222"/>
          <w:sz w:val="24"/>
          <w:szCs w:val="20"/>
          <w:shd w:val="clear" w:color="auto" w:fill="FFFFFF"/>
        </w:rPr>
        <w:tab/>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r>
          <w:rPr>
            <w:rFonts w:ascii="Cambria Math" w:hAnsi="Cambria Math" w:cs="Times New Roman"/>
            <w:color w:val="222222"/>
            <w:sz w:val="24"/>
            <w:szCs w:val="20"/>
            <w:shd w:val="clear" w:color="auto" w:fill="FFFFFF"/>
          </w:rPr>
          <m:t xml:space="preserve">= </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f,t</m:t>
            </m:r>
          </m:sub>
        </m:sSub>
        <m:r>
          <w:rPr>
            <w:rFonts w:ascii="Cambria Math" w:eastAsiaTheme="minorEastAsia" w:hAnsi="Cambria Math" w:cs="Times New Roman"/>
            <w:color w:val="222222"/>
            <w:sz w:val="24"/>
            <w:szCs w:val="20"/>
            <w:shd w:val="clear" w:color="auto" w:fill="FFFFFF"/>
          </w:rPr>
          <m:t xml:space="preserve">+ </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i</m:t>
            </m:r>
          </m:sub>
        </m:sSub>
        <m:d>
          <m:dPr>
            <m:ctrlPr>
              <w:rPr>
                <w:rFonts w:ascii="Cambria Math" w:eastAsiaTheme="minorEastAsia" w:hAnsi="Cambria Math" w:cs="Times New Roman"/>
                <w:i/>
                <w:color w:val="222222"/>
                <w:sz w:val="24"/>
                <w:szCs w:val="20"/>
                <w:shd w:val="clear" w:color="auto" w:fill="FFFFFF"/>
              </w:rPr>
            </m:ctrlPr>
          </m:dPr>
          <m:e>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R</m:t>
                </m:r>
              </m:e>
              <m:sub>
                <m:r>
                  <w:rPr>
                    <w:rFonts w:ascii="Cambria Math" w:eastAsiaTheme="minorEastAsia" w:hAnsi="Cambria Math" w:cs="Times New Roman"/>
                    <w:color w:val="222222"/>
                    <w:sz w:val="24"/>
                    <w:szCs w:val="20"/>
                    <w:shd w:val="clear" w:color="auto" w:fill="FFFFFF"/>
                  </w:rPr>
                  <m:t>m,t</m:t>
                </m:r>
              </m:sub>
            </m:sSub>
            <m:r>
              <w:rPr>
                <w:rFonts w:ascii="Cambria Math" w:eastAsiaTheme="minorEastAsia" w:hAnsi="Cambria Math" w:cs="Times New Roman"/>
                <w:color w:val="222222"/>
                <w:sz w:val="24"/>
                <w:szCs w:val="20"/>
                <w:shd w:val="clear" w:color="auto" w:fill="FFFFFF"/>
              </w:rPr>
              <m:t xml:space="preserve">- </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f,t</m:t>
                </m:r>
              </m:sub>
            </m:sSub>
            <m:ctrlPr>
              <w:rPr>
                <w:rFonts w:ascii="Cambria Math" w:hAnsi="Cambria Math" w:cs="Times New Roman"/>
                <w:i/>
                <w:color w:val="222222"/>
                <w:sz w:val="24"/>
                <w:szCs w:val="20"/>
                <w:shd w:val="clear" w:color="auto" w:fill="FFFFFF"/>
              </w:rPr>
            </m:ctrlPr>
          </m:e>
        </m:d>
        <m:r>
          <w:rPr>
            <w:rFonts w:ascii="Cambria Math" w:hAnsi="Cambria Math" w:cs="Times New Roman"/>
            <w:color w:val="222222"/>
            <w:sz w:val="24"/>
            <w:szCs w:val="20"/>
            <w:shd w:val="clear" w:color="auto" w:fill="FFFFFF"/>
          </w:rPr>
          <m:t>+</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ϵ</m:t>
            </m:r>
          </m:e>
          <m:sub>
            <m:r>
              <w:rPr>
                <w:rFonts w:ascii="Cambria Math" w:hAnsi="Cambria Math" w:cs="Times New Roman"/>
                <w:color w:val="222222"/>
                <w:sz w:val="24"/>
                <w:szCs w:val="20"/>
                <w:shd w:val="clear" w:color="auto" w:fill="FFFFFF"/>
              </w:rPr>
              <m:t>i,t</m:t>
            </m:r>
          </m:sub>
        </m:sSub>
      </m:oMath>
    </w:p>
    <w:p w14:paraId="473AAD6C" w14:textId="4B19B1CD" w:rsidR="007F4837" w:rsidRPr="00C03199" w:rsidRDefault="007F4837" w:rsidP="007F4837">
      <w:pPr>
        <w:spacing w:after="0" w:line="360" w:lineRule="auto"/>
        <w:jc w:val="both"/>
        <w:rPr>
          <w:rFonts w:ascii="Times New Roman" w:eastAsiaTheme="minorEastAsia" w:hAnsi="Times New Roman" w:cs="Times New Roman"/>
          <w:i/>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tab/>
      </w:r>
      <w:r w:rsidRPr="00C03199">
        <w:rPr>
          <w:rFonts w:ascii="Times New Roman" w:eastAsiaTheme="minorEastAsia" w:hAnsi="Times New Roman" w:cs="Times New Roman"/>
          <w:color w:val="222222"/>
          <w:sz w:val="24"/>
          <w:szCs w:val="20"/>
          <w:shd w:val="clear" w:color="auto" w:fill="FFFFFF"/>
        </w:rPr>
        <w:tab/>
      </w:r>
      <w:r w:rsidRPr="00C03199">
        <w:rPr>
          <w:rFonts w:ascii="Times New Roman" w:eastAsiaTheme="minorEastAsia" w:hAnsi="Times New Roman" w:cs="Times New Roman"/>
          <w:i/>
          <w:color w:val="222222"/>
          <w:sz w:val="24"/>
          <w:szCs w:val="20"/>
          <w:shd w:val="clear" w:color="auto" w:fill="FFFFFF"/>
        </w:rPr>
        <w:t>MM:</w:t>
      </w:r>
      <w:r w:rsidRPr="00C03199">
        <w:rPr>
          <w:rFonts w:ascii="Times New Roman" w:eastAsiaTheme="minorEastAsia" w:hAnsi="Times New Roman" w:cs="Times New Roman"/>
          <w:i/>
          <w:color w:val="222222"/>
          <w:sz w:val="24"/>
          <w:szCs w:val="20"/>
          <w:shd w:val="clear" w:color="auto" w:fill="FFFFFF"/>
        </w:rPr>
        <w:tab/>
      </w:r>
      <w:r w:rsidRPr="00C03199">
        <w:rPr>
          <w:rFonts w:ascii="Times New Roman" w:eastAsiaTheme="minorEastAsia" w:hAnsi="Times New Roman" w:cs="Times New Roman"/>
          <w:i/>
          <w:color w:val="222222"/>
          <w:sz w:val="24"/>
          <w:szCs w:val="20"/>
          <w:shd w:val="clear" w:color="auto" w:fill="FFFFFF"/>
        </w:rPr>
        <w:tab/>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r>
          <w:rPr>
            <w:rFonts w:ascii="Cambria Math" w:hAnsi="Cambria Math" w:cs="Times New Roman"/>
            <w:color w:val="222222"/>
            <w:sz w:val="24"/>
            <w:szCs w:val="20"/>
            <w:shd w:val="clear" w:color="auto" w:fill="FFFFFF"/>
          </w:rPr>
          <m:t xml:space="preserve">= </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α</m:t>
            </m:r>
          </m:e>
          <m:sub>
            <m:r>
              <w:rPr>
                <w:rFonts w:ascii="Cambria Math"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 xml:space="preserve">+ </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i</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R</m:t>
            </m:r>
          </m:e>
          <m:sub>
            <m:r>
              <w:rPr>
                <w:rFonts w:ascii="Cambria Math" w:eastAsiaTheme="minorEastAsia" w:hAnsi="Cambria Math" w:cs="Times New Roman"/>
                <w:color w:val="222222"/>
                <w:sz w:val="24"/>
                <w:szCs w:val="20"/>
                <w:shd w:val="clear" w:color="auto" w:fill="FFFFFF"/>
              </w:rPr>
              <m:t>m,t</m:t>
            </m:r>
          </m:sub>
        </m:sSub>
        <m:r>
          <w:rPr>
            <w:rFonts w:ascii="Cambria Math" w:hAnsi="Cambria Math" w:cs="Times New Roman"/>
            <w:color w:val="222222"/>
            <w:sz w:val="24"/>
            <w:szCs w:val="20"/>
            <w:shd w:val="clear" w:color="auto" w:fill="FFFFFF"/>
          </w:rPr>
          <m:t>+</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ϵ</m:t>
            </m:r>
          </m:e>
          <m:sub>
            <m:r>
              <w:rPr>
                <w:rFonts w:ascii="Cambria Math" w:hAnsi="Cambria Math" w:cs="Times New Roman"/>
                <w:color w:val="222222"/>
                <w:sz w:val="24"/>
                <w:szCs w:val="20"/>
                <w:shd w:val="clear" w:color="auto" w:fill="FFFFFF"/>
              </w:rPr>
              <m:t>i,t</m:t>
            </m:r>
          </m:sub>
        </m:sSub>
      </m:oMath>
    </w:p>
    <w:p w14:paraId="311BE5F9" w14:textId="77777777"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i/>
          <w:color w:val="222222"/>
          <w:sz w:val="24"/>
          <w:szCs w:val="20"/>
          <w:shd w:val="clear" w:color="auto" w:fill="FFFFFF"/>
        </w:rPr>
        <w:tab/>
      </w:r>
      <w:r w:rsidRPr="00C03199">
        <w:rPr>
          <w:rFonts w:ascii="Times New Roman" w:eastAsiaTheme="minorEastAsia" w:hAnsi="Times New Roman" w:cs="Times New Roman"/>
          <w:i/>
          <w:color w:val="222222"/>
          <w:sz w:val="24"/>
          <w:szCs w:val="20"/>
          <w:shd w:val="clear" w:color="auto" w:fill="FFFFFF"/>
        </w:rPr>
        <w:tab/>
      </w:r>
      <w:r w:rsidRPr="00C03199">
        <w:rPr>
          <w:rFonts w:ascii="Times New Roman" w:eastAsiaTheme="minorEastAsia" w:hAnsi="Times New Roman" w:cs="Times New Roman"/>
          <w:color w:val="222222"/>
          <w:sz w:val="24"/>
          <w:szCs w:val="20"/>
          <w:shd w:val="clear" w:color="auto" w:fill="FFFFFF"/>
        </w:rPr>
        <w:t xml:space="preserve">Where, </w:t>
      </w:r>
      <w:r w:rsidRPr="00C03199">
        <w:rPr>
          <w:rFonts w:ascii="Times New Roman" w:eastAsiaTheme="minorEastAsia" w:hAnsi="Times New Roman" w:cs="Times New Roman"/>
          <w:color w:val="222222"/>
          <w:sz w:val="24"/>
          <w:szCs w:val="20"/>
          <w:shd w:val="clear" w:color="auto" w:fill="FFFFFF"/>
        </w:rPr>
        <w:tab/>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m,t</m:t>
            </m:r>
          </m:sub>
        </m:sSub>
        <m:r>
          <w:rPr>
            <w:rFonts w:ascii="Cambria Math" w:hAnsi="Cambria Math" w:cs="Times New Roman"/>
            <w:color w:val="222222"/>
            <w:sz w:val="24"/>
            <w:szCs w:val="20"/>
            <w:shd w:val="clear" w:color="auto" w:fill="FFFFFF"/>
          </w:rPr>
          <m:t xml:space="preserve">= </m:t>
        </m:r>
        <m:f>
          <m:fPr>
            <m:ctrlPr>
              <w:rPr>
                <w:rFonts w:ascii="Cambria Math" w:hAnsi="Cambria Math" w:cs="Times New Roman"/>
                <w:i/>
                <w:color w:val="222222"/>
                <w:sz w:val="24"/>
                <w:szCs w:val="20"/>
                <w:shd w:val="clear" w:color="auto" w:fill="FFFFFF"/>
              </w:rPr>
            </m:ctrlPr>
          </m:fPr>
          <m:num>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P</m:t>
                </m:r>
              </m:e>
              <m:sub>
                <m:r>
                  <w:rPr>
                    <w:rFonts w:ascii="Cambria Math" w:hAnsi="Cambria Math" w:cs="Times New Roman"/>
                    <w:color w:val="222222"/>
                    <w:sz w:val="24"/>
                    <w:szCs w:val="20"/>
                    <w:shd w:val="clear" w:color="auto" w:fill="FFFFFF"/>
                  </w:rPr>
                  <m:t>m,t</m:t>
                </m:r>
              </m:sub>
            </m:sSub>
            <m:r>
              <w:rPr>
                <w:rFonts w:ascii="Cambria Math" w:hAnsi="Cambria Math" w:cs="Times New Roman"/>
                <w:color w:val="222222"/>
                <w:sz w:val="24"/>
                <w:szCs w:val="20"/>
                <w:shd w:val="clear" w:color="auto" w:fill="FFFFFF"/>
              </w:rPr>
              <m:t xml:space="preserve">- </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P</m:t>
                </m:r>
              </m:e>
              <m:sub>
                <m:r>
                  <w:rPr>
                    <w:rFonts w:ascii="Cambria Math" w:hAnsi="Cambria Math" w:cs="Times New Roman"/>
                    <w:color w:val="222222"/>
                    <w:sz w:val="24"/>
                    <w:szCs w:val="20"/>
                    <w:shd w:val="clear" w:color="auto" w:fill="FFFFFF"/>
                  </w:rPr>
                  <m:t>m,t-1</m:t>
                </m:r>
              </m:sub>
            </m:sSub>
          </m:num>
          <m:den>
            <m:r>
              <w:rPr>
                <w:rFonts w:ascii="Cambria Math" w:hAnsi="Cambria Math" w:cs="Times New Roman"/>
                <w:color w:val="222222"/>
                <w:sz w:val="24"/>
                <w:szCs w:val="20"/>
                <w:shd w:val="clear" w:color="auto" w:fill="FFFFFF"/>
              </w:rPr>
              <m:t xml:space="preserve"> </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P</m:t>
                </m:r>
              </m:e>
              <m:sub>
                <m:r>
                  <w:rPr>
                    <w:rFonts w:ascii="Cambria Math" w:hAnsi="Cambria Math" w:cs="Times New Roman"/>
                    <w:color w:val="222222"/>
                    <w:sz w:val="24"/>
                    <w:szCs w:val="20"/>
                    <w:shd w:val="clear" w:color="auto" w:fill="FFFFFF"/>
                  </w:rPr>
                  <m:t>m,t-1</m:t>
                </m:r>
              </m:sub>
            </m:sSub>
          </m:den>
        </m:f>
      </m:oMath>
    </w:p>
    <w:p w14:paraId="16523DDA" w14:textId="77777777" w:rsidR="007F4837" w:rsidRPr="00C03199" w:rsidRDefault="007F4837" w:rsidP="007F4837">
      <w:pPr>
        <w:spacing w:after="0" w:line="360" w:lineRule="auto"/>
        <w:jc w:val="both"/>
        <w:rPr>
          <w:rFonts w:ascii="Times New Roman" w:eastAsiaTheme="minorEastAsia" w:hAnsi="Times New Roman" w:cs="Times New Roman"/>
          <w:i/>
          <w:color w:val="222222"/>
          <w:sz w:val="24"/>
          <w:szCs w:val="20"/>
          <w:shd w:val="clear" w:color="auto" w:fill="FFFFFF"/>
        </w:rPr>
      </w:pPr>
    </w:p>
    <w:p w14:paraId="7980C883" w14:textId="2970E6A4"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t xml:space="preserve">Where,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ft</m:t>
            </m:r>
          </m:sub>
        </m:sSub>
      </m:oMath>
      <w:r w:rsidR="00860B08">
        <w:rPr>
          <w:rFonts w:ascii="Times New Roman" w:eastAsiaTheme="minorEastAsia" w:hAnsi="Times New Roman" w:cs="Times New Roman"/>
          <w:color w:val="222222"/>
          <w:sz w:val="24"/>
          <w:szCs w:val="20"/>
          <w:shd w:val="clear" w:color="auto" w:fill="FFFFFF"/>
        </w:rPr>
        <w:t xml:space="preserve"> is the risk-</w:t>
      </w:r>
      <w:r w:rsidRPr="00C03199">
        <w:rPr>
          <w:rFonts w:ascii="Times New Roman" w:eastAsiaTheme="minorEastAsia" w:hAnsi="Times New Roman" w:cs="Times New Roman"/>
          <w:color w:val="222222"/>
          <w:sz w:val="24"/>
          <w:szCs w:val="20"/>
          <w:shd w:val="clear" w:color="auto" w:fill="FFFFFF"/>
        </w:rPr>
        <w:t>free return at time t; for each targ</w:t>
      </w:r>
      <w:r w:rsidR="00860B08">
        <w:rPr>
          <w:rFonts w:ascii="Times New Roman" w:eastAsiaTheme="minorEastAsia" w:hAnsi="Times New Roman" w:cs="Times New Roman"/>
          <w:color w:val="222222"/>
          <w:sz w:val="24"/>
          <w:szCs w:val="20"/>
          <w:shd w:val="clear" w:color="auto" w:fill="FFFFFF"/>
        </w:rPr>
        <w:t>et firm, the corresponding risk-</w:t>
      </w:r>
      <w:r w:rsidRPr="00C03199">
        <w:rPr>
          <w:rFonts w:ascii="Times New Roman" w:eastAsiaTheme="minorEastAsia" w:hAnsi="Times New Roman" w:cs="Times New Roman"/>
          <w:color w:val="222222"/>
          <w:sz w:val="24"/>
          <w:szCs w:val="20"/>
          <w:shd w:val="clear" w:color="auto" w:fill="FFFFFF"/>
        </w:rPr>
        <w:t xml:space="preserve">free rate is </w:t>
      </w:r>
      <w:r w:rsidR="00D166DB">
        <w:rPr>
          <w:rFonts w:ascii="Times New Roman" w:eastAsiaTheme="minorEastAsia" w:hAnsi="Times New Roman" w:cs="Times New Roman"/>
          <w:color w:val="222222"/>
          <w:sz w:val="24"/>
          <w:szCs w:val="20"/>
          <w:shd w:val="clear" w:color="auto" w:fill="FFFFFF"/>
        </w:rPr>
        <w:t>equivalent</w:t>
      </w:r>
      <w:r w:rsidRPr="00C03199">
        <w:rPr>
          <w:rFonts w:ascii="Times New Roman" w:eastAsiaTheme="minorEastAsia" w:hAnsi="Times New Roman" w:cs="Times New Roman"/>
          <w:color w:val="222222"/>
          <w:sz w:val="24"/>
          <w:szCs w:val="20"/>
          <w:shd w:val="clear" w:color="auto" w:fill="FFFFFF"/>
        </w:rPr>
        <w:t xml:space="preserve"> to the interest rate of a one-year treasury bond in the target’s nation. The variable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m,t</m:t>
            </m:r>
          </m:sub>
        </m:sSub>
      </m:oMath>
      <w:r w:rsidRPr="00C03199">
        <w:rPr>
          <w:rFonts w:ascii="Times New Roman" w:eastAsiaTheme="minorEastAsia" w:hAnsi="Times New Roman" w:cs="Times New Roman"/>
          <w:color w:val="222222"/>
          <w:sz w:val="24"/>
          <w:szCs w:val="20"/>
          <w:shd w:val="clear" w:color="auto" w:fill="FFFFFF"/>
        </w:rPr>
        <w:t xml:space="preserve"> is the return on the index that the target’s firm listed on at time, t, and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P</m:t>
            </m:r>
          </m:e>
          <m:sub>
            <m:r>
              <w:rPr>
                <w:rFonts w:ascii="Cambria Math" w:hAnsi="Cambria Math" w:cs="Times New Roman"/>
                <w:color w:val="222222"/>
                <w:sz w:val="24"/>
                <w:szCs w:val="20"/>
                <w:shd w:val="clear" w:color="auto" w:fill="FFFFFF"/>
              </w:rPr>
              <m:t>m,t</m:t>
            </m:r>
          </m:sub>
        </m:sSub>
      </m:oMath>
      <w:r w:rsidRPr="00C03199">
        <w:rPr>
          <w:rFonts w:ascii="Times New Roman" w:eastAsiaTheme="minorEastAsia" w:hAnsi="Times New Roman" w:cs="Times New Roman"/>
          <w:color w:val="222222"/>
          <w:sz w:val="24"/>
          <w:szCs w:val="20"/>
          <w:shd w:val="clear" w:color="auto" w:fill="FFFFFF"/>
        </w:rPr>
        <w:t xml:space="preserve"> is the index price at time, t. Strong (1992) has elaborated that the theoretically correct market index for the CAPM model is a value-weighted index of the entire universe of capital assets; however, Roll (1977)  concluded that such index cannot be measured. Therefore, the standard procedure for selecting a market index will be applied, and for each target firm, an equally weighted index of all the country’s listed shares will be used as the market benchmark in both models (Dimson and Marsh, 1986). The regression coefficients,</w:t>
      </w:r>
      <m:oMath>
        <m:r>
          <w:rPr>
            <w:rFonts w:ascii="Cambria Math" w:hAnsi="Cambria Math" w:cs="Times New Roman"/>
            <w:color w:val="222222"/>
            <w:sz w:val="24"/>
            <w:szCs w:val="20"/>
            <w:shd w:val="clear" w:color="auto" w:fill="FFFFFF"/>
          </w:rPr>
          <m:t xml:space="preserve"> </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 xml:space="preserve"> </m:t>
        </m:r>
      </m:oMath>
      <w:r w:rsidR="00D166DB">
        <w:rPr>
          <w:rFonts w:ascii="Times New Roman" w:eastAsiaTheme="minorEastAsia" w:hAnsi="Times New Roman" w:cs="Times New Roman"/>
          <w:color w:val="222222"/>
          <w:sz w:val="24"/>
          <w:szCs w:val="20"/>
          <w:shd w:val="clear" w:color="auto" w:fill="FFFFFF"/>
        </w:rPr>
        <w:t>and</w:t>
      </w:r>
      <w:r w:rsidRPr="00C03199">
        <w:rPr>
          <w:rFonts w:ascii="Times New Roman" w:eastAsiaTheme="minorEastAsia" w:hAnsi="Times New Roman" w:cs="Times New Roman"/>
          <w:color w:val="222222"/>
          <w:sz w:val="24"/>
          <w:szCs w:val="20"/>
          <w:shd w:val="clear" w:color="auto" w:fill="FFFFFF"/>
        </w:rPr>
        <w:t xml:space="preserve">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α</m:t>
            </m:r>
          </m:e>
          <m:sub>
            <m:r>
              <w:rPr>
                <w:rFonts w:ascii="Cambria Math" w:hAnsi="Cambria Math" w:cs="Times New Roman"/>
                <w:color w:val="222222"/>
                <w:sz w:val="24"/>
                <w:szCs w:val="20"/>
                <w:shd w:val="clear" w:color="auto" w:fill="FFFFFF"/>
              </w:rPr>
              <m:t>i</m:t>
            </m:r>
          </m:sub>
        </m:sSub>
      </m:oMath>
      <w:r w:rsidRPr="00C03199">
        <w:rPr>
          <w:rFonts w:ascii="Times New Roman" w:eastAsiaTheme="minorEastAsia" w:hAnsi="Times New Roman" w:cs="Times New Roman"/>
          <w:color w:val="222222"/>
          <w:sz w:val="24"/>
          <w:szCs w:val="20"/>
          <w:shd w:val="clear" w:color="auto" w:fill="FFFFFF"/>
        </w:rPr>
        <w:t xml:space="preserve">, represent the </w:t>
      </w:r>
      <w:r w:rsidR="00D166DB">
        <w:rPr>
          <w:rFonts w:ascii="Times New Roman" w:eastAsiaTheme="minorEastAsia" w:hAnsi="Times New Roman" w:cs="Times New Roman"/>
          <w:color w:val="222222"/>
          <w:sz w:val="24"/>
          <w:szCs w:val="20"/>
          <w:shd w:val="clear" w:color="auto" w:fill="FFFFFF"/>
        </w:rPr>
        <w:t>slope and intercept</w:t>
      </w:r>
      <w:r w:rsidRPr="00C03199">
        <w:rPr>
          <w:rFonts w:ascii="Times New Roman" w:eastAsiaTheme="minorEastAsia" w:hAnsi="Times New Roman" w:cs="Times New Roman"/>
          <w:color w:val="222222"/>
          <w:sz w:val="24"/>
          <w:szCs w:val="20"/>
          <w:shd w:val="clear" w:color="auto" w:fill="FFFFFF"/>
        </w:rPr>
        <w:t xml:space="preserve">, respectively, of the regression line of firm, i. </w:t>
      </w:r>
      <m:oMath>
        <m:sSub>
          <m:sSubPr>
            <m:ctrlPr>
              <w:rPr>
                <w:rFonts w:ascii="Cambria Math" w:eastAsiaTheme="minorEastAsia" w:hAnsi="Cambria Math" w:cs="Times New Roman"/>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i</m:t>
            </m:r>
          </m:sub>
        </m:sSub>
      </m:oMath>
      <w:r w:rsidRPr="00C03199">
        <w:rPr>
          <w:rFonts w:ascii="Times New Roman" w:eastAsiaTheme="minorEastAsia" w:hAnsi="Times New Roman" w:cs="Times New Roman"/>
          <w:color w:val="222222"/>
          <w:sz w:val="24"/>
          <w:szCs w:val="20"/>
          <w:shd w:val="clear" w:color="auto" w:fill="FFFFFF"/>
        </w:rPr>
        <w:t xml:space="preserve"> refers to the systematic risk of target firm, i, in comparison to the unsystematic risk of the entire </w:t>
      </w:r>
      <w:r w:rsidRPr="00860B08">
        <w:rPr>
          <w:rFonts w:ascii="Times New Roman" w:eastAsiaTheme="minorEastAsia" w:hAnsi="Times New Roman" w:cs="Times New Roman"/>
          <w:sz w:val="24"/>
          <w:szCs w:val="20"/>
          <w:shd w:val="clear" w:color="auto" w:fill="FFFFFF"/>
        </w:rPr>
        <w:t xml:space="preserve">market (Investopedia, 2019). The error </w:t>
      </w:r>
      <w:r w:rsidRPr="00C03199">
        <w:rPr>
          <w:rFonts w:ascii="Times New Roman" w:eastAsiaTheme="minorEastAsia" w:hAnsi="Times New Roman" w:cs="Times New Roman"/>
          <w:color w:val="000000" w:themeColor="text1"/>
          <w:sz w:val="24"/>
          <w:szCs w:val="20"/>
          <w:shd w:val="clear" w:color="auto" w:fill="FFFFFF"/>
        </w:rPr>
        <w:t xml:space="preserve">term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ϵ</m:t>
            </m:r>
          </m:e>
          <m:sub>
            <m:r>
              <w:rPr>
                <w:rFonts w:ascii="Cambria Math" w:hAnsi="Cambria Math" w:cs="Times New Roman"/>
                <w:color w:val="222222"/>
                <w:sz w:val="24"/>
                <w:szCs w:val="20"/>
                <w:shd w:val="clear" w:color="auto" w:fill="FFFFFF"/>
              </w:rPr>
              <m:t>i,t</m:t>
            </m:r>
          </m:sub>
        </m:sSub>
      </m:oMath>
      <w:r w:rsidRPr="00C03199">
        <w:rPr>
          <w:rFonts w:ascii="Times New Roman" w:eastAsiaTheme="minorEastAsia" w:hAnsi="Times New Roman" w:cs="Times New Roman"/>
          <w:color w:val="222222"/>
          <w:sz w:val="24"/>
          <w:szCs w:val="20"/>
          <w:shd w:val="clear" w:color="auto" w:fill="FFFFFF"/>
        </w:rPr>
        <w:t xml:space="preserve"> is the estimated abnormal returns during the estimation period. Therefore</w:t>
      </w:r>
      <w:r w:rsidR="00860B08">
        <w:rPr>
          <w:rFonts w:ascii="Times New Roman" w:eastAsiaTheme="minorEastAsia" w:hAnsi="Times New Roman" w:cs="Times New Roman"/>
          <w:color w:val="222222"/>
          <w:sz w:val="24"/>
          <w:szCs w:val="20"/>
          <w:shd w:val="clear" w:color="auto" w:fill="FFFFFF"/>
        </w:rPr>
        <w:t>,</w:t>
      </w:r>
      <m:oMath>
        <m:r>
          <w:rPr>
            <w:rFonts w:ascii="Cambria Math" w:eastAsiaTheme="minorEastAsia" w:hAnsi="Cambria Math" w:cs="Times New Roman"/>
            <w:color w:val="222222"/>
            <w:sz w:val="24"/>
            <w:szCs w:val="20"/>
            <w:shd w:val="clear" w:color="auto" w:fill="FFFFFF"/>
          </w:rPr>
          <m:t xml:space="preserve"> </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oMath>
      <w:r w:rsidRPr="00C03199">
        <w:rPr>
          <w:rFonts w:ascii="Times New Roman" w:eastAsiaTheme="minorEastAsia" w:hAnsi="Times New Roman" w:cs="Times New Roman"/>
          <w:color w:val="222222"/>
          <w:sz w:val="24"/>
          <w:szCs w:val="20"/>
          <w:shd w:val="clear" w:color="auto" w:fill="FFFFFF"/>
        </w:rPr>
        <w:t xml:space="preserve"> is the target firm, i, normal return on its share calculated at time, t, based on the estimation period. </w:t>
      </w:r>
    </w:p>
    <w:p w14:paraId="2AF82716" w14:textId="77777777"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p>
    <w:p w14:paraId="5C994465" w14:textId="6F937D09" w:rsidR="007F4837" w:rsidRPr="00C03199" w:rsidRDefault="007C79C0" w:rsidP="007F4837">
      <w:pPr>
        <w:spacing w:after="120" w:line="360" w:lineRule="auto"/>
        <w:jc w:val="both"/>
        <w:rPr>
          <w:rFonts w:ascii="Times New Roman" w:eastAsiaTheme="minorEastAsia" w:hAnsi="Times New Roman" w:cs="Times New Roman"/>
          <w:i/>
          <w:color w:val="000000" w:themeColor="text1"/>
          <w:sz w:val="24"/>
          <w:szCs w:val="20"/>
          <w:shd w:val="clear" w:color="auto" w:fill="FFFFFF"/>
        </w:rPr>
      </w:pPr>
      <w:r>
        <w:rPr>
          <w:rFonts w:ascii="Times New Roman" w:eastAsiaTheme="minorEastAsia" w:hAnsi="Times New Roman" w:cs="Times New Roman"/>
          <w:i/>
          <w:color w:val="222222"/>
          <w:sz w:val="24"/>
          <w:szCs w:val="20"/>
          <w:shd w:val="clear" w:color="auto" w:fill="FFFFFF"/>
        </w:rPr>
        <w:t>4.1.2</w:t>
      </w:r>
      <w:r w:rsidR="007F4837" w:rsidRPr="00C03199">
        <w:rPr>
          <w:rFonts w:ascii="Times New Roman" w:eastAsiaTheme="minorEastAsia" w:hAnsi="Times New Roman" w:cs="Times New Roman"/>
          <w:i/>
          <w:color w:val="222222"/>
          <w:sz w:val="24"/>
          <w:szCs w:val="20"/>
          <w:shd w:val="clear" w:color="auto" w:fill="FFFFFF"/>
        </w:rPr>
        <w:t xml:space="preserve"> Calculating </w:t>
      </w:r>
      <w:r>
        <w:rPr>
          <w:rFonts w:ascii="Times New Roman" w:eastAsiaTheme="minorEastAsia" w:hAnsi="Times New Roman" w:cs="Times New Roman"/>
          <w:i/>
          <w:color w:val="222222"/>
          <w:sz w:val="24"/>
          <w:szCs w:val="20"/>
          <w:shd w:val="clear" w:color="auto" w:fill="FFFFFF"/>
        </w:rPr>
        <w:t xml:space="preserve">the </w:t>
      </w:r>
      <w:r w:rsidR="007F4837" w:rsidRPr="00C03199">
        <w:rPr>
          <w:rFonts w:ascii="Times New Roman" w:eastAsiaTheme="minorEastAsia" w:hAnsi="Times New Roman" w:cs="Times New Roman"/>
          <w:i/>
          <w:color w:val="222222"/>
          <w:sz w:val="24"/>
          <w:szCs w:val="20"/>
          <w:shd w:val="clear" w:color="auto" w:fill="FFFFFF"/>
        </w:rPr>
        <w:t xml:space="preserve">cumulative abnormal returns   </w:t>
      </w:r>
    </w:p>
    <w:p w14:paraId="7EE1CBCD" w14:textId="0668A037" w:rsidR="007F4837" w:rsidRPr="00C03199" w:rsidRDefault="007F4837" w:rsidP="007F4837">
      <w:pPr>
        <w:spacing w:after="0" w:line="360" w:lineRule="auto"/>
        <w:jc w:val="both"/>
        <w:rPr>
          <w:rFonts w:ascii="Times New Roman" w:hAnsi="Times New Roman" w:cs="Times New Roman"/>
          <w:color w:val="222222"/>
          <w:sz w:val="24"/>
          <w:szCs w:val="20"/>
          <w:shd w:val="clear" w:color="auto" w:fill="FFFFFF"/>
        </w:rPr>
      </w:pPr>
      <w:r w:rsidRPr="00C03199">
        <w:rPr>
          <w:rFonts w:ascii="Times New Roman" w:hAnsi="Times New Roman" w:cs="Times New Roman"/>
          <w:color w:val="222222"/>
          <w:sz w:val="24"/>
          <w:szCs w:val="20"/>
          <w:shd w:val="clear" w:color="auto" w:fill="FFFFFF"/>
        </w:rPr>
        <w:t>The abnormal returns are defined as the difference between the realized or actual returns,</w:t>
      </w:r>
      <w:r w:rsidR="00860B08">
        <w:rPr>
          <w:rFonts w:ascii="Times New Roman" w:eastAsiaTheme="minorEastAsia" w:hAnsi="Times New Roman" w:cs="Times New Roman"/>
          <w:color w:val="222222"/>
          <w:sz w:val="24"/>
          <w:szCs w:val="20"/>
          <w:shd w:val="clear" w:color="auto" w:fill="FFFFFF"/>
        </w:rPr>
        <w:t xml:space="preserve">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oMath>
      <w:r w:rsidRPr="00C03199">
        <w:rPr>
          <w:rFonts w:ascii="Times New Roman" w:hAnsi="Times New Roman" w:cs="Times New Roman"/>
          <w:color w:val="222222"/>
          <w:sz w:val="24"/>
          <w:szCs w:val="20"/>
          <w:shd w:val="clear" w:color="auto" w:fill="FFFFFF"/>
        </w:rPr>
        <w:t xml:space="preserve"> and the expected or normal returns</w:t>
      </w:r>
      <w:r w:rsidR="00860B08" w:rsidRPr="00C03199">
        <w:rPr>
          <w:rFonts w:ascii="Times New Roman" w:hAnsi="Times New Roman" w:cs="Times New Roman"/>
          <w:color w:val="222222"/>
          <w:sz w:val="24"/>
          <w:szCs w:val="20"/>
          <w:shd w:val="clear" w:color="auto" w:fill="FFFFFF"/>
        </w:rPr>
        <w:t>,</w:t>
      </w:r>
      <w:r w:rsidR="00860B08">
        <w:rPr>
          <w:rFonts w:ascii="Times New Roman" w:eastAsiaTheme="minorEastAsia" w:hAnsi="Times New Roman" w:cs="Times New Roman"/>
          <w:color w:val="222222"/>
          <w:sz w:val="24"/>
          <w:szCs w:val="20"/>
          <w:shd w:val="clear" w:color="auto" w:fill="FFFFFF"/>
        </w:rPr>
        <w:t xml:space="preserve">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oMath>
      <w:r w:rsidRPr="00C03199">
        <w:rPr>
          <w:rFonts w:ascii="Times New Roman" w:hAnsi="Times New Roman" w:cs="Times New Roman"/>
          <w:color w:val="222222"/>
          <w:sz w:val="24"/>
          <w:szCs w:val="20"/>
          <w:shd w:val="clear" w:color="auto" w:fill="FFFFFF"/>
        </w:rPr>
        <w:t xml:space="preserve"> at time, t, for firm, i, and it can be specified as follow: </w:t>
      </w:r>
    </w:p>
    <w:p w14:paraId="37547401" w14:textId="77777777" w:rsidR="007F4837" w:rsidRPr="00C03199" w:rsidRDefault="007F4837" w:rsidP="007F4837">
      <w:pPr>
        <w:spacing w:after="0" w:line="360" w:lineRule="auto"/>
        <w:jc w:val="both"/>
        <w:rPr>
          <w:rFonts w:ascii="Times New Roman" w:hAnsi="Times New Roman" w:cs="Times New Roman"/>
          <w:color w:val="222222"/>
          <w:sz w:val="24"/>
          <w:szCs w:val="20"/>
          <w:shd w:val="clear" w:color="auto" w:fill="FFFFFF"/>
        </w:rPr>
      </w:pPr>
    </w:p>
    <w:p w14:paraId="3DF32002" w14:textId="77777777"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hAnsi="Times New Roman" w:cs="Times New Roman"/>
          <w:color w:val="222222"/>
          <w:sz w:val="24"/>
          <w:szCs w:val="20"/>
          <w:shd w:val="clear" w:color="auto" w:fill="FFFFFF"/>
        </w:rPr>
        <w:tab/>
      </w:r>
      <w:r w:rsidRPr="00C03199">
        <w:rPr>
          <w:rFonts w:ascii="Times New Roman" w:hAnsi="Times New Roman" w:cs="Times New Roman"/>
          <w:color w:val="222222"/>
          <w:sz w:val="24"/>
          <w:szCs w:val="20"/>
          <w:shd w:val="clear" w:color="auto" w:fill="FFFFFF"/>
        </w:rPr>
        <w:tab/>
        <w:t>Abnormal Return:</w:t>
      </w:r>
      <w:r w:rsidRPr="00C03199">
        <w:rPr>
          <w:rFonts w:ascii="Times New Roman" w:hAnsi="Times New Roman" w:cs="Times New Roman"/>
          <w:color w:val="222222"/>
          <w:sz w:val="24"/>
          <w:szCs w:val="20"/>
          <w:shd w:val="clear" w:color="auto" w:fill="FFFFFF"/>
        </w:rPr>
        <w:tab/>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 </m:t>
            </m:r>
          </m:sub>
        </m:sSub>
        <m:r>
          <w:rPr>
            <w:rFonts w:ascii="Cambria Math" w:hAnsi="Cambria Math" w:cs="Times New Roman"/>
            <w:color w:val="222222"/>
            <w:sz w:val="24"/>
            <w:szCs w:val="20"/>
            <w:shd w:val="clear" w:color="auto" w:fill="FFFFFF"/>
          </w:rPr>
          <m:t xml:space="preserve">= </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r>
          <w:rPr>
            <w:rFonts w:ascii="Cambria Math" w:hAnsi="Cambria Math" w:cs="Times New Roman"/>
            <w:color w:val="222222"/>
            <w:sz w:val="24"/>
            <w:szCs w:val="20"/>
            <w:shd w:val="clear" w:color="auto" w:fill="FFFFFF"/>
          </w:rPr>
          <m:t>-E</m:t>
        </m:r>
        <m:d>
          <m:dPr>
            <m:endChr m:val="|"/>
            <m:ctrlPr>
              <w:rPr>
                <w:rFonts w:ascii="Cambria Math" w:hAnsi="Cambria Math" w:cs="Times New Roman"/>
                <w:i/>
                <w:color w:val="222222"/>
                <w:sz w:val="24"/>
                <w:szCs w:val="20"/>
                <w:shd w:val="clear" w:color="auto" w:fill="FFFFFF"/>
              </w:rPr>
            </m:ctrlPr>
          </m:dPr>
          <m:e>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e>
        </m:d>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X</m:t>
            </m:r>
          </m:e>
          <m:sub>
            <m:r>
              <w:rPr>
                <w:rFonts w:ascii="Cambria Math" w:hAnsi="Cambria Math" w:cs="Times New Roman"/>
                <w:color w:val="222222"/>
                <w:sz w:val="24"/>
                <w:szCs w:val="20"/>
                <w:shd w:val="clear" w:color="auto" w:fill="FFFFFF"/>
              </w:rPr>
              <m:t>t</m:t>
            </m:r>
          </m:sub>
        </m:sSub>
        <m:r>
          <w:rPr>
            <w:rFonts w:ascii="Cambria Math" w:hAnsi="Cambria Math" w:cs="Times New Roman"/>
            <w:color w:val="222222"/>
            <w:sz w:val="24"/>
            <w:szCs w:val="20"/>
            <w:shd w:val="clear" w:color="auto" w:fill="FFFFFF"/>
          </w:rPr>
          <m:t>)</m:t>
        </m:r>
      </m:oMath>
    </w:p>
    <w:p w14:paraId="331FB7CE" w14:textId="77777777" w:rsidR="007F4837" w:rsidRPr="00C03199" w:rsidRDefault="007F4837" w:rsidP="007F4837">
      <w:pPr>
        <w:spacing w:after="0" w:line="360" w:lineRule="auto"/>
        <w:jc w:val="both"/>
        <w:rPr>
          <w:rFonts w:ascii="Times New Roman" w:hAnsi="Times New Roman" w:cs="Times New Roman"/>
          <w:color w:val="222222"/>
          <w:sz w:val="24"/>
          <w:szCs w:val="20"/>
          <w:shd w:val="clear" w:color="auto" w:fill="FFFFFF"/>
        </w:rPr>
      </w:pPr>
    </w:p>
    <w:p w14:paraId="62DB33D3" w14:textId="1E583BFA"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hAnsi="Times New Roman" w:cs="Times New Roman"/>
          <w:sz w:val="24"/>
        </w:rPr>
        <w:t>Where the expected normal return,</w:t>
      </w:r>
      <w:r w:rsidR="00860B08">
        <w:rPr>
          <w:rFonts w:ascii="Times New Roman" w:eastAsiaTheme="minorEastAsia" w:hAnsi="Times New Roman" w:cs="Times New Roman"/>
          <w:sz w:val="24"/>
        </w:rPr>
        <w:t xml:space="preserve"> </w:t>
      </w:r>
      <m:oMath>
        <m:r>
          <w:rPr>
            <w:rFonts w:ascii="Cambria Math" w:hAnsi="Cambria Math" w:cs="Times New Roman"/>
            <w:color w:val="222222"/>
            <w:sz w:val="24"/>
            <w:szCs w:val="20"/>
            <w:shd w:val="clear" w:color="auto" w:fill="FFFFFF"/>
          </w:rPr>
          <m:t>E</m:t>
        </m:r>
        <m:d>
          <m:dPr>
            <m:endChr m:val="|"/>
            <m:ctrlPr>
              <w:rPr>
                <w:rFonts w:ascii="Cambria Math" w:hAnsi="Cambria Math" w:cs="Times New Roman"/>
                <w:i/>
                <w:color w:val="222222"/>
                <w:sz w:val="24"/>
                <w:szCs w:val="20"/>
                <w:shd w:val="clear" w:color="auto" w:fill="FFFFFF"/>
              </w:rPr>
            </m:ctrlPr>
          </m:dPr>
          <m:e>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e>
        </m:d>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X</m:t>
            </m:r>
          </m:e>
          <m:sub>
            <m:r>
              <w:rPr>
                <w:rFonts w:ascii="Cambria Math" w:hAnsi="Cambria Math" w:cs="Times New Roman"/>
                <w:color w:val="222222"/>
                <w:sz w:val="24"/>
                <w:szCs w:val="20"/>
                <w:shd w:val="clear" w:color="auto" w:fill="FFFFFF"/>
              </w:rPr>
              <m:t>t</m:t>
            </m:r>
          </m:sub>
        </m:sSub>
        <m:r>
          <w:rPr>
            <w:rFonts w:ascii="Cambria Math" w:hAnsi="Cambria Math" w:cs="Times New Roman"/>
            <w:color w:val="222222"/>
            <w:sz w:val="24"/>
            <w:szCs w:val="20"/>
            <w:shd w:val="clear" w:color="auto" w:fill="FFFFFF"/>
          </w:rPr>
          <m:t>)</m:t>
        </m:r>
      </m:oMath>
      <w:r w:rsidRPr="00C03199">
        <w:rPr>
          <w:rFonts w:ascii="Times New Roman" w:eastAsiaTheme="minorEastAsia" w:hAnsi="Times New Roman" w:cs="Times New Roman"/>
          <w:color w:val="222222"/>
          <w:sz w:val="24"/>
          <w:szCs w:val="20"/>
          <w:shd w:val="clear" w:color="auto" w:fill="FFFFFF"/>
        </w:rPr>
        <w:t>, can be replaced by the return generated from the MM or CAPM</w:t>
      </w:r>
      <w:r w:rsidR="00860B08">
        <w:rPr>
          <w:rFonts w:ascii="Times New Roman" w:eastAsiaTheme="minorEastAsia" w:hAnsi="Times New Roman" w:cs="Times New Roman"/>
          <w:color w:val="222222"/>
          <w:sz w:val="24"/>
          <w:szCs w:val="20"/>
          <w:shd w:val="clear" w:color="auto" w:fill="FFFFFF"/>
        </w:rPr>
        <w:t>,</w:t>
      </w:r>
      <w:r w:rsidRPr="00C03199">
        <w:rPr>
          <w:rFonts w:ascii="Times New Roman" w:eastAsiaTheme="minorEastAsia" w:hAnsi="Times New Roman" w:cs="Times New Roman"/>
          <w:color w:val="222222"/>
          <w:sz w:val="24"/>
          <w:szCs w:val="20"/>
          <w:shd w:val="clear" w:color="auto" w:fill="FFFFFF"/>
        </w:rPr>
        <w:t xml:space="preserve"> given firm, i, at time, t.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oMath>
      <w:r w:rsidRPr="00C03199">
        <w:rPr>
          <w:rFonts w:ascii="Times New Roman" w:eastAsiaTheme="minorEastAsia" w:hAnsi="Times New Roman" w:cs="Times New Roman"/>
          <w:color w:val="222222"/>
          <w:sz w:val="24"/>
          <w:szCs w:val="20"/>
          <w:shd w:val="clear" w:color="auto" w:fill="FFFFFF"/>
        </w:rPr>
        <w:t xml:space="preserve"> i</w:t>
      </w:r>
      <w:r w:rsidR="00860B08">
        <w:rPr>
          <w:rFonts w:ascii="Times New Roman" w:eastAsiaTheme="minorEastAsia" w:hAnsi="Times New Roman" w:cs="Times New Roman"/>
          <w:color w:val="222222"/>
          <w:sz w:val="24"/>
          <w:szCs w:val="20"/>
          <w:shd w:val="clear" w:color="auto" w:fill="FFFFFF"/>
        </w:rPr>
        <w:t xml:space="preserve">s the realized stock return of </w:t>
      </w:r>
      <w:r w:rsidRPr="00C03199">
        <w:rPr>
          <w:rFonts w:ascii="Times New Roman" w:eastAsiaTheme="minorEastAsia" w:hAnsi="Times New Roman" w:cs="Times New Roman"/>
          <w:color w:val="222222"/>
          <w:sz w:val="24"/>
          <w:szCs w:val="20"/>
          <w:shd w:val="clear" w:color="auto" w:fill="FFFFFF"/>
        </w:rPr>
        <w:t xml:space="preserve">firm, i, at time, t, and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 </m:t>
            </m:r>
          </m:sub>
        </m:sSub>
      </m:oMath>
      <w:r w:rsidRPr="00C03199">
        <w:rPr>
          <w:rFonts w:ascii="Times New Roman" w:eastAsiaTheme="minorEastAsia" w:hAnsi="Times New Roman" w:cs="Times New Roman"/>
          <w:color w:val="222222"/>
          <w:sz w:val="24"/>
          <w:szCs w:val="20"/>
          <w:shd w:val="clear" w:color="auto" w:fill="FFFFFF"/>
        </w:rPr>
        <w:t xml:space="preserve">is the abnormal return for firm, i, at time, t. The realized return on a share is calculated, as presented below, where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P</m:t>
            </m:r>
          </m:e>
          <m:sub>
            <m:r>
              <w:rPr>
                <w:rFonts w:ascii="Cambria Math" w:hAnsi="Cambria Math" w:cs="Times New Roman"/>
                <w:color w:val="222222"/>
                <w:sz w:val="24"/>
                <w:szCs w:val="20"/>
                <w:shd w:val="clear" w:color="auto" w:fill="FFFFFF"/>
              </w:rPr>
              <m:t xml:space="preserve">i,t </m:t>
            </m:r>
          </m:sub>
        </m:sSub>
      </m:oMath>
      <w:r w:rsidRPr="00C03199">
        <w:rPr>
          <w:rFonts w:ascii="Times New Roman" w:eastAsiaTheme="minorEastAsia" w:hAnsi="Times New Roman" w:cs="Times New Roman"/>
          <w:color w:val="222222"/>
          <w:sz w:val="24"/>
          <w:szCs w:val="20"/>
          <w:shd w:val="clear" w:color="auto" w:fill="FFFFFF"/>
        </w:rPr>
        <w:t xml:space="preserve">is the </w:t>
      </w:r>
      <w:r w:rsidR="00D166DB">
        <w:rPr>
          <w:rFonts w:ascii="Times New Roman" w:eastAsiaTheme="minorEastAsia" w:hAnsi="Times New Roman" w:cs="Times New Roman"/>
          <w:color w:val="222222"/>
          <w:sz w:val="24"/>
          <w:szCs w:val="20"/>
          <w:shd w:val="clear" w:color="auto" w:fill="FFFFFF"/>
        </w:rPr>
        <w:t xml:space="preserve">price of the share </w:t>
      </w:r>
      <w:r w:rsidRPr="00C03199">
        <w:rPr>
          <w:rFonts w:ascii="Times New Roman" w:eastAsiaTheme="minorEastAsia" w:hAnsi="Times New Roman" w:cs="Times New Roman"/>
          <w:color w:val="222222"/>
          <w:sz w:val="24"/>
          <w:szCs w:val="20"/>
          <w:shd w:val="clear" w:color="auto" w:fill="FFFFFF"/>
        </w:rPr>
        <w:t xml:space="preserve">at time t and D is </w:t>
      </w:r>
      <w:r w:rsidR="00D166DB">
        <w:rPr>
          <w:rFonts w:ascii="Times New Roman" w:eastAsiaTheme="minorEastAsia" w:hAnsi="Times New Roman" w:cs="Times New Roman"/>
          <w:color w:val="222222"/>
          <w:sz w:val="24"/>
          <w:szCs w:val="20"/>
          <w:shd w:val="clear" w:color="auto" w:fill="FFFFFF"/>
        </w:rPr>
        <w:t>the dividends</w:t>
      </w:r>
      <w:r w:rsidRPr="00C03199">
        <w:rPr>
          <w:rFonts w:ascii="Times New Roman" w:eastAsiaTheme="minorEastAsia" w:hAnsi="Times New Roman" w:cs="Times New Roman"/>
          <w:color w:val="222222"/>
          <w:sz w:val="24"/>
          <w:szCs w:val="20"/>
          <w:shd w:val="clear" w:color="auto" w:fill="FFFFFF"/>
        </w:rPr>
        <w:t xml:space="preserve">. </w:t>
      </w:r>
    </w:p>
    <w:p w14:paraId="0E600544" w14:textId="77777777"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p>
    <w:p w14:paraId="1875C8AD" w14:textId="279B2522"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lastRenderedPageBreak/>
        <w:tab/>
      </w:r>
      <w:r w:rsidRPr="00C03199">
        <w:rPr>
          <w:rFonts w:ascii="Times New Roman" w:eastAsiaTheme="minorEastAsia" w:hAnsi="Times New Roman" w:cs="Times New Roman"/>
          <w:color w:val="222222"/>
          <w:sz w:val="24"/>
          <w:szCs w:val="20"/>
          <w:shd w:val="clear" w:color="auto" w:fill="FFFFFF"/>
        </w:rPr>
        <w:tab/>
        <w:t xml:space="preserve">Stock Return: </w:t>
      </w:r>
      <w:r w:rsidRPr="00C03199">
        <w:rPr>
          <w:rFonts w:ascii="Times New Roman" w:eastAsiaTheme="minorEastAsia" w:hAnsi="Times New Roman" w:cs="Times New Roman"/>
          <w:color w:val="222222"/>
          <w:sz w:val="24"/>
          <w:szCs w:val="20"/>
          <w:shd w:val="clear" w:color="auto" w:fill="FFFFFF"/>
        </w:rPr>
        <w:tab/>
      </w:r>
      <w:r w:rsidRPr="00C03199">
        <w:rPr>
          <w:rFonts w:ascii="Times New Roman" w:eastAsiaTheme="minorEastAsia" w:hAnsi="Times New Roman" w:cs="Times New Roman"/>
          <w:color w:val="222222"/>
          <w:sz w:val="24"/>
          <w:szCs w:val="20"/>
          <w:shd w:val="clear" w:color="auto" w:fill="FFFFFF"/>
        </w:rPr>
        <w:tab/>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R</m:t>
            </m:r>
          </m:e>
          <m:sub>
            <m:r>
              <w:rPr>
                <w:rFonts w:ascii="Cambria Math" w:hAnsi="Cambria Math" w:cs="Times New Roman"/>
                <w:color w:val="222222"/>
                <w:sz w:val="24"/>
                <w:szCs w:val="20"/>
                <w:shd w:val="clear" w:color="auto" w:fill="FFFFFF"/>
              </w:rPr>
              <m:t>it</m:t>
            </m:r>
          </m:sub>
        </m:sSub>
        <m:r>
          <w:rPr>
            <w:rFonts w:ascii="Cambria Math" w:hAnsi="Cambria Math" w:cs="Times New Roman"/>
            <w:color w:val="222222"/>
            <w:sz w:val="24"/>
            <w:szCs w:val="20"/>
            <w:shd w:val="clear" w:color="auto" w:fill="FFFFFF"/>
          </w:rPr>
          <m:t xml:space="preserve">= </m:t>
        </m:r>
        <m:f>
          <m:fPr>
            <m:ctrlPr>
              <w:rPr>
                <w:rFonts w:ascii="Cambria Math" w:hAnsi="Cambria Math" w:cs="Times New Roman"/>
                <w:i/>
                <w:color w:val="222222"/>
                <w:sz w:val="24"/>
                <w:szCs w:val="20"/>
                <w:shd w:val="clear" w:color="auto" w:fill="FFFFFF"/>
              </w:rPr>
            </m:ctrlPr>
          </m:fPr>
          <m:num>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(P</m:t>
                </m:r>
              </m:e>
              <m:sub>
                <m:r>
                  <w:rPr>
                    <w:rFonts w:ascii="Cambria Math" w:hAnsi="Cambria Math" w:cs="Times New Roman"/>
                    <w:color w:val="222222"/>
                    <w:sz w:val="24"/>
                    <w:szCs w:val="20"/>
                    <w:shd w:val="clear" w:color="auto" w:fill="FFFFFF"/>
                  </w:rPr>
                  <m:t xml:space="preserve">i,t </m:t>
                </m:r>
              </m:sub>
            </m:sSub>
            <m:r>
              <w:rPr>
                <w:rFonts w:ascii="Cambria Math" w:hAnsi="Cambria Math" w:cs="Times New Roman"/>
                <w:color w:val="222222"/>
                <w:sz w:val="24"/>
                <w:szCs w:val="20"/>
                <w:shd w:val="clear" w:color="auto" w:fill="FFFFFF"/>
              </w:rPr>
              <m:t>+</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D</m:t>
                </m:r>
              </m:e>
              <m:sub>
                <m:r>
                  <w:rPr>
                    <w:rFonts w:ascii="Cambria Math" w:hAnsi="Cambria Math" w:cs="Times New Roman"/>
                    <w:color w:val="222222"/>
                    <w:sz w:val="24"/>
                    <w:szCs w:val="20"/>
                    <w:shd w:val="clear" w:color="auto" w:fill="FFFFFF"/>
                  </w:rPr>
                  <m:t>i,t</m:t>
                </m:r>
              </m:sub>
            </m:sSub>
            <m:r>
              <w:rPr>
                <w:rFonts w:ascii="Cambria Math" w:hAnsi="Cambria Math" w:cs="Times New Roman"/>
                <w:color w:val="222222"/>
                <w:sz w:val="24"/>
                <w:szCs w:val="20"/>
                <w:shd w:val="clear" w:color="auto" w:fill="FFFFFF"/>
              </w:rPr>
              <m:t>)</m:t>
            </m:r>
          </m:num>
          <m:den>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P</m:t>
                </m:r>
              </m:e>
              <m:sub>
                <m:r>
                  <w:rPr>
                    <w:rFonts w:ascii="Cambria Math" w:hAnsi="Cambria Math" w:cs="Times New Roman"/>
                    <w:color w:val="222222"/>
                    <w:sz w:val="24"/>
                    <w:szCs w:val="20"/>
                    <w:shd w:val="clear" w:color="auto" w:fill="FFFFFF"/>
                  </w:rPr>
                  <m:t>i,t-1</m:t>
                </m:r>
              </m:sub>
            </m:sSub>
          </m:den>
        </m:f>
      </m:oMath>
    </w:p>
    <w:p w14:paraId="37B34286" w14:textId="77777777"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p>
    <w:p w14:paraId="79A05DF9" w14:textId="766FA179" w:rsidR="007F4837" w:rsidRPr="00C03199" w:rsidRDefault="00D166DB" w:rsidP="007F4837">
      <w:pPr>
        <w:spacing w:after="0" w:line="360" w:lineRule="auto"/>
        <w:ind w:firstLine="284"/>
        <w:jc w:val="both"/>
        <w:rPr>
          <w:rFonts w:ascii="Times New Roman" w:eastAsiaTheme="minorEastAsia" w:hAnsi="Times New Roman" w:cs="Times New Roman"/>
          <w:color w:val="222222"/>
          <w:sz w:val="24"/>
          <w:szCs w:val="20"/>
          <w:shd w:val="clear" w:color="auto" w:fill="FFFFFF"/>
        </w:rPr>
      </w:pPr>
      <w:r w:rsidRPr="00D166DB">
        <w:rPr>
          <w:rFonts w:ascii="Times New Roman" w:eastAsiaTheme="minorEastAsia" w:hAnsi="Times New Roman" w:cs="Times New Roman"/>
          <w:color w:val="222222"/>
          <w:sz w:val="24"/>
          <w:szCs w:val="20"/>
          <w:shd w:val="clear" w:color="auto" w:fill="FFFFFF"/>
        </w:rPr>
        <w:t>The average abnormal return for target companies in domestic and cross-border deals is calculated for each month in the fir</w:t>
      </w:r>
      <w:r>
        <w:rPr>
          <w:rFonts w:ascii="Times New Roman" w:eastAsiaTheme="minorEastAsia" w:hAnsi="Times New Roman" w:cs="Times New Roman"/>
          <w:color w:val="222222"/>
          <w:sz w:val="24"/>
          <w:szCs w:val="20"/>
          <w:shd w:val="clear" w:color="auto" w:fill="FFFFFF"/>
        </w:rPr>
        <w:t>st event window, as shown below</w:t>
      </w:r>
      <w:r w:rsidR="007F4837" w:rsidRPr="00C03199">
        <w:rPr>
          <w:rFonts w:ascii="Times New Roman" w:eastAsiaTheme="minorEastAsia" w:hAnsi="Times New Roman" w:cs="Times New Roman"/>
          <w:color w:val="222222"/>
          <w:sz w:val="24"/>
          <w:szCs w:val="20"/>
          <w:shd w:val="clear" w:color="auto" w:fill="FFFFFF"/>
        </w:rPr>
        <w:t xml:space="preserve">. For the second event window, the cumulative abnormal returns, which is the summation of abnormal returns for </w:t>
      </w:r>
      <w:r w:rsidR="006214C4">
        <w:rPr>
          <w:rFonts w:ascii="Times New Roman" w:eastAsiaTheme="minorEastAsia" w:hAnsi="Times New Roman" w:cs="Times New Roman"/>
          <w:color w:val="222222"/>
          <w:sz w:val="24"/>
          <w:szCs w:val="20"/>
          <w:shd w:val="clear" w:color="auto" w:fill="FFFFFF"/>
        </w:rPr>
        <w:t xml:space="preserve">the </w:t>
      </w:r>
      <w:r w:rsidR="007F4837" w:rsidRPr="00C03199">
        <w:rPr>
          <w:rFonts w:ascii="Times New Roman" w:eastAsiaTheme="minorEastAsia" w:hAnsi="Times New Roman" w:cs="Times New Roman"/>
          <w:color w:val="222222"/>
          <w:sz w:val="24"/>
          <w:szCs w:val="20"/>
          <w:shd w:val="clear" w:color="auto" w:fill="FFFFFF"/>
        </w:rPr>
        <w:t xml:space="preserve">time period T1 to T2, </w:t>
      </w:r>
      <w:r w:rsidR="003A074D">
        <w:rPr>
          <w:rFonts w:ascii="Times New Roman" w:eastAsiaTheme="minorEastAsia" w:hAnsi="Times New Roman" w:cs="Times New Roman"/>
          <w:color w:val="222222"/>
          <w:sz w:val="24"/>
          <w:szCs w:val="20"/>
          <w:shd w:val="clear" w:color="auto" w:fill="FFFFFF"/>
        </w:rPr>
        <w:t>is</w:t>
      </w:r>
      <w:r w:rsidR="007F4837" w:rsidRPr="00C03199">
        <w:rPr>
          <w:rFonts w:ascii="Times New Roman" w:eastAsiaTheme="minorEastAsia" w:hAnsi="Times New Roman" w:cs="Times New Roman"/>
          <w:color w:val="222222"/>
          <w:sz w:val="24"/>
          <w:szCs w:val="20"/>
          <w:shd w:val="clear" w:color="auto" w:fill="FFFFFF"/>
        </w:rPr>
        <w:t xml:space="preserve"> be calculated as follow for firm, i, for the time period T1 to T2:  </w:t>
      </w:r>
    </w:p>
    <w:p w14:paraId="18422474" w14:textId="77777777" w:rsidR="007F4837" w:rsidRPr="00C03199" w:rsidRDefault="007F4837" w:rsidP="007F4837">
      <w:pPr>
        <w:spacing w:after="0" w:line="360" w:lineRule="auto"/>
        <w:ind w:firstLine="284"/>
        <w:jc w:val="both"/>
        <w:rPr>
          <w:rFonts w:ascii="Times New Roman" w:eastAsiaTheme="minorEastAsia" w:hAnsi="Times New Roman" w:cs="Times New Roman"/>
          <w:color w:val="222222"/>
          <w:sz w:val="24"/>
          <w:szCs w:val="20"/>
          <w:shd w:val="clear" w:color="auto" w:fill="FFFFFF"/>
        </w:rPr>
      </w:pPr>
    </w:p>
    <w:p w14:paraId="3C7D2785" w14:textId="77777777" w:rsidR="007F4837" w:rsidRPr="00C03199" w:rsidRDefault="007F4837" w:rsidP="007F4837">
      <w:pPr>
        <w:spacing w:after="0" w:line="360" w:lineRule="auto"/>
        <w:ind w:firstLine="284"/>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tab/>
        <w:t>Average Abnormal Return:</w:t>
      </w:r>
      <w:r w:rsidRPr="00C03199">
        <w:rPr>
          <w:rFonts w:ascii="Times New Roman" w:eastAsiaTheme="minorEastAsia" w:hAnsi="Times New Roman" w:cs="Times New Roman"/>
          <w:color w:val="222222"/>
          <w:sz w:val="24"/>
          <w:szCs w:val="20"/>
          <w:shd w:val="clear" w:color="auto" w:fill="FFFFFF"/>
        </w:rPr>
        <w:tab/>
      </w:r>
      <w:r w:rsidRPr="00C03199">
        <w:rPr>
          <w:rFonts w:ascii="Times New Roman" w:eastAsiaTheme="minorEastAsia" w:hAnsi="Times New Roman" w:cs="Times New Roman"/>
          <w:color w:val="222222"/>
          <w:sz w:val="24"/>
          <w:szCs w:val="20"/>
          <w:shd w:val="clear" w:color="auto" w:fill="FFFFFF"/>
        </w:rPr>
        <w:tab/>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AAR</m:t>
            </m:r>
          </m:e>
          <m:sub>
            <m:r>
              <w:rPr>
                <w:rFonts w:ascii="Cambria Math" w:hAnsi="Cambria Math" w:cs="Times New Roman"/>
                <w:color w:val="222222"/>
                <w:sz w:val="24"/>
                <w:szCs w:val="20"/>
                <w:shd w:val="clear" w:color="auto" w:fill="FFFFFF"/>
              </w:rPr>
              <m:t xml:space="preserve">s,t </m:t>
            </m:r>
          </m:sub>
        </m:sSub>
        <m:r>
          <w:rPr>
            <w:rFonts w:ascii="Cambria Math" w:hAnsi="Cambria Math" w:cs="Times New Roman"/>
            <w:color w:val="222222"/>
            <w:sz w:val="24"/>
            <w:szCs w:val="20"/>
            <w:shd w:val="clear" w:color="auto" w:fill="FFFFFF"/>
          </w:rPr>
          <m:t>=</m:t>
        </m:r>
        <m:f>
          <m:fPr>
            <m:ctrlPr>
              <w:rPr>
                <w:rFonts w:ascii="Cambria Math" w:hAnsi="Cambria Math" w:cs="Times New Roman"/>
                <w:i/>
                <w:color w:val="222222"/>
                <w:sz w:val="24"/>
                <w:szCs w:val="20"/>
                <w:shd w:val="clear" w:color="auto" w:fill="FFFFFF"/>
              </w:rPr>
            </m:ctrlPr>
          </m:fPr>
          <m:num>
            <m:r>
              <w:rPr>
                <w:rFonts w:ascii="Cambria Math" w:hAnsi="Cambria Math" w:cs="Times New Roman"/>
                <w:color w:val="222222"/>
                <w:sz w:val="24"/>
                <w:szCs w:val="20"/>
                <w:shd w:val="clear" w:color="auto" w:fill="FFFFFF"/>
              </w:rPr>
              <m:t>1</m:t>
            </m:r>
          </m:num>
          <m:den>
            <m:r>
              <w:rPr>
                <w:rFonts w:ascii="Cambria Math" w:hAnsi="Cambria Math" w:cs="Times New Roman"/>
                <w:color w:val="222222"/>
                <w:sz w:val="24"/>
                <w:szCs w:val="20"/>
                <w:shd w:val="clear" w:color="auto" w:fill="FFFFFF"/>
              </w:rPr>
              <m:t>N</m:t>
            </m:r>
          </m:den>
        </m:f>
        <m:nary>
          <m:naryPr>
            <m:chr m:val="∑"/>
            <m:limLoc m:val="undOvr"/>
            <m:ctrlPr>
              <w:rPr>
                <w:rFonts w:ascii="Cambria Math" w:hAnsi="Cambria Math" w:cs="Times New Roman"/>
                <w:i/>
                <w:color w:val="222222"/>
                <w:sz w:val="24"/>
                <w:szCs w:val="20"/>
                <w:shd w:val="clear" w:color="auto" w:fill="FFFFFF"/>
              </w:rPr>
            </m:ctrlPr>
          </m:naryPr>
          <m:sub>
            <m:r>
              <w:rPr>
                <w:rFonts w:ascii="Cambria Math" w:hAnsi="Cambria Math" w:cs="Times New Roman"/>
                <w:color w:val="222222"/>
                <w:sz w:val="24"/>
                <w:szCs w:val="20"/>
                <w:shd w:val="clear" w:color="auto" w:fill="FFFFFF"/>
              </w:rPr>
              <m:t>i=1</m:t>
            </m:r>
          </m:sub>
          <m:sup>
            <m:r>
              <w:rPr>
                <w:rFonts w:ascii="Cambria Math" w:hAnsi="Cambria Math" w:cs="Times New Roman"/>
                <w:color w:val="222222"/>
                <w:sz w:val="24"/>
                <w:szCs w:val="20"/>
                <w:shd w:val="clear" w:color="auto" w:fill="FFFFFF"/>
              </w:rPr>
              <m:t>N</m:t>
            </m:r>
          </m:sup>
          <m:e>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 </m:t>
                </m:r>
              </m:sub>
            </m:sSub>
          </m:e>
        </m:nary>
        <m:r>
          <w:rPr>
            <w:rFonts w:ascii="Cambria Math" w:hAnsi="Cambria Math" w:cs="Times New Roman"/>
            <w:color w:val="222222"/>
            <w:sz w:val="24"/>
            <w:szCs w:val="20"/>
            <w:shd w:val="clear" w:color="auto" w:fill="FFFFFF"/>
          </w:rPr>
          <m:t xml:space="preserve"> </m:t>
        </m:r>
      </m:oMath>
    </w:p>
    <w:p w14:paraId="2861E7B1" w14:textId="77777777" w:rsidR="007F4837" w:rsidRPr="00C03199" w:rsidRDefault="007F4837" w:rsidP="007F4837">
      <w:pPr>
        <w:spacing w:after="0" w:line="360" w:lineRule="auto"/>
        <w:ind w:firstLine="284"/>
        <w:jc w:val="both"/>
        <w:rPr>
          <w:rFonts w:ascii="Times New Roman" w:hAnsi="Times New Roman" w:cs="Times New Roman"/>
          <w:sz w:val="24"/>
        </w:rPr>
      </w:pPr>
      <w:r w:rsidRPr="00C03199">
        <w:rPr>
          <w:rFonts w:ascii="Times New Roman" w:eastAsiaTheme="minorEastAsia" w:hAnsi="Times New Roman" w:cs="Times New Roman"/>
          <w:color w:val="222222"/>
          <w:sz w:val="24"/>
          <w:szCs w:val="20"/>
          <w:shd w:val="clear" w:color="auto" w:fill="FFFFFF"/>
        </w:rPr>
        <w:tab/>
        <w:t>Cumulative Abnormal Return:</w:t>
      </w:r>
      <w:r w:rsidRPr="00C03199">
        <w:rPr>
          <w:rFonts w:ascii="Times New Roman" w:eastAsiaTheme="minorEastAsia" w:hAnsi="Times New Roman" w:cs="Times New Roman"/>
          <w:color w:val="222222"/>
          <w:sz w:val="24"/>
          <w:szCs w:val="20"/>
          <w:shd w:val="clear" w:color="auto" w:fill="FFFFFF"/>
        </w:rPr>
        <w:tab/>
      </w:r>
      <m:oMath>
        <m:r>
          <w:rPr>
            <w:rFonts w:ascii="Cambria Math" w:eastAsiaTheme="minorEastAsia" w:hAnsi="Cambria Math" w:cs="Times New Roman"/>
            <w:color w:val="222222"/>
            <w:sz w:val="24"/>
            <w:szCs w:val="20"/>
            <w:shd w:val="clear" w:color="auto" w:fill="FFFFFF"/>
          </w:rPr>
          <m:t>C</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i(T1,  T2) </m:t>
            </m:r>
          </m:sub>
        </m:sSub>
        <m:r>
          <w:rPr>
            <w:rFonts w:ascii="Cambria Math" w:hAnsi="Cambria Math" w:cs="Times New Roman"/>
            <w:color w:val="222222"/>
            <w:sz w:val="24"/>
            <w:szCs w:val="20"/>
            <w:shd w:val="clear" w:color="auto" w:fill="FFFFFF"/>
          </w:rPr>
          <m:t xml:space="preserve">= </m:t>
        </m:r>
        <m:nary>
          <m:naryPr>
            <m:chr m:val="∑"/>
            <m:limLoc m:val="undOvr"/>
            <m:ctrlPr>
              <w:rPr>
                <w:rFonts w:ascii="Cambria Math" w:hAnsi="Cambria Math" w:cs="Times New Roman"/>
                <w:i/>
                <w:color w:val="222222"/>
                <w:sz w:val="24"/>
                <w:szCs w:val="20"/>
                <w:shd w:val="clear" w:color="auto" w:fill="FFFFFF"/>
              </w:rPr>
            </m:ctrlPr>
          </m:naryPr>
          <m:sub>
            <m:r>
              <w:rPr>
                <w:rFonts w:ascii="Cambria Math" w:hAnsi="Cambria Math" w:cs="Times New Roman"/>
                <w:color w:val="222222"/>
                <w:sz w:val="24"/>
                <w:szCs w:val="20"/>
                <w:shd w:val="clear" w:color="auto" w:fill="FFFFFF"/>
              </w:rPr>
              <m:t>T1</m:t>
            </m:r>
          </m:sub>
          <m:sup>
            <m:r>
              <w:rPr>
                <w:rFonts w:ascii="Cambria Math" w:hAnsi="Cambria Math" w:cs="Times New Roman"/>
                <w:color w:val="222222"/>
                <w:sz w:val="24"/>
                <w:szCs w:val="20"/>
                <w:shd w:val="clear" w:color="auto" w:fill="FFFFFF"/>
              </w:rPr>
              <m:t>T2</m:t>
            </m:r>
          </m:sup>
          <m:e>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 </m:t>
                </m:r>
              </m:sub>
            </m:sSub>
          </m:e>
        </m:nary>
      </m:oMath>
      <w:r w:rsidRPr="00C03199">
        <w:rPr>
          <w:rFonts w:ascii="Times New Roman" w:hAnsi="Times New Roman" w:cs="Times New Roman"/>
          <w:sz w:val="24"/>
        </w:rPr>
        <w:tab/>
      </w:r>
      <w:r w:rsidRPr="00C03199">
        <w:rPr>
          <w:rFonts w:ascii="Times New Roman" w:hAnsi="Times New Roman" w:cs="Times New Roman"/>
          <w:sz w:val="24"/>
        </w:rPr>
        <w:tab/>
      </w:r>
      <w:r w:rsidRPr="00C03199">
        <w:rPr>
          <w:rFonts w:ascii="Times New Roman" w:hAnsi="Times New Roman" w:cs="Times New Roman"/>
          <w:sz w:val="24"/>
        </w:rPr>
        <w:tab/>
      </w:r>
    </w:p>
    <w:p w14:paraId="4F024AFD" w14:textId="77777777" w:rsidR="007F4837" w:rsidRPr="00C03199" w:rsidRDefault="007F4837" w:rsidP="007F4837">
      <w:pPr>
        <w:spacing w:after="0" w:line="360" w:lineRule="auto"/>
        <w:jc w:val="both"/>
        <w:rPr>
          <w:rFonts w:ascii="Times New Roman" w:hAnsi="Times New Roman" w:cs="Times New Roman"/>
          <w:sz w:val="24"/>
        </w:rPr>
      </w:pPr>
    </w:p>
    <w:p w14:paraId="2603B603" w14:textId="584BC5BF" w:rsidR="007F4837" w:rsidRPr="00C03199" w:rsidRDefault="007F4837" w:rsidP="007F483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hAnsi="Times New Roman" w:cs="Times New Roman"/>
          <w:sz w:val="24"/>
        </w:rPr>
        <w:t xml:space="preserve">Where,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AAR</m:t>
            </m:r>
          </m:e>
          <m:sub>
            <m:r>
              <w:rPr>
                <w:rFonts w:ascii="Cambria Math" w:hAnsi="Cambria Math" w:cs="Times New Roman"/>
                <w:color w:val="222222"/>
                <w:sz w:val="24"/>
                <w:szCs w:val="20"/>
                <w:shd w:val="clear" w:color="auto" w:fill="FFFFFF"/>
              </w:rPr>
              <m:t xml:space="preserve">s,t </m:t>
            </m:r>
          </m:sub>
        </m:sSub>
      </m:oMath>
      <w:r w:rsidRPr="00C03199">
        <w:rPr>
          <w:rFonts w:ascii="Times New Roman" w:hAnsi="Times New Roman" w:cs="Times New Roman"/>
          <w:sz w:val="24"/>
        </w:rPr>
        <w:t xml:space="preserve">is the average abnormal return for target firms in sub-sample, s, at time, t. N is the number of total observations at sub-sample, s, and </w:t>
      </w:r>
      <m:oMath>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 </m:t>
            </m:r>
          </m:sub>
        </m:sSub>
      </m:oMath>
      <w:r w:rsidRPr="00C03199">
        <w:rPr>
          <w:rFonts w:ascii="Times New Roman" w:hAnsi="Times New Roman" w:cs="Times New Roman"/>
          <w:sz w:val="24"/>
        </w:rPr>
        <w:t xml:space="preserve"> is the abnormal return of firm, i, at sub-sample, s, at time, t. </w:t>
      </w:r>
      <m:oMath>
        <m:r>
          <w:rPr>
            <w:rFonts w:ascii="Cambria Math" w:eastAsiaTheme="minorEastAsia" w:hAnsi="Cambria Math" w:cs="Times New Roman"/>
            <w:color w:val="222222"/>
            <w:sz w:val="24"/>
            <w:szCs w:val="20"/>
            <w:shd w:val="clear" w:color="auto" w:fill="FFFFFF"/>
          </w:rPr>
          <m:t>C</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i(T1,  T2) </m:t>
            </m:r>
          </m:sub>
        </m:sSub>
      </m:oMath>
      <w:r w:rsidRPr="00C03199">
        <w:rPr>
          <w:rFonts w:ascii="Times New Roman" w:eastAsiaTheme="minorEastAsia" w:hAnsi="Times New Roman" w:cs="Times New Roman"/>
          <w:color w:val="222222"/>
          <w:sz w:val="24"/>
          <w:szCs w:val="20"/>
          <w:shd w:val="clear" w:color="auto" w:fill="FFFFFF"/>
        </w:rPr>
        <w:t xml:space="preserve">is cumulative abnormal returns for </w:t>
      </w:r>
      <w:r w:rsidR="006214C4">
        <w:rPr>
          <w:rFonts w:ascii="Times New Roman" w:eastAsiaTheme="minorEastAsia" w:hAnsi="Times New Roman" w:cs="Times New Roman"/>
          <w:color w:val="222222"/>
          <w:sz w:val="24"/>
          <w:szCs w:val="20"/>
          <w:shd w:val="clear" w:color="auto" w:fill="FFFFFF"/>
        </w:rPr>
        <w:t xml:space="preserve">the </w:t>
      </w:r>
      <w:r w:rsidRPr="00C03199">
        <w:rPr>
          <w:rFonts w:ascii="Times New Roman" w:eastAsiaTheme="minorEastAsia" w:hAnsi="Times New Roman" w:cs="Times New Roman"/>
          <w:color w:val="222222"/>
          <w:sz w:val="24"/>
          <w:szCs w:val="20"/>
          <w:shd w:val="clear" w:color="auto" w:fill="FFFFFF"/>
        </w:rPr>
        <w:t xml:space="preserve">time period between T1 </w:t>
      </w:r>
      <w:r w:rsidR="006214C4">
        <w:rPr>
          <w:rFonts w:ascii="Times New Roman" w:eastAsiaTheme="minorEastAsia" w:hAnsi="Times New Roman" w:cs="Times New Roman"/>
          <w:color w:val="222222"/>
          <w:sz w:val="24"/>
          <w:szCs w:val="20"/>
          <w:shd w:val="clear" w:color="auto" w:fill="FFFFFF"/>
        </w:rPr>
        <w:t>to</w:t>
      </w:r>
      <w:r w:rsidRPr="00C03199">
        <w:rPr>
          <w:rFonts w:ascii="Times New Roman" w:eastAsiaTheme="minorEastAsia" w:hAnsi="Times New Roman" w:cs="Times New Roman"/>
          <w:color w:val="222222"/>
          <w:sz w:val="24"/>
          <w:szCs w:val="20"/>
          <w:shd w:val="clear" w:color="auto" w:fill="FFFFFF"/>
        </w:rPr>
        <w:t xml:space="preserve"> T2 for firm, i. For this study the following CARs will be estimated: (-8,-3), (-2,-1), (0,+1), (-2,+1), (-1,+5), and (-8,+5), where the announcement day is denoted as </w:t>
      </w:r>
      <w:r w:rsidR="006214C4">
        <w:rPr>
          <w:rFonts w:ascii="Times New Roman" w:eastAsiaTheme="minorEastAsia" w:hAnsi="Times New Roman" w:cs="Times New Roman"/>
          <w:color w:val="222222"/>
          <w:sz w:val="24"/>
          <w:szCs w:val="20"/>
          <w:shd w:val="clear" w:color="auto" w:fill="FFFFFF"/>
        </w:rPr>
        <w:t>t</w:t>
      </w:r>
      <w:r w:rsidRPr="00C03199">
        <w:rPr>
          <w:rFonts w:ascii="Times New Roman" w:eastAsiaTheme="minorEastAsia" w:hAnsi="Times New Roman" w:cs="Times New Roman"/>
          <w:color w:val="222222"/>
          <w:sz w:val="24"/>
          <w:szCs w:val="20"/>
          <w:shd w:val="clear" w:color="auto" w:fill="FFFFFF"/>
        </w:rPr>
        <w:t xml:space="preserve">0. </w:t>
      </w:r>
      <w:r w:rsidR="003A074D" w:rsidRPr="003A074D">
        <w:rPr>
          <w:rFonts w:ascii="Times New Roman" w:eastAsiaTheme="minorEastAsia" w:hAnsi="Times New Roman" w:cs="Times New Roman"/>
          <w:color w:val="222222"/>
          <w:sz w:val="24"/>
          <w:szCs w:val="20"/>
          <w:shd w:val="clear" w:color="auto" w:fill="FFFFFF"/>
        </w:rPr>
        <w:t xml:space="preserve">While shorter time periods are used because they are insensitive to the model selected for calculating the normal returns, longer periods are also used to </w:t>
      </w:r>
      <w:r w:rsidR="003A074D">
        <w:rPr>
          <w:rFonts w:ascii="Times New Roman" w:eastAsiaTheme="minorEastAsia" w:hAnsi="Times New Roman" w:cs="Times New Roman"/>
          <w:color w:val="222222"/>
          <w:sz w:val="24"/>
          <w:szCs w:val="20"/>
          <w:shd w:val="clear" w:color="auto" w:fill="FFFFFF"/>
        </w:rPr>
        <w:t>factor in the effects of</w:t>
      </w:r>
      <w:r w:rsidR="003A074D" w:rsidRPr="003A074D">
        <w:rPr>
          <w:rFonts w:ascii="Times New Roman" w:eastAsiaTheme="minorEastAsia" w:hAnsi="Times New Roman" w:cs="Times New Roman"/>
          <w:color w:val="222222"/>
          <w:sz w:val="24"/>
          <w:szCs w:val="20"/>
          <w:shd w:val="clear" w:color="auto" w:fill="FFFFFF"/>
        </w:rPr>
        <w:t xml:space="preserve"> competition and revisions of the deal </w:t>
      </w:r>
      <w:r w:rsidRPr="00C03199">
        <w:rPr>
          <w:rFonts w:ascii="Times New Roman" w:eastAsiaTheme="minorEastAsia" w:hAnsi="Times New Roman" w:cs="Times New Roman"/>
          <w:color w:val="222222"/>
          <w:sz w:val="24"/>
          <w:szCs w:val="20"/>
          <w:shd w:val="clear" w:color="auto" w:fill="FFFFFF"/>
        </w:rPr>
        <w:t xml:space="preserve">(Conn </w:t>
      </w:r>
      <w:r w:rsidRPr="00C03199">
        <w:rPr>
          <w:rFonts w:ascii="Times New Roman" w:eastAsiaTheme="minorEastAsia" w:hAnsi="Times New Roman" w:cs="Times New Roman"/>
          <w:i/>
          <w:color w:val="222222"/>
          <w:sz w:val="24"/>
          <w:szCs w:val="20"/>
          <w:shd w:val="clear" w:color="auto" w:fill="FFFFFF"/>
        </w:rPr>
        <w:t>et al.</w:t>
      </w:r>
      <w:r w:rsidRPr="00C03199">
        <w:rPr>
          <w:rFonts w:ascii="Times New Roman" w:eastAsiaTheme="minorEastAsia" w:hAnsi="Times New Roman" w:cs="Times New Roman"/>
          <w:color w:val="222222"/>
          <w:sz w:val="24"/>
          <w:szCs w:val="20"/>
          <w:shd w:val="clear" w:color="auto" w:fill="FFFFFF"/>
        </w:rPr>
        <w:t xml:space="preserve">, 2005). </w:t>
      </w:r>
    </w:p>
    <w:p w14:paraId="776A4C5B" w14:textId="77777777" w:rsidR="007F4837" w:rsidRPr="00C03199" w:rsidRDefault="007F4837" w:rsidP="007F4837">
      <w:pPr>
        <w:spacing w:after="0" w:line="360" w:lineRule="auto"/>
        <w:jc w:val="both"/>
        <w:rPr>
          <w:rFonts w:ascii="Times New Roman" w:eastAsiaTheme="minorEastAsia" w:hAnsi="Times New Roman" w:cs="Times New Roman"/>
          <w:i/>
          <w:color w:val="222222"/>
          <w:sz w:val="24"/>
          <w:szCs w:val="20"/>
          <w:shd w:val="clear" w:color="auto" w:fill="FFFFFF"/>
        </w:rPr>
      </w:pPr>
    </w:p>
    <w:p w14:paraId="440032E6" w14:textId="77777777" w:rsidR="007F4837" w:rsidRPr="00C03199" w:rsidRDefault="007F4837" w:rsidP="007F4837">
      <w:pPr>
        <w:spacing w:after="120" w:line="360" w:lineRule="auto"/>
        <w:jc w:val="both"/>
        <w:rPr>
          <w:rFonts w:ascii="Times New Roman" w:eastAsiaTheme="minorEastAsia" w:hAnsi="Times New Roman" w:cs="Times New Roman"/>
          <w:i/>
          <w:color w:val="222222"/>
          <w:sz w:val="24"/>
          <w:szCs w:val="20"/>
          <w:shd w:val="clear" w:color="auto" w:fill="FFFFFF"/>
        </w:rPr>
      </w:pPr>
      <w:r w:rsidRPr="00C03199">
        <w:rPr>
          <w:rFonts w:ascii="Times New Roman" w:eastAsiaTheme="minorEastAsia" w:hAnsi="Times New Roman" w:cs="Times New Roman"/>
          <w:i/>
          <w:color w:val="222222"/>
          <w:sz w:val="24"/>
          <w:szCs w:val="20"/>
          <w:shd w:val="clear" w:color="auto" w:fill="FFFFFF"/>
        </w:rPr>
        <w:t>4.2</w:t>
      </w:r>
      <w:r w:rsidRPr="00C03199">
        <w:rPr>
          <w:rFonts w:ascii="Times New Roman" w:eastAsiaTheme="minorEastAsia" w:hAnsi="Times New Roman" w:cs="Times New Roman"/>
          <w:b/>
          <w:color w:val="222222"/>
          <w:sz w:val="24"/>
          <w:szCs w:val="20"/>
          <w:shd w:val="clear" w:color="auto" w:fill="FFFFFF"/>
        </w:rPr>
        <w:t xml:space="preserve"> </w:t>
      </w:r>
      <w:r w:rsidRPr="00C03199">
        <w:rPr>
          <w:rFonts w:ascii="Times New Roman" w:eastAsiaTheme="minorEastAsia" w:hAnsi="Times New Roman" w:cs="Times New Roman"/>
          <w:i/>
          <w:color w:val="222222"/>
          <w:sz w:val="24"/>
          <w:szCs w:val="20"/>
          <w:shd w:val="clear" w:color="auto" w:fill="FFFFFF"/>
        </w:rPr>
        <w:t xml:space="preserve">Significance Test </w:t>
      </w:r>
    </w:p>
    <w:p w14:paraId="24336991" w14:textId="19010C8D" w:rsidR="001C3191" w:rsidRPr="009D1534" w:rsidRDefault="007F4837" w:rsidP="001C3191">
      <w:pPr>
        <w:spacing w:after="0" w:line="360" w:lineRule="auto"/>
        <w:jc w:val="both"/>
        <w:rPr>
          <w:rFonts w:ascii="Times New Roman" w:hAnsi="Times New Roman" w:cs="Times New Roman"/>
          <w:sz w:val="24"/>
        </w:rPr>
      </w:pPr>
      <w:r w:rsidRPr="00C03199">
        <w:rPr>
          <w:rFonts w:ascii="Times New Roman" w:eastAsiaTheme="minorEastAsia" w:hAnsi="Times New Roman" w:cs="Times New Roman"/>
          <w:color w:val="222222"/>
          <w:sz w:val="24"/>
          <w:szCs w:val="20"/>
          <w:shd w:val="clear" w:color="auto" w:fill="FFFFFF"/>
        </w:rPr>
        <w:t>Blattberg and Gonedes (1974) have observed that stocks daily returns are normally distributed. Because daily returns are independent and identically distributed observations from a finite variance distribution, then the Central Limit Theorem guarantees that the distribution of the sample will converge to normality as the number of observations increases (</w:t>
      </w:r>
      <w:r w:rsidRPr="00C03199">
        <w:rPr>
          <w:rFonts w:ascii="Times New Roman" w:hAnsi="Times New Roman" w:cs="Times New Roman"/>
          <w:sz w:val="24"/>
        </w:rPr>
        <w:t xml:space="preserve">Brown and Warner, 1985). Under these two assumptions, a </w:t>
      </w:r>
      <w:r w:rsidR="006214C4">
        <w:rPr>
          <w:rFonts w:ascii="Times New Roman" w:hAnsi="Times New Roman" w:cs="Times New Roman"/>
          <w:sz w:val="24"/>
        </w:rPr>
        <w:t>standard two-</w:t>
      </w:r>
      <w:r w:rsidRPr="00C03199">
        <w:rPr>
          <w:rFonts w:ascii="Times New Roman" w:hAnsi="Times New Roman" w:cs="Times New Roman"/>
          <w:sz w:val="24"/>
        </w:rPr>
        <w:t xml:space="preserve">tailed t-test can be applied; however, because cross-sectional dependencies can cause spurious inferences if not accounted for, the cross-sectional t-test, which accounts for cross-sectional dependencies, is used to test the </w:t>
      </w:r>
      <w:r w:rsidR="003A074D">
        <w:rPr>
          <w:rFonts w:ascii="Times New Roman" w:hAnsi="Times New Roman" w:cs="Times New Roman"/>
          <w:sz w:val="24"/>
        </w:rPr>
        <w:t>statistical significance level</w:t>
      </w:r>
      <w:r w:rsidRPr="00C03199">
        <w:rPr>
          <w:rFonts w:ascii="Times New Roman" w:hAnsi="Times New Roman" w:cs="Times New Roman"/>
          <w:sz w:val="24"/>
        </w:rPr>
        <w:t xml:space="preserve"> of the </w:t>
      </w:r>
      <w:r w:rsidR="003A074D">
        <w:rPr>
          <w:rFonts w:ascii="Times New Roman" w:hAnsi="Times New Roman" w:cs="Times New Roman"/>
          <w:sz w:val="24"/>
        </w:rPr>
        <w:t>AR</w:t>
      </w:r>
      <w:r w:rsidR="001C3191">
        <w:rPr>
          <w:rFonts w:ascii="Times New Roman" w:hAnsi="Times New Roman" w:cs="Times New Roman"/>
          <w:sz w:val="24"/>
        </w:rPr>
        <w:t>s</w:t>
      </w:r>
      <w:r w:rsidRPr="00C03199">
        <w:rPr>
          <w:rFonts w:ascii="Times New Roman" w:hAnsi="Times New Roman" w:cs="Times New Roman"/>
          <w:sz w:val="24"/>
        </w:rPr>
        <w:t xml:space="preserve"> and </w:t>
      </w:r>
      <w:r w:rsidR="003A074D">
        <w:rPr>
          <w:rFonts w:ascii="Times New Roman" w:hAnsi="Times New Roman" w:cs="Times New Roman"/>
          <w:sz w:val="24"/>
        </w:rPr>
        <w:t>CAR</w:t>
      </w:r>
      <w:r w:rsidR="001C3191">
        <w:rPr>
          <w:rFonts w:ascii="Times New Roman" w:hAnsi="Times New Roman" w:cs="Times New Roman"/>
          <w:sz w:val="24"/>
        </w:rPr>
        <w:t>s</w:t>
      </w:r>
      <w:r w:rsidRPr="00C03199">
        <w:rPr>
          <w:rFonts w:ascii="Times New Roman" w:hAnsi="Times New Roman" w:cs="Times New Roman"/>
          <w:sz w:val="24"/>
        </w:rPr>
        <w:t xml:space="preserve"> (Strong, 1992). </w:t>
      </w:r>
      <w:r w:rsidR="001C3191" w:rsidRPr="001C3191">
        <w:rPr>
          <w:rFonts w:ascii="Times New Roman" w:hAnsi="Times New Roman" w:cs="Times New Roman"/>
          <w:sz w:val="24"/>
        </w:rPr>
        <w:t>A two-sample difference in mean t-test is used to test the statistical significance of the cross-border effect in the mean abnormal and cumulative abnormal returns of the target firms.</w:t>
      </w:r>
    </w:p>
    <w:p w14:paraId="0F0122B0" w14:textId="77777777" w:rsidR="007F4837" w:rsidRPr="00C03199" w:rsidRDefault="007F4837" w:rsidP="007F4837">
      <w:pPr>
        <w:spacing w:after="120" w:line="360" w:lineRule="auto"/>
        <w:jc w:val="both"/>
        <w:rPr>
          <w:rFonts w:ascii="Times New Roman" w:eastAsiaTheme="minorEastAsia" w:hAnsi="Times New Roman" w:cs="Times New Roman"/>
          <w:i/>
          <w:sz w:val="24"/>
        </w:rPr>
      </w:pPr>
      <w:r w:rsidRPr="00C03199">
        <w:rPr>
          <w:rFonts w:ascii="Times New Roman" w:eastAsiaTheme="minorEastAsia" w:hAnsi="Times New Roman" w:cs="Times New Roman"/>
          <w:i/>
          <w:sz w:val="24"/>
        </w:rPr>
        <w:lastRenderedPageBreak/>
        <w:t xml:space="preserve">4.3 Cross-sectional analysis </w:t>
      </w:r>
    </w:p>
    <w:p w14:paraId="399C77AE" w14:textId="41B1461B" w:rsidR="007F4837" w:rsidRPr="00C03199" w:rsidRDefault="007F4837" w:rsidP="007F4837">
      <w:pPr>
        <w:spacing w:after="120" w:line="360" w:lineRule="auto"/>
        <w:jc w:val="both"/>
        <w:rPr>
          <w:rFonts w:ascii="Times New Roman" w:eastAsiaTheme="minorEastAsia" w:hAnsi="Times New Roman" w:cs="Times New Roman"/>
          <w:sz w:val="24"/>
        </w:rPr>
      </w:pPr>
      <w:r w:rsidRPr="00C03199">
        <w:rPr>
          <w:rFonts w:ascii="Times New Roman" w:eastAsiaTheme="minorEastAsia" w:hAnsi="Times New Roman" w:cs="Times New Roman"/>
          <w:sz w:val="24"/>
        </w:rPr>
        <w:t>To test the various hypotheses discussed in section 2.1 and if target firms’ shareholders</w:t>
      </w:r>
      <w:r w:rsidR="006214C4">
        <w:rPr>
          <w:rFonts w:ascii="Times New Roman" w:eastAsiaTheme="minorEastAsia" w:hAnsi="Times New Roman" w:cs="Times New Roman"/>
          <w:sz w:val="24"/>
        </w:rPr>
        <w:t>’</w:t>
      </w:r>
      <w:r w:rsidRPr="00C03199">
        <w:rPr>
          <w:rFonts w:ascii="Times New Roman" w:eastAsiaTheme="minorEastAsia" w:hAnsi="Times New Roman" w:cs="Times New Roman"/>
          <w:sz w:val="24"/>
        </w:rPr>
        <w:t xml:space="preserve"> abnormal return</w:t>
      </w:r>
      <w:r w:rsidR="004422F5" w:rsidRPr="00C03199">
        <w:rPr>
          <w:rFonts w:ascii="Times New Roman" w:eastAsiaTheme="minorEastAsia" w:hAnsi="Times New Roman" w:cs="Times New Roman"/>
          <w:sz w:val="24"/>
        </w:rPr>
        <w:t>s</w:t>
      </w:r>
      <w:r w:rsidRPr="00C03199">
        <w:rPr>
          <w:rFonts w:ascii="Times New Roman" w:eastAsiaTheme="minorEastAsia" w:hAnsi="Times New Roman" w:cs="Times New Roman"/>
          <w:sz w:val="24"/>
        </w:rPr>
        <w:t xml:space="preserve"> experience cross-border effect, two ordinary least squares (OLS) regressions, adjusted for heteroskedasticity, are used. The CAR of target firms in cross-border </w:t>
      </w:r>
      <w:r w:rsidR="007839E3">
        <w:rPr>
          <w:rFonts w:ascii="Times New Roman" w:eastAsiaTheme="minorEastAsia" w:hAnsi="Times New Roman" w:cs="Times New Roman"/>
          <w:sz w:val="24"/>
        </w:rPr>
        <w:t>bids</w:t>
      </w:r>
      <w:r w:rsidRPr="00C03199">
        <w:rPr>
          <w:rFonts w:ascii="Times New Roman" w:eastAsiaTheme="minorEastAsia" w:hAnsi="Times New Roman" w:cs="Times New Roman"/>
          <w:sz w:val="24"/>
        </w:rPr>
        <w:t xml:space="preserve"> is the dependent variable in the first regression</w:t>
      </w:r>
      <w:r w:rsidR="006214C4">
        <w:rPr>
          <w:rFonts w:ascii="Times New Roman" w:eastAsiaTheme="minorEastAsia" w:hAnsi="Times New Roman" w:cs="Times New Roman"/>
          <w:sz w:val="24"/>
        </w:rPr>
        <w:t>, equation 1</w:t>
      </w:r>
      <w:r w:rsidRPr="00C03199">
        <w:rPr>
          <w:rFonts w:ascii="Times New Roman" w:eastAsiaTheme="minorEastAsia" w:hAnsi="Times New Roman" w:cs="Times New Roman"/>
          <w:sz w:val="24"/>
        </w:rPr>
        <w:t>.  In addition, to test for the cross-border effect, the CAR of target firms in the whole sample will be the dependent variable</w:t>
      </w:r>
      <w:r w:rsidR="006214C4">
        <w:rPr>
          <w:rFonts w:ascii="Times New Roman" w:eastAsiaTheme="minorEastAsia" w:hAnsi="Times New Roman" w:cs="Times New Roman"/>
          <w:sz w:val="24"/>
        </w:rPr>
        <w:t>, as seen in equation 2</w:t>
      </w:r>
      <w:r w:rsidRPr="00C03199">
        <w:rPr>
          <w:rFonts w:ascii="Times New Roman" w:eastAsiaTheme="minorEastAsia" w:hAnsi="Times New Roman" w:cs="Times New Roman"/>
          <w:sz w:val="24"/>
        </w:rPr>
        <w:t xml:space="preserve">. Several independent variables are used to test the hypotheses developed in section 2.2. </w:t>
      </w:r>
      <w:r w:rsidR="006214C4">
        <w:rPr>
          <w:rFonts w:ascii="Times New Roman" w:eastAsiaTheme="minorEastAsia" w:hAnsi="Times New Roman" w:cs="Times New Roman"/>
          <w:sz w:val="24"/>
        </w:rPr>
        <w:t>The</w:t>
      </w:r>
      <w:r w:rsidRPr="00C03199">
        <w:rPr>
          <w:rFonts w:ascii="Times New Roman" w:eastAsiaTheme="minorEastAsia" w:hAnsi="Times New Roman" w:cs="Times New Roman"/>
          <w:sz w:val="24"/>
        </w:rPr>
        <w:t xml:space="preserve"> independent </w:t>
      </w:r>
      <w:r w:rsidR="00D50FEF" w:rsidRPr="00C03199">
        <w:rPr>
          <w:rFonts w:ascii="Times New Roman" w:eastAsiaTheme="minorEastAsia" w:hAnsi="Times New Roman" w:cs="Times New Roman"/>
          <w:sz w:val="24"/>
        </w:rPr>
        <w:t xml:space="preserve">and control </w:t>
      </w:r>
      <w:r w:rsidRPr="00C03199">
        <w:rPr>
          <w:rFonts w:ascii="Times New Roman" w:eastAsiaTheme="minorEastAsia" w:hAnsi="Times New Roman" w:cs="Times New Roman"/>
          <w:sz w:val="24"/>
        </w:rPr>
        <w:t>variables, discussed in the appendix, are used to explain what drives the abnormal returns of target firms around the event date. The following two equations represent the two</w:t>
      </w:r>
      <w:r w:rsidR="00D50FEF" w:rsidRPr="00C03199">
        <w:rPr>
          <w:rFonts w:ascii="Times New Roman" w:eastAsiaTheme="minorEastAsia" w:hAnsi="Times New Roman" w:cs="Times New Roman"/>
          <w:sz w:val="24"/>
        </w:rPr>
        <w:t xml:space="preserve"> general</w:t>
      </w:r>
      <w:r w:rsidRPr="00C03199">
        <w:rPr>
          <w:rFonts w:ascii="Times New Roman" w:eastAsiaTheme="minorEastAsia" w:hAnsi="Times New Roman" w:cs="Times New Roman"/>
          <w:sz w:val="24"/>
        </w:rPr>
        <w:t xml:space="preserve"> OLS regressions used:</w:t>
      </w:r>
    </w:p>
    <w:p w14:paraId="42A81B76" w14:textId="77777777" w:rsidR="007F4837" w:rsidRPr="00C03199" w:rsidRDefault="007F4837" w:rsidP="007F4837">
      <w:pPr>
        <w:spacing w:after="120" w:line="360" w:lineRule="auto"/>
        <w:jc w:val="both"/>
        <w:rPr>
          <w:rFonts w:ascii="Times New Roman" w:eastAsiaTheme="minorEastAsia" w:hAnsi="Times New Roman" w:cs="Times New Roman"/>
          <w:sz w:val="24"/>
        </w:rPr>
      </w:pPr>
      <w:r w:rsidRPr="00C03199">
        <w:rPr>
          <w:rFonts w:ascii="Times New Roman" w:eastAsiaTheme="minorEastAsia" w:hAnsi="Times New Roman" w:cs="Times New Roman"/>
          <w:sz w:val="24"/>
        </w:rPr>
        <w:tab/>
      </w:r>
    </w:p>
    <w:p w14:paraId="7BDBA9E1" w14:textId="77777777" w:rsidR="0024206F" w:rsidRDefault="0024206F" w:rsidP="007F4837">
      <w:pPr>
        <w:spacing w:after="0" w:line="360" w:lineRule="auto"/>
        <w:jc w:val="both"/>
        <w:rPr>
          <w:rFonts w:ascii="Times New Roman" w:hAnsi="Times New Roman" w:cs="Times New Roman"/>
          <w:i/>
          <w:sz w:val="24"/>
        </w:rPr>
      </w:pPr>
    </w:p>
    <w:p w14:paraId="35112376" w14:textId="77777777" w:rsidR="0024206F" w:rsidRDefault="0024206F" w:rsidP="007F4837">
      <w:pPr>
        <w:spacing w:after="0" w:line="360" w:lineRule="auto"/>
        <w:jc w:val="both"/>
        <w:rPr>
          <w:rFonts w:ascii="Times New Roman" w:hAnsi="Times New Roman" w:cs="Times New Roman"/>
          <w:i/>
          <w:sz w:val="24"/>
        </w:rPr>
      </w:pPr>
    </w:p>
    <w:p w14:paraId="33D1B45D" w14:textId="0A2A7D08" w:rsidR="007F4837" w:rsidRPr="00C03199" w:rsidRDefault="006214C4" w:rsidP="007F4837">
      <w:pPr>
        <w:spacing w:after="0" w:line="360" w:lineRule="auto"/>
        <w:jc w:val="both"/>
        <w:rPr>
          <w:rFonts w:ascii="Times New Roman" w:hAnsi="Times New Roman" w:cs="Times New Roman"/>
          <w:i/>
          <w:sz w:val="24"/>
        </w:rPr>
      </w:pPr>
      <w:r>
        <w:rPr>
          <w:rFonts w:ascii="Times New Roman" w:hAnsi="Times New Roman" w:cs="Times New Roman"/>
          <w:i/>
          <w:sz w:val="24"/>
        </w:rPr>
        <w:t>Equation 1</w:t>
      </w:r>
      <w:r w:rsidR="003718F9" w:rsidRPr="00C03199">
        <w:rPr>
          <w:rFonts w:ascii="Times New Roman" w:hAnsi="Times New Roman" w:cs="Times New Roman"/>
          <w:i/>
          <w:sz w:val="24"/>
        </w:rPr>
        <w:t xml:space="preserve">:  </w:t>
      </w:r>
    </w:p>
    <w:p w14:paraId="1D6F439B" w14:textId="7AF528FA" w:rsidR="003718F9" w:rsidRPr="006214C4" w:rsidRDefault="003718F9" w:rsidP="003718F9">
      <w:pPr>
        <w:spacing w:after="0" w:line="360" w:lineRule="auto"/>
        <w:ind w:left="1440" w:firstLine="720"/>
        <w:jc w:val="center"/>
        <w:rPr>
          <w:rFonts w:ascii="Times New Roman" w:eastAsiaTheme="minorEastAsia" w:hAnsi="Times New Roman" w:cs="Times New Roman"/>
          <w:i/>
          <w:color w:val="222222"/>
          <w:sz w:val="24"/>
          <w:szCs w:val="20"/>
          <w:shd w:val="clear" w:color="auto" w:fill="FFFFFF"/>
        </w:rPr>
      </w:pPr>
      <m:oMathPara>
        <m:oMath>
          <m:r>
            <w:rPr>
              <w:rFonts w:ascii="Cambria Math" w:eastAsiaTheme="minorEastAsia" w:hAnsi="Cambria Math" w:cs="Times New Roman"/>
              <w:color w:val="222222"/>
              <w:sz w:val="24"/>
              <w:szCs w:val="20"/>
              <w:shd w:val="clear" w:color="auto" w:fill="FFFFFF"/>
            </w:rPr>
            <m:t>C</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s(T1,  T2) </m:t>
              </m:r>
            </m:sub>
          </m:sSub>
          <m:r>
            <w:rPr>
              <w:rFonts w:ascii="Cambria Math" w:hAnsi="Cambria Math" w:cs="Times New Roman"/>
              <w:color w:val="222222"/>
              <w:sz w:val="24"/>
              <w:szCs w:val="20"/>
              <w:shd w:val="clear" w:color="auto" w:fill="FFFFFF"/>
            </w:rPr>
            <m:t>=</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β</m:t>
              </m:r>
            </m:e>
            <m:sub>
              <m:r>
                <w:rPr>
                  <w:rFonts w:ascii="Cambria Math" w:hAnsi="Cambria Math" w:cs="Times New Roman"/>
                  <w:color w:val="222222"/>
                  <w:sz w:val="24"/>
                  <w:szCs w:val="20"/>
                  <w:shd w:val="clear" w:color="auto" w:fill="FFFFFF"/>
                </w:rPr>
                <m:t>0</m:t>
              </m:r>
            </m:sub>
          </m:sSub>
          <m:r>
            <w:rPr>
              <w:rFonts w:ascii="Cambria Math" w:hAnsi="Cambria Math" w:cs="Times New Roman"/>
              <w:color w:val="222222"/>
              <w:sz w:val="24"/>
              <w:szCs w:val="20"/>
              <w:shd w:val="clear" w:color="auto" w:fill="FFFFFF"/>
            </w:rPr>
            <m:t>+</m:t>
          </m:r>
          <m:r>
            <w:rPr>
              <w:rFonts w:ascii="Cambria Math" w:eastAsiaTheme="minorEastAsia" w:hAnsi="Cambria Math" w:cs="Times New Roman"/>
              <w:color w:val="222222"/>
              <w:sz w:val="24"/>
              <w:szCs w:val="20"/>
              <w:shd w:val="clear" w:color="auto" w:fill="FFFFFF"/>
            </w:rPr>
            <m:t xml:space="preserve"> </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PriorEUoperations</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2</m:t>
              </m:r>
            </m:sub>
          </m:sSub>
          <m:r>
            <w:rPr>
              <w:rFonts w:ascii="Cambria Math" w:eastAsiaTheme="minorEastAsia" w:hAnsi="Cambria Math" w:cs="Times New Roman"/>
              <w:color w:val="222222"/>
              <w:sz w:val="24"/>
              <w:szCs w:val="20"/>
              <w:shd w:val="clear" w:color="auto" w:fill="FFFFFF"/>
            </w:rPr>
            <m:t>i.</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DummyAcquirerRegion</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3</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ExchangeRate</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 xml:space="preserve"> </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4</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%ofCash</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5</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CASH</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6</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STOCK</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7</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%ofStake</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8</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LogMV</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 xml:space="preserve">  β</m:t>
              </m:r>
            </m:e>
            <m:sub>
              <m:r>
                <w:rPr>
                  <w:rFonts w:ascii="Cambria Math" w:eastAsiaTheme="minorEastAsia" w:hAnsi="Cambria Math" w:cs="Times New Roman"/>
                  <w:color w:val="222222"/>
                  <w:sz w:val="24"/>
                  <w:szCs w:val="20"/>
                  <w:shd w:val="clear" w:color="auto" w:fill="FFFFFF"/>
                </w:rPr>
                <m:t>9</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StockRunUp</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10</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EVtoEBITDA</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11</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EPS</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12</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AssetGrowthRate</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13</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EBITgrowthRate</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14</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EPSgrowthRate</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15</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Related</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16</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Hostile</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17</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i.DummyTargetrIndustry</m:t>
              </m:r>
            </m:e>
            <m:sub>
              <m:r>
                <w:rPr>
                  <w:rFonts w:ascii="Cambria Math" w:eastAsiaTheme="minorEastAsia" w:hAnsi="Cambria Math" w:cs="Times New Roman"/>
                  <w:color w:val="222222"/>
                  <w:sz w:val="24"/>
                  <w:szCs w:val="20"/>
                  <w:shd w:val="clear" w:color="auto" w:fill="FFFFFF"/>
                </w:rPr>
                <m:t>s</m:t>
              </m:r>
            </m:sub>
          </m:sSub>
          <m:r>
            <w:rPr>
              <w:rFonts w:ascii="Cambria Math" w:eastAsiaTheme="minorEastAsia" w:hAnsi="Cambria Math" w:cs="Times New Roman"/>
              <w:color w:val="222222"/>
              <w:sz w:val="24"/>
              <w:szCs w:val="20"/>
              <w:shd w:val="clear" w:color="auto" w:fill="FFFFFF"/>
            </w:rPr>
            <m:t>+</m:t>
          </m:r>
          <m:sSub>
            <m:sSubPr>
              <m:ctrlPr>
                <w:rPr>
                  <w:rFonts w:ascii="Cambria Math" w:hAnsi="Cambria Math" w:cs="Times New Roman"/>
                  <w:i/>
                  <w:color w:val="222222"/>
                  <w:sz w:val="24"/>
                  <w:szCs w:val="20"/>
                  <w:shd w:val="clear" w:color="auto" w:fill="FFFFFF"/>
                </w:rPr>
              </m:ctrlPr>
            </m:sSubPr>
            <m:e>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18</m:t>
                  </m:r>
                </m:sub>
              </m:sSub>
              <m:r>
                <w:rPr>
                  <w:rFonts w:ascii="Cambria Math" w:eastAsiaTheme="minorEastAsia" w:hAnsi="Cambria Math" w:cs="Times New Roman"/>
                  <w:color w:val="222222"/>
                  <w:sz w:val="24"/>
                  <w:szCs w:val="20"/>
                  <w:shd w:val="clear" w:color="auto" w:fill="FFFFFF"/>
                </w:rPr>
                <m:t>i.</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DummyTargetCountry</m:t>
                  </m:r>
                </m:e>
                <m:sub>
                  <m:r>
                    <w:rPr>
                      <w:rFonts w:ascii="Cambria Math" w:eastAsiaTheme="minorEastAsia" w:hAnsi="Cambria Math" w:cs="Times New Roman"/>
                      <w:color w:val="222222"/>
                      <w:sz w:val="24"/>
                      <w:szCs w:val="20"/>
                      <w:shd w:val="clear" w:color="auto" w:fill="FFFFFF"/>
                    </w:rPr>
                    <m:t>s</m:t>
                  </m:r>
                </m:sub>
              </m:sSub>
              <m:r>
                <w:rPr>
                  <w:rFonts w:ascii="Cambria Math" w:hAnsi="Cambria Math" w:cs="Times New Roman"/>
                  <w:color w:val="222222"/>
                  <w:sz w:val="24"/>
                  <w:szCs w:val="20"/>
                  <w:shd w:val="clear" w:color="auto" w:fill="FFFFFF"/>
                </w:rPr>
                <m:t>+ϵ</m:t>
              </m:r>
            </m:e>
            <m:sub>
              <m:r>
                <w:rPr>
                  <w:rFonts w:ascii="Cambria Math" w:hAnsi="Cambria Math" w:cs="Times New Roman"/>
                  <w:color w:val="222222"/>
                  <w:sz w:val="24"/>
                  <w:szCs w:val="20"/>
                  <w:shd w:val="clear" w:color="auto" w:fill="FFFFFF"/>
                </w:rPr>
                <m:t>i</m:t>
              </m:r>
            </m:sub>
          </m:sSub>
        </m:oMath>
      </m:oMathPara>
    </w:p>
    <w:p w14:paraId="0D05CFEA" w14:textId="77777777" w:rsidR="006214C4" w:rsidRPr="00C03199" w:rsidRDefault="006214C4" w:rsidP="006214C4">
      <w:pPr>
        <w:spacing w:after="120" w:line="360" w:lineRule="auto"/>
        <w:rPr>
          <w:rFonts w:ascii="Times New Roman" w:eastAsiaTheme="minorEastAsia" w:hAnsi="Times New Roman" w:cs="Times New Roman"/>
          <w:i/>
          <w:sz w:val="24"/>
        </w:rPr>
      </w:pPr>
      <w:r>
        <w:rPr>
          <w:rFonts w:ascii="Times New Roman" w:eastAsiaTheme="minorEastAsia" w:hAnsi="Times New Roman" w:cs="Times New Roman"/>
          <w:i/>
          <w:sz w:val="24"/>
        </w:rPr>
        <w:t>Equation 2</w:t>
      </w:r>
      <w:r w:rsidRPr="00C03199">
        <w:rPr>
          <w:rFonts w:ascii="Times New Roman" w:eastAsiaTheme="minorEastAsia" w:hAnsi="Times New Roman" w:cs="Times New Roman"/>
          <w:i/>
          <w:sz w:val="24"/>
        </w:rPr>
        <w:t>:</w:t>
      </w:r>
    </w:p>
    <w:p w14:paraId="3305F383" w14:textId="77777777" w:rsidR="006214C4" w:rsidRPr="00C03199" w:rsidRDefault="006214C4" w:rsidP="006214C4">
      <w:pPr>
        <w:spacing w:after="120" w:line="360" w:lineRule="auto"/>
        <w:ind w:left="1440" w:firstLine="720"/>
        <w:jc w:val="center"/>
        <w:rPr>
          <w:rFonts w:ascii="Times New Roman" w:eastAsiaTheme="minorEastAsia" w:hAnsi="Times New Roman" w:cs="Times New Roman"/>
          <w:i/>
          <w:sz w:val="24"/>
        </w:rPr>
      </w:pPr>
      <m:oMathPara>
        <m:oMath>
          <m:r>
            <w:rPr>
              <w:rFonts w:ascii="Cambria Math" w:eastAsiaTheme="minorEastAsia" w:hAnsi="Cambria Math" w:cs="Times New Roman"/>
              <w:color w:val="222222"/>
              <w:sz w:val="24"/>
              <w:szCs w:val="20"/>
              <w:shd w:val="clear" w:color="auto" w:fill="FFFFFF"/>
            </w:rPr>
            <m:t>C</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i(T1,  T2) </m:t>
              </m:r>
            </m:sub>
          </m:sSub>
          <m:r>
            <w:rPr>
              <w:rFonts w:ascii="Cambria Math" w:hAnsi="Cambria Math" w:cs="Times New Roman"/>
              <w:color w:val="222222"/>
              <w:sz w:val="24"/>
              <w:szCs w:val="20"/>
              <w:shd w:val="clear" w:color="auto" w:fill="FFFFFF"/>
            </w:rPr>
            <m:t>=</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β</m:t>
              </m:r>
            </m:e>
            <m:sub>
              <m:r>
                <w:rPr>
                  <w:rFonts w:ascii="Cambria Math" w:hAnsi="Cambria Math" w:cs="Times New Roman"/>
                  <w:color w:val="222222"/>
                  <w:sz w:val="24"/>
                  <w:szCs w:val="20"/>
                  <w:shd w:val="clear" w:color="auto" w:fill="FFFFFF"/>
                </w:rPr>
                <m:t>0</m:t>
              </m:r>
            </m:sub>
          </m:sSub>
          <m:r>
            <w:rPr>
              <w:rFonts w:ascii="Cambria Math" w:hAnsi="Cambria Math" w:cs="Times New Roman"/>
              <w:color w:val="222222"/>
              <w:sz w:val="24"/>
              <w:szCs w:val="20"/>
              <w:shd w:val="clear" w:color="auto" w:fill="FFFFFF"/>
            </w:rPr>
            <m:t>+</m:t>
          </m:r>
          <m:r>
            <w:rPr>
              <w:rFonts w:ascii="Cambria Math" w:eastAsiaTheme="minorEastAsia" w:hAnsi="Cambria Math" w:cs="Times New Roman"/>
              <w:color w:val="222222"/>
              <w:sz w:val="24"/>
              <w:szCs w:val="20"/>
              <w:shd w:val="clear" w:color="auto" w:fill="FFFFFF"/>
            </w:rPr>
            <m:t xml:space="preserve"> </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CROSS</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2</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%ofCash</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3</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CASH</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 xml:space="preserve"> β</m:t>
              </m:r>
            </m:e>
            <m:sub>
              <m:r>
                <w:rPr>
                  <w:rFonts w:ascii="Cambria Math" w:eastAsiaTheme="minorEastAsia" w:hAnsi="Cambria Math" w:cs="Times New Roman"/>
                  <w:color w:val="222222"/>
                  <w:sz w:val="24"/>
                  <w:szCs w:val="20"/>
                  <w:shd w:val="clear" w:color="auto" w:fill="FFFFFF"/>
                </w:rPr>
                <m:t>4</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STOCK</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5</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%ofStake</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6</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LogMV</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 xml:space="preserve">  β</m:t>
              </m:r>
            </m:e>
            <m:sub>
              <m:r>
                <w:rPr>
                  <w:rFonts w:ascii="Cambria Math" w:eastAsiaTheme="minorEastAsia" w:hAnsi="Cambria Math" w:cs="Times New Roman"/>
                  <w:color w:val="222222"/>
                  <w:sz w:val="24"/>
                  <w:szCs w:val="20"/>
                  <w:shd w:val="clear" w:color="auto" w:fill="FFFFFF"/>
                </w:rPr>
                <m:t>7</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StockRunUp</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8</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EVtoEBITDA</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9</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EPS</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10</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AssetGrowthRate</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11</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EBITgrowthRate</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12</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EPSgrowthRate</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13</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Related</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14</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Hostile</m:t>
              </m:r>
            </m:e>
            <m:sub>
              <m:r>
                <w:rPr>
                  <w:rFonts w:ascii="Cambria Math" w:eastAsiaTheme="minorEastAsia" w:hAnsi="Cambria Math" w:cs="Times New Roman"/>
                  <w:color w:val="222222"/>
                  <w:sz w:val="24"/>
                  <w:szCs w:val="20"/>
                  <w:shd w:val="clear" w:color="auto" w:fill="FFFFFF"/>
                </w:rPr>
                <m:t>i</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15</m:t>
              </m:r>
            </m:sub>
          </m:sSub>
          <m:r>
            <w:rPr>
              <w:rFonts w:ascii="Cambria Math" w:eastAsiaTheme="minorEastAsia" w:hAnsi="Cambria Math" w:cs="Times New Roman"/>
              <w:color w:val="222222"/>
              <w:sz w:val="24"/>
              <w:szCs w:val="20"/>
              <w:shd w:val="clear" w:color="auto" w:fill="FFFFFF"/>
            </w:rPr>
            <m:t>i.</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DummyAcquirerRegion</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β</m:t>
              </m:r>
            </m:e>
            <m:sub>
              <m:r>
                <w:rPr>
                  <w:rFonts w:ascii="Cambria Math" w:eastAsiaTheme="minorEastAsia" w:hAnsi="Cambria Math" w:cs="Times New Roman"/>
                  <w:color w:val="222222"/>
                  <w:sz w:val="24"/>
                  <w:szCs w:val="20"/>
                  <w:shd w:val="clear" w:color="auto" w:fill="FFFFFF"/>
                </w:rPr>
                <m:t>16</m:t>
              </m:r>
            </m:sub>
          </m:sSub>
          <m:sSub>
            <m:sSubPr>
              <m:ctrlPr>
                <w:rPr>
                  <w:rFonts w:ascii="Cambria Math" w:eastAsiaTheme="minorEastAsia" w:hAnsi="Cambria Math" w:cs="Times New Roman"/>
                  <w:i/>
                  <w:color w:val="222222"/>
                  <w:sz w:val="24"/>
                  <w:szCs w:val="20"/>
                  <w:shd w:val="clear" w:color="auto" w:fill="FFFFFF"/>
                </w:rPr>
              </m:ctrlPr>
            </m:sSubPr>
            <m:e>
              <m:r>
                <w:rPr>
                  <w:rFonts w:ascii="Cambria Math" w:eastAsiaTheme="minorEastAsia" w:hAnsi="Cambria Math" w:cs="Times New Roman"/>
                  <w:color w:val="222222"/>
                  <w:sz w:val="24"/>
                  <w:szCs w:val="20"/>
                  <w:shd w:val="clear" w:color="auto" w:fill="FFFFFF"/>
                </w:rPr>
                <m:t>i.DummyTargetrIndustry</m:t>
              </m:r>
            </m:e>
            <m:sub>
              <m:r>
                <w:rPr>
                  <w:rFonts w:ascii="Cambria Math" w:eastAsiaTheme="minorEastAsia" w:hAnsi="Cambria Math" w:cs="Times New Roman"/>
                  <w:color w:val="222222"/>
                  <w:sz w:val="24"/>
                  <w:szCs w:val="20"/>
                  <w:shd w:val="clear" w:color="auto" w:fill="FFFFFF"/>
                </w:rPr>
                <m:t>i</m:t>
              </m:r>
            </m:sub>
          </m:sSub>
          <m:r>
            <w:rPr>
              <w:rFonts w:ascii="Cambria Math" w:eastAsiaTheme="minorEastAsia" w:hAnsi="Cambria Math" w:cs="Times New Roman"/>
              <w:color w:val="222222"/>
              <w:sz w:val="24"/>
              <w:szCs w:val="20"/>
              <w:shd w:val="clear" w:color="auto" w:fill="FFFFFF"/>
            </w:rPr>
            <m:t>+</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ϵ</m:t>
              </m:r>
            </m:e>
            <m:sub>
              <m:r>
                <w:rPr>
                  <w:rFonts w:ascii="Cambria Math" w:hAnsi="Cambria Math" w:cs="Times New Roman"/>
                  <w:color w:val="222222"/>
                  <w:sz w:val="24"/>
                  <w:szCs w:val="20"/>
                  <w:shd w:val="clear" w:color="auto" w:fill="FFFFFF"/>
                </w:rPr>
                <m:t>i</m:t>
              </m:r>
            </m:sub>
          </m:sSub>
        </m:oMath>
      </m:oMathPara>
    </w:p>
    <w:p w14:paraId="0C084CC4" w14:textId="77777777" w:rsidR="00F76FAC" w:rsidRPr="00C03199" w:rsidRDefault="00F76FAC" w:rsidP="00F76FAC">
      <w:pPr>
        <w:spacing w:after="0" w:line="360" w:lineRule="auto"/>
        <w:rPr>
          <w:rFonts w:ascii="Times New Roman" w:eastAsiaTheme="minorEastAsia" w:hAnsi="Times New Roman" w:cs="Times New Roman"/>
          <w:i/>
          <w:color w:val="222222"/>
          <w:sz w:val="24"/>
          <w:szCs w:val="20"/>
          <w:shd w:val="clear" w:color="auto" w:fill="FFFFFF"/>
        </w:rPr>
      </w:pPr>
    </w:p>
    <w:p w14:paraId="69D74AF4" w14:textId="259DC4E7" w:rsidR="00E1191E" w:rsidRPr="00C03199" w:rsidRDefault="007C79C0" w:rsidP="00D50FEF">
      <w:pPr>
        <w:spacing w:after="120" w:line="360" w:lineRule="auto"/>
        <w:rPr>
          <w:rFonts w:ascii="Times New Roman" w:eastAsiaTheme="minorEastAsia" w:hAnsi="Times New Roman" w:cs="Times New Roman"/>
          <w:i/>
          <w:sz w:val="24"/>
        </w:rPr>
      </w:pPr>
      <w:r>
        <w:rPr>
          <w:rFonts w:ascii="Times New Roman" w:eastAsiaTheme="minorEastAsia" w:hAnsi="Times New Roman" w:cs="Times New Roman"/>
          <w:i/>
          <w:sz w:val="24"/>
        </w:rPr>
        <w:lastRenderedPageBreak/>
        <w:t>4.3.1 Dependent v</w:t>
      </w:r>
      <w:r w:rsidR="00E1191E" w:rsidRPr="00C03199">
        <w:rPr>
          <w:rFonts w:ascii="Times New Roman" w:eastAsiaTheme="minorEastAsia" w:hAnsi="Times New Roman" w:cs="Times New Roman"/>
          <w:i/>
          <w:sz w:val="24"/>
        </w:rPr>
        <w:t>ariable</w:t>
      </w:r>
    </w:p>
    <w:p w14:paraId="2696797C" w14:textId="0D448915" w:rsidR="0024206F" w:rsidRDefault="00657C5C" w:rsidP="0024206F">
      <w:pPr>
        <w:spacing w:after="0" w:line="360" w:lineRule="auto"/>
        <w:jc w:val="both"/>
        <w:rPr>
          <w:rFonts w:ascii="Times New Roman" w:hAnsi="Times New Roman" w:cs="Times New Roman"/>
          <w:sz w:val="24"/>
        </w:rPr>
      </w:pPr>
      <w:r>
        <w:rPr>
          <w:rFonts w:ascii="Times New Roman" w:eastAsiaTheme="minorEastAsia" w:hAnsi="Times New Roman" w:cs="Times New Roman"/>
          <w:color w:val="222222"/>
          <w:sz w:val="24"/>
          <w:szCs w:val="20"/>
          <w:shd w:val="clear" w:color="auto" w:fill="FFFFFF"/>
        </w:rPr>
        <w:t>In equation 1</w:t>
      </w:r>
      <w:r w:rsidR="00D50FEF" w:rsidRPr="00C03199">
        <w:rPr>
          <w:rFonts w:ascii="Times New Roman" w:eastAsiaTheme="minorEastAsia" w:hAnsi="Times New Roman" w:cs="Times New Roman"/>
          <w:color w:val="222222"/>
          <w:sz w:val="24"/>
          <w:szCs w:val="20"/>
          <w:shd w:val="clear" w:color="auto" w:fill="FFFFFF"/>
        </w:rPr>
        <w:t xml:space="preserve">, only target </w:t>
      </w:r>
      <w:r w:rsidR="007839E3">
        <w:rPr>
          <w:rFonts w:ascii="Times New Roman" w:eastAsiaTheme="minorEastAsia" w:hAnsi="Times New Roman" w:cs="Times New Roman"/>
          <w:color w:val="222222"/>
          <w:sz w:val="24"/>
          <w:szCs w:val="20"/>
          <w:shd w:val="clear" w:color="auto" w:fill="FFFFFF"/>
        </w:rPr>
        <w:t>companies</w:t>
      </w:r>
      <w:r w:rsidR="00D50FEF" w:rsidRPr="00C03199">
        <w:rPr>
          <w:rFonts w:ascii="Times New Roman" w:eastAsiaTheme="minorEastAsia" w:hAnsi="Times New Roman" w:cs="Times New Roman"/>
          <w:color w:val="222222"/>
          <w:sz w:val="24"/>
          <w:szCs w:val="20"/>
          <w:shd w:val="clear" w:color="auto" w:fill="FFFFFF"/>
        </w:rPr>
        <w:t xml:space="preserve"> in the sub-sample cross-border </w:t>
      </w:r>
      <w:r w:rsidR="007839E3">
        <w:rPr>
          <w:rFonts w:ascii="Times New Roman" w:eastAsiaTheme="minorEastAsia" w:hAnsi="Times New Roman" w:cs="Times New Roman"/>
          <w:color w:val="222222"/>
          <w:sz w:val="24"/>
          <w:szCs w:val="20"/>
          <w:shd w:val="clear" w:color="auto" w:fill="FFFFFF"/>
        </w:rPr>
        <w:t>deals</w:t>
      </w:r>
      <w:r w:rsidR="00D50FEF" w:rsidRPr="00C03199">
        <w:rPr>
          <w:rFonts w:ascii="Times New Roman" w:eastAsiaTheme="minorEastAsia" w:hAnsi="Times New Roman" w:cs="Times New Roman"/>
          <w:color w:val="222222"/>
          <w:sz w:val="24"/>
          <w:szCs w:val="20"/>
          <w:shd w:val="clear" w:color="auto" w:fill="FFFFFF"/>
        </w:rPr>
        <w:t xml:space="preserve"> are used in this analysis. The dependent variable </w:t>
      </w:r>
      <m:oMath>
        <m:r>
          <w:rPr>
            <w:rFonts w:ascii="Cambria Math" w:eastAsiaTheme="minorEastAsia" w:hAnsi="Cambria Math" w:cs="Times New Roman"/>
            <w:color w:val="222222"/>
            <w:sz w:val="24"/>
            <w:szCs w:val="20"/>
            <w:shd w:val="clear" w:color="auto" w:fill="FFFFFF"/>
          </w:rPr>
          <m:t>C</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s(T1,  T2) </m:t>
            </m:r>
          </m:sub>
        </m:sSub>
      </m:oMath>
      <w:r w:rsidR="00D50FEF" w:rsidRPr="00C03199">
        <w:rPr>
          <w:rFonts w:ascii="Times New Roman" w:eastAsiaTheme="minorEastAsia" w:hAnsi="Times New Roman" w:cs="Times New Roman"/>
          <w:color w:val="222222"/>
          <w:sz w:val="24"/>
          <w:szCs w:val="20"/>
          <w:shd w:val="clear" w:color="auto" w:fill="FFFFFF"/>
        </w:rPr>
        <w:t xml:space="preserve">represents the cumulative abnormal returns of target firm, s, which is involved </w:t>
      </w:r>
      <w:r w:rsidR="00E232BC" w:rsidRPr="00C03199">
        <w:rPr>
          <w:rFonts w:ascii="Times New Roman" w:eastAsiaTheme="minorEastAsia" w:hAnsi="Times New Roman" w:cs="Times New Roman"/>
          <w:color w:val="222222"/>
          <w:sz w:val="24"/>
          <w:szCs w:val="20"/>
          <w:shd w:val="clear" w:color="auto" w:fill="FFFFFF"/>
        </w:rPr>
        <w:t xml:space="preserve">in a cross-border </w:t>
      </w:r>
      <w:r w:rsidR="007839E3">
        <w:rPr>
          <w:rFonts w:ascii="Times New Roman" w:eastAsiaTheme="minorEastAsia" w:hAnsi="Times New Roman" w:cs="Times New Roman"/>
          <w:color w:val="222222"/>
          <w:sz w:val="24"/>
          <w:szCs w:val="20"/>
          <w:shd w:val="clear" w:color="auto" w:fill="FFFFFF"/>
        </w:rPr>
        <w:t xml:space="preserve">deal. </w:t>
      </w:r>
      <w:r>
        <w:rPr>
          <w:rFonts w:ascii="Times New Roman" w:hAnsi="Times New Roman" w:cs="Times New Roman"/>
          <w:sz w:val="24"/>
        </w:rPr>
        <w:t>In equation 2</w:t>
      </w:r>
      <w:r w:rsidRPr="00C03199">
        <w:rPr>
          <w:rFonts w:ascii="Times New Roman" w:hAnsi="Times New Roman" w:cs="Times New Roman"/>
          <w:sz w:val="24"/>
        </w:rPr>
        <w:t xml:space="preserve">, the dependent variable </w:t>
      </w:r>
      <m:oMath>
        <m:r>
          <w:rPr>
            <w:rFonts w:ascii="Cambria Math" w:eastAsiaTheme="minorEastAsia" w:hAnsi="Cambria Math" w:cs="Times New Roman"/>
            <w:color w:val="222222"/>
            <w:sz w:val="24"/>
            <w:szCs w:val="20"/>
            <w:shd w:val="clear" w:color="auto" w:fill="FFFFFF"/>
          </w:rPr>
          <m:t>C</m:t>
        </m:r>
        <m:sSub>
          <m:sSubPr>
            <m:ctrlPr>
              <w:rPr>
                <w:rFonts w:ascii="Cambria Math" w:hAnsi="Cambria Math" w:cs="Times New Roman"/>
                <w:i/>
                <w:color w:val="222222"/>
                <w:sz w:val="24"/>
                <w:szCs w:val="20"/>
                <w:shd w:val="clear" w:color="auto" w:fill="FFFFFF"/>
              </w:rPr>
            </m:ctrlPr>
          </m:sSubPr>
          <m:e>
            <m:r>
              <w:rPr>
                <w:rFonts w:ascii="Cambria Math" w:hAnsi="Cambria Math" w:cs="Times New Roman"/>
                <w:color w:val="222222"/>
                <w:sz w:val="24"/>
                <w:szCs w:val="20"/>
                <w:shd w:val="clear" w:color="auto" w:fill="FFFFFF"/>
              </w:rPr>
              <m:t>AR</m:t>
            </m:r>
          </m:e>
          <m:sub>
            <m:r>
              <w:rPr>
                <w:rFonts w:ascii="Cambria Math" w:hAnsi="Cambria Math" w:cs="Times New Roman"/>
                <w:color w:val="222222"/>
                <w:sz w:val="24"/>
                <w:szCs w:val="20"/>
                <w:shd w:val="clear" w:color="auto" w:fill="FFFFFF"/>
              </w:rPr>
              <m:t xml:space="preserve">i(T1,  T2) </m:t>
            </m:r>
          </m:sub>
        </m:sSub>
      </m:oMath>
      <w:r w:rsidRPr="00C03199">
        <w:rPr>
          <w:rFonts w:ascii="Times New Roman" w:eastAsiaTheme="minorEastAsia" w:hAnsi="Times New Roman" w:cs="Times New Roman"/>
          <w:color w:val="222222"/>
          <w:sz w:val="24"/>
          <w:szCs w:val="20"/>
          <w:shd w:val="clear" w:color="auto" w:fill="FFFFFF"/>
        </w:rPr>
        <w:t xml:space="preserve">represents </w:t>
      </w:r>
      <w:r>
        <w:rPr>
          <w:rFonts w:ascii="Times New Roman" w:eastAsiaTheme="minorEastAsia" w:hAnsi="Times New Roman" w:cs="Times New Roman"/>
          <w:color w:val="222222"/>
          <w:sz w:val="24"/>
          <w:szCs w:val="20"/>
          <w:shd w:val="clear" w:color="auto" w:fill="FFFFFF"/>
        </w:rPr>
        <w:t>the cumulative abnormal returns of target firm, i,</w:t>
      </w:r>
      <w:r w:rsidRPr="00C03199">
        <w:rPr>
          <w:rFonts w:ascii="Times New Roman" w:eastAsiaTheme="minorEastAsia" w:hAnsi="Times New Roman" w:cs="Times New Roman"/>
          <w:color w:val="222222"/>
          <w:sz w:val="24"/>
          <w:szCs w:val="20"/>
          <w:shd w:val="clear" w:color="auto" w:fill="FFFFFF"/>
        </w:rPr>
        <w:t xml:space="preserve"> for the time period T1 to T2. </w:t>
      </w:r>
      <w:r w:rsidR="00E232BC" w:rsidRPr="00C03199">
        <w:rPr>
          <w:rFonts w:ascii="Times New Roman" w:eastAsiaTheme="minorEastAsia" w:hAnsi="Times New Roman" w:cs="Times New Roman"/>
          <w:color w:val="222222"/>
          <w:sz w:val="24"/>
          <w:szCs w:val="20"/>
          <w:shd w:val="clear" w:color="auto" w:fill="FFFFFF"/>
        </w:rPr>
        <w:t xml:space="preserve">The continuous dependent variables in both equations represent the summation of the percentage of abnormal returns for target firm, i or s, in a time period from T1 to T2. CARs from day </w:t>
      </w:r>
      <w:r w:rsidR="006236C0">
        <w:rPr>
          <w:rFonts w:ascii="Times New Roman" w:eastAsiaTheme="minorEastAsia" w:hAnsi="Times New Roman" w:cs="Times New Roman"/>
          <w:color w:val="222222"/>
          <w:sz w:val="24"/>
          <w:szCs w:val="20"/>
          <w:shd w:val="clear" w:color="auto" w:fill="FFFFFF"/>
        </w:rPr>
        <w:t>t</w:t>
      </w:r>
      <w:r w:rsidR="00E232BC" w:rsidRPr="00C03199">
        <w:rPr>
          <w:rFonts w:ascii="Times New Roman" w:eastAsiaTheme="minorEastAsia" w:hAnsi="Times New Roman" w:cs="Times New Roman"/>
          <w:color w:val="222222"/>
          <w:sz w:val="24"/>
          <w:szCs w:val="20"/>
          <w:shd w:val="clear" w:color="auto" w:fill="FFFFFF"/>
        </w:rPr>
        <w:t xml:space="preserve">0 to </w:t>
      </w:r>
      <w:r w:rsidR="006236C0">
        <w:rPr>
          <w:rFonts w:ascii="Times New Roman" w:eastAsiaTheme="minorEastAsia" w:hAnsi="Times New Roman" w:cs="Times New Roman"/>
          <w:color w:val="222222"/>
          <w:sz w:val="24"/>
          <w:szCs w:val="20"/>
          <w:shd w:val="clear" w:color="auto" w:fill="FFFFFF"/>
        </w:rPr>
        <w:t>t</w:t>
      </w:r>
      <w:r w:rsidR="00E232BC" w:rsidRPr="00C03199">
        <w:rPr>
          <w:rFonts w:ascii="Times New Roman" w:eastAsiaTheme="minorEastAsia" w:hAnsi="Times New Roman" w:cs="Times New Roman"/>
          <w:color w:val="222222"/>
          <w:sz w:val="24"/>
          <w:szCs w:val="20"/>
          <w:shd w:val="clear" w:color="auto" w:fill="FFFFFF"/>
        </w:rPr>
        <w:t xml:space="preserve">+1 and day </w:t>
      </w:r>
      <w:r w:rsidR="006236C0">
        <w:rPr>
          <w:rFonts w:ascii="Times New Roman" w:eastAsiaTheme="minorEastAsia" w:hAnsi="Times New Roman" w:cs="Times New Roman"/>
          <w:color w:val="222222"/>
          <w:sz w:val="24"/>
          <w:szCs w:val="20"/>
          <w:shd w:val="clear" w:color="auto" w:fill="FFFFFF"/>
        </w:rPr>
        <w:t>t</w:t>
      </w:r>
      <w:r w:rsidR="00E232BC" w:rsidRPr="00C03199">
        <w:rPr>
          <w:rFonts w:ascii="Times New Roman" w:eastAsiaTheme="minorEastAsia" w:hAnsi="Times New Roman" w:cs="Times New Roman"/>
          <w:color w:val="222222"/>
          <w:sz w:val="24"/>
          <w:szCs w:val="20"/>
          <w:shd w:val="clear" w:color="auto" w:fill="FFFFFF"/>
        </w:rPr>
        <w:t xml:space="preserve">-1 to </w:t>
      </w:r>
      <w:r w:rsidR="006236C0">
        <w:rPr>
          <w:rFonts w:ascii="Times New Roman" w:eastAsiaTheme="minorEastAsia" w:hAnsi="Times New Roman" w:cs="Times New Roman"/>
          <w:color w:val="222222"/>
          <w:sz w:val="24"/>
          <w:szCs w:val="20"/>
          <w:shd w:val="clear" w:color="auto" w:fill="FFFFFF"/>
        </w:rPr>
        <w:t>t</w:t>
      </w:r>
      <w:r w:rsidR="00E232BC" w:rsidRPr="00C03199">
        <w:rPr>
          <w:rFonts w:ascii="Times New Roman" w:eastAsiaTheme="minorEastAsia" w:hAnsi="Times New Roman" w:cs="Times New Roman"/>
          <w:color w:val="222222"/>
          <w:sz w:val="24"/>
          <w:szCs w:val="20"/>
          <w:shd w:val="clear" w:color="auto" w:fill="FFFFFF"/>
        </w:rPr>
        <w:t xml:space="preserve">+5, relative to the event date, </w:t>
      </w:r>
      <w:r w:rsidR="00DC5FC3" w:rsidRPr="00C03199">
        <w:rPr>
          <w:rFonts w:ascii="Times New Roman" w:eastAsiaTheme="minorEastAsia" w:hAnsi="Times New Roman" w:cs="Times New Roman"/>
          <w:color w:val="222222"/>
          <w:sz w:val="24"/>
          <w:szCs w:val="20"/>
          <w:shd w:val="clear" w:color="auto" w:fill="FFFFFF"/>
        </w:rPr>
        <w:t>are</w:t>
      </w:r>
      <w:r w:rsidR="00E232BC" w:rsidRPr="00C03199">
        <w:rPr>
          <w:rFonts w:ascii="Times New Roman" w:eastAsiaTheme="minorEastAsia" w:hAnsi="Times New Roman" w:cs="Times New Roman"/>
          <w:color w:val="222222"/>
          <w:sz w:val="24"/>
          <w:szCs w:val="20"/>
          <w:shd w:val="clear" w:color="auto" w:fill="FFFFFF"/>
        </w:rPr>
        <w:t xml:space="preserve"> each used once as the dependent variable in both equations.</w:t>
      </w:r>
    </w:p>
    <w:p w14:paraId="0257A1CD" w14:textId="77777777" w:rsidR="00CC6B17" w:rsidRPr="0024206F" w:rsidRDefault="00CC6B17" w:rsidP="0024206F">
      <w:pPr>
        <w:spacing w:after="0" w:line="360" w:lineRule="auto"/>
        <w:jc w:val="both"/>
        <w:rPr>
          <w:rFonts w:ascii="Times New Roman" w:hAnsi="Times New Roman" w:cs="Times New Roman"/>
          <w:sz w:val="24"/>
        </w:rPr>
      </w:pPr>
    </w:p>
    <w:p w14:paraId="514A458C" w14:textId="31496F06" w:rsidR="00DC5FC3" w:rsidRPr="00C03199" w:rsidRDefault="00DC5FC3" w:rsidP="00DC5FC3">
      <w:pPr>
        <w:spacing w:after="120" w:line="360" w:lineRule="auto"/>
        <w:rPr>
          <w:rFonts w:ascii="Times New Roman" w:eastAsiaTheme="minorEastAsia" w:hAnsi="Times New Roman" w:cs="Times New Roman"/>
          <w:i/>
          <w:sz w:val="24"/>
        </w:rPr>
      </w:pPr>
      <w:r w:rsidRPr="00C03199">
        <w:rPr>
          <w:rFonts w:ascii="Times New Roman" w:eastAsiaTheme="minorEastAsia" w:hAnsi="Times New Roman" w:cs="Times New Roman"/>
          <w:i/>
          <w:sz w:val="24"/>
        </w:rPr>
        <w:t>4.3.2 Independent variables</w:t>
      </w:r>
    </w:p>
    <w:p w14:paraId="2A31EBB1" w14:textId="0DBBACEE" w:rsidR="00F76FAC" w:rsidRPr="00C03199" w:rsidRDefault="00657C5C" w:rsidP="00CC2C33">
      <w:pPr>
        <w:spacing w:after="0" w:line="360" w:lineRule="auto"/>
        <w:jc w:val="both"/>
        <w:rPr>
          <w:rFonts w:ascii="Times New Roman" w:eastAsiaTheme="minorEastAsia" w:hAnsi="Times New Roman" w:cs="Times New Roman"/>
          <w:color w:val="222222"/>
          <w:sz w:val="24"/>
          <w:szCs w:val="20"/>
          <w:shd w:val="clear" w:color="auto" w:fill="FFFFFF"/>
        </w:rPr>
      </w:pPr>
      <w:r>
        <w:rPr>
          <w:rFonts w:ascii="Times New Roman" w:eastAsiaTheme="minorEastAsia" w:hAnsi="Times New Roman" w:cs="Times New Roman"/>
          <w:color w:val="222222"/>
          <w:sz w:val="24"/>
          <w:szCs w:val="20"/>
          <w:shd w:val="clear" w:color="auto" w:fill="FFFFFF"/>
        </w:rPr>
        <w:t>In equation 1</w:t>
      </w:r>
      <w:r w:rsidR="008377B0" w:rsidRPr="00C03199">
        <w:rPr>
          <w:rFonts w:ascii="Times New Roman" w:eastAsiaTheme="minorEastAsia" w:hAnsi="Times New Roman" w:cs="Times New Roman"/>
          <w:color w:val="222222"/>
          <w:sz w:val="24"/>
          <w:szCs w:val="20"/>
          <w:shd w:val="clear" w:color="auto" w:fill="FFFFFF"/>
        </w:rPr>
        <w:t>, several independent variables are chosen to test the different hypotheses of the paper.  To test the market access hypothesis, the dummy variable “</w:t>
      </w:r>
      <w:r w:rsidR="008377B0" w:rsidRPr="00C03199">
        <w:rPr>
          <w:rFonts w:ascii="Times New Roman" w:eastAsiaTheme="minorEastAsia" w:hAnsi="Times New Roman" w:cs="Times New Roman"/>
          <w:i/>
          <w:color w:val="222222"/>
          <w:sz w:val="24"/>
          <w:szCs w:val="20"/>
          <w:shd w:val="clear" w:color="auto" w:fill="FFFFFF"/>
        </w:rPr>
        <w:t xml:space="preserve">Prior EU Operations” </w:t>
      </w:r>
      <w:r w:rsidR="008377B0" w:rsidRPr="00C03199">
        <w:rPr>
          <w:rFonts w:ascii="Times New Roman" w:eastAsiaTheme="minorEastAsia" w:hAnsi="Times New Roman" w:cs="Times New Roman"/>
          <w:color w:val="222222"/>
          <w:sz w:val="24"/>
          <w:szCs w:val="20"/>
          <w:shd w:val="clear" w:color="auto" w:fill="FFFFFF"/>
        </w:rPr>
        <w:t xml:space="preserve">which takes a value of 1 if the acquirer had operations in Europe prior to bid and 0 otherwise. </w:t>
      </w:r>
      <w:r w:rsidR="00D22837" w:rsidRPr="00C03199">
        <w:rPr>
          <w:rFonts w:ascii="Times New Roman" w:eastAsiaTheme="minorEastAsia" w:hAnsi="Times New Roman" w:cs="Times New Roman"/>
          <w:color w:val="222222"/>
          <w:sz w:val="24"/>
          <w:szCs w:val="20"/>
          <w:shd w:val="clear" w:color="auto" w:fill="FFFFFF"/>
        </w:rPr>
        <w:t xml:space="preserve">The acquirer region dummy variables, which are explained in the appendix, are used to test for the international risk diversification hypothesis; </w:t>
      </w:r>
      <w:r>
        <w:rPr>
          <w:rFonts w:ascii="Times New Roman" w:eastAsiaTheme="minorEastAsia" w:hAnsi="Times New Roman" w:cs="Times New Roman"/>
          <w:color w:val="222222"/>
          <w:sz w:val="24"/>
          <w:szCs w:val="20"/>
          <w:shd w:val="clear" w:color="auto" w:fill="FFFFFF"/>
        </w:rPr>
        <w:t xml:space="preserve">these variables take a value of </w:t>
      </w:r>
      <w:r w:rsidR="00D22837" w:rsidRPr="00C03199">
        <w:rPr>
          <w:rFonts w:ascii="Times New Roman" w:eastAsiaTheme="minorEastAsia" w:hAnsi="Times New Roman" w:cs="Times New Roman"/>
          <w:color w:val="222222"/>
          <w:sz w:val="24"/>
          <w:szCs w:val="20"/>
          <w:shd w:val="clear" w:color="auto" w:fill="FFFFFF"/>
        </w:rPr>
        <w:t xml:space="preserve">1 if the acquirer is from the corresponding region and 0 otherwise. </w:t>
      </w:r>
      <w:r w:rsidR="00D87103" w:rsidRPr="00C03199">
        <w:rPr>
          <w:rFonts w:ascii="Times New Roman" w:eastAsiaTheme="minorEastAsia" w:hAnsi="Times New Roman" w:cs="Times New Roman"/>
          <w:color w:val="222222"/>
          <w:sz w:val="24"/>
          <w:szCs w:val="20"/>
          <w:shd w:val="clear" w:color="auto" w:fill="FFFFFF"/>
        </w:rPr>
        <w:t xml:space="preserve">The continuous variable </w:t>
      </w:r>
      <w:r w:rsidR="00D87103" w:rsidRPr="00C03199">
        <w:rPr>
          <w:rFonts w:ascii="Times New Roman" w:eastAsiaTheme="minorEastAsia" w:hAnsi="Times New Roman" w:cs="Times New Roman"/>
          <w:i/>
          <w:color w:val="222222"/>
          <w:sz w:val="24"/>
          <w:szCs w:val="20"/>
          <w:shd w:val="clear" w:color="auto" w:fill="FFFFFF"/>
        </w:rPr>
        <w:t xml:space="preserve">“Exchange Rate” </w:t>
      </w:r>
      <w:r w:rsidR="00D87103" w:rsidRPr="00C03199">
        <w:rPr>
          <w:rFonts w:ascii="Times New Roman" w:eastAsiaTheme="minorEastAsia" w:hAnsi="Times New Roman" w:cs="Times New Roman"/>
          <w:color w:val="222222"/>
          <w:sz w:val="24"/>
          <w:szCs w:val="20"/>
          <w:shd w:val="clear" w:color="auto" w:fill="FFFFFF"/>
        </w:rPr>
        <w:t xml:space="preserve">represents the foreign bidder’s currency to that target’s currency; it is used to test the exchange rate hypothesis. </w:t>
      </w:r>
      <w:r>
        <w:rPr>
          <w:rFonts w:ascii="Times New Roman" w:eastAsiaTheme="minorEastAsia" w:hAnsi="Times New Roman" w:cs="Times New Roman"/>
          <w:color w:val="222222"/>
          <w:sz w:val="24"/>
          <w:szCs w:val="20"/>
          <w:shd w:val="clear" w:color="auto" w:fill="FFFFFF"/>
        </w:rPr>
        <w:t>In equation 2</w:t>
      </w:r>
      <w:r w:rsidRPr="00C03199">
        <w:rPr>
          <w:rFonts w:ascii="Times New Roman" w:eastAsiaTheme="minorEastAsia" w:hAnsi="Times New Roman" w:cs="Times New Roman"/>
          <w:color w:val="222222"/>
          <w:sz w:val="24"/>
          <w:szCs w:val="20"/>
          <w:shd w:val="clear" w:color="auto" w:fill="FFFFFF"/>
        </w:rPr>
        <w:t>, above, “</w:t>
      </w:r>
      <w:r w:rsidRPr="00C03199">
        <w:rPr>
          <w:rFonts w:ascii="Times New Roman" w:eastAsiaTheme="minorEastAsia" w:hAnsi="Times New Roman" w:cs="Times New Roman"/>
          <w:i/>
          <w:color w:val="222222"/>
          <w:sz w:val="24"/>
          <w:szCs w:val="20"/>
          <w:shd w:val="clear" w:color="auto" w:fill="FFFFFF"/>
        </w:rPr>
        <w:t xml:space="preserve">CROSS” </w:t>
      </w:r>
      <w:r w:rsidRPr="00C03199">
        <w:rPr>
          <w:rFonts w:ascii="Times New Roman" w:eastAsiaTheme="minorEastAsia" w:hAnsi="Times New Roman" w:cs="Times New Roman"/>
          <w:color w:val="222222"/>
          <w:sz w:val="24"/>
          <w:szCs w:val="20"/>
          <w:shd w:val="clear" w:color="auto" w:fill="FFFFFF"/>
        </w:rPr>
        <w:t xml:space="preserve">is the independent variable, which is </w:t>
      </w:r>
      <w:r>
        <w:rPr>
          <w:rFonts w:ascii="Times New Roman" w:eastAsiaTheme="minorEastAsia" w:hAnsi="Times New Roman" w:cs="Times New Roman"/>
          <w:color w:val="222222"/>
          <w:sz w:val="24"/>
          <w:szCs w:val="20"/>
          <w:shd w:val="clear" w:color="auto" w:fill="FFFFFF"/>
        </w:rPr>
        <w:t xml:space="preserve">a </w:t>
      </w:r>
      <w:r w:rsidRPr="00C03199">
        <w:rPr>
          <w:rFonts w:ascii="Times New Roman" w:eastAsiaTheme="minorEastAsia" w:hAnsi="Times New Roman" w:cs="Times New Roman"/>
          <w:color w:val="222222"/>
          <w:sz w:val="24"/>
          <w:szCs w:val="20"/>
          <w:shd w:val="clear" w:color="auto" w:fill="FFFFFF"/>
        </w:rPr>
        <w:t xml:space="preserve">dummy variable that takes a value of 1 if the target company is involved in a cross-border deal and 0 otherwise. It is designed to capture if </w:t>
      </w:r>
      <w:r>
        <w:rPr>
          <w:rFonts w:ascii="Times New Roman" w:eastAsiaTheme="minorEastAsia" w:hAnsi="Times New Roman" w:cs="Times New Roman"/>
          <w:color w:val="222222"/>
          <w:sz w:val="24"/>
          <w:szCs w:val="20"/>
          <w:shd w:val="clear" w:color="auto" w:fill="FFFFFF"/>
        </w:rPr>
        <w:t xml:space="preserve">the cumulative abnormal returns are significantly </w:t>
      </w:r>
      <w:r w:rsidR="007839E3">
        <w:rPr>
          <w:rFonts w:ascii="Times New Roman" w:eastAsiaTheme="minorEastAsia" w:hAnsi="Times New Roman" w:cs="Times New Roman"/>
          <w:color w:val="222222"/>
          <w:sz w:val="24"/>
          <w:szCs w:val="20"/>
          <w:shd w:val="clear" w:color="auto" w:fill="FFFFFF"/>
        </w:rPr>
        <w:t>distinct</w:t>
      </w:r>
      <w:r>
        <w:rPr>
          <w:rFonts w:ascii="Times New Roman" w:eastAsiaTheme="minorEastAsia" w:hAnsi="Times New Roman" w:cs="Times New Roman"/>
          <w:color w:val="222222"/>
          <w:sz w:val="24"/>
          <w:szCs w:val="20"/>
          <w:shd w:val="clear" w:color="auto" w:fill="FFFFFF"/>
        </w:rPr>
        <w:t xml:space="preserve"> to target firms in cross-border than domestic acquisitions. </w:t>
      </w:r>
    </w:p>
    <w:p w14:paraId="532E1B6E" w14:textId="77777777" w:rsidR="00F65F7E" w:rsidRPr="00C03199" w:rsidRDefault="00F65F7E" w:rsidP="00CC2C33">
      <w:pPr>
        <w:spacing w:after="0" w:line="360" w:lineRule="auto"/>
        <w:jc w:val="both"/>
        <w:rPr>
          <w:rFonts w:ascii="Times New Roman" w:eastAsiaTheme="minorEastAsia" w:hAnsi="Times New Roman" w:cs="Times New Roman"/>
          <w:color w:val="222222"/>
          <w:sz w:val="24"/>
          <w:szCs w:val="20"/>
          <w:shd w:val="clear" w:color="auto" w:fill="FFFFFF"/>
        </w:rPr>
      </w:pPr>
    </w:p>
    <w:p w14:paraId="2ADF2075" w14:textId="3732CD2C" w:rsidR="00F65F7E" w:rsidRPr="00C03199" w:rsidRDefault="00F65F7E" w:rsidP="00F65F7E">
      <w:pPr>
        <w:spacing w:after="120" w:line="360" w:lineRule="auto"/>
        <w:jc w:val="both"/>
        <w:rPr>
          <w:rFonts w:ascii="Times New Roman" w:eastAsiaTheme="minorEastAsia" w:hAnsi="Times New Roman" w:cs="Times New Roman"/>
          <w:i/>
          <w:color w:val="222222"/>
          <w:sz w:val="24"/>
          <w:szCs w:val="20"/>
          <w:shd w:val="clear" w:color="auto" w:fill="FFFFFF"/>
        </w:rPr>
      </w:pPr>
      <w:r w:rsidRPr="00C03199">
        <w:rPr>
          <w:rFonts w:ascii="Times New Roman" w:eastAsiaTheme="minorEastAsia" w:hAnsi="Times New Roman" w:cs="Times New Roman"/>
          <w:i/>
          <w:color w:val="222222"/>
          <w:sz w:val="24"/>
          <w:szCs w:val="20"/>
          <w:shd w:val="clear" w:color="auto" w:fill="FFFFFF"/>
        </w:rPr>
        <w:t>4.3.3 Control variables</w:t>
      </w:r>
    </w:p>
    <w:p w14:paraId="584B2C20" w14:textId="56E8BC96" w:rsidR="009D1534" w:rsidRDefault="007257D1" w:rsidP="009D1534">
      <w:pPr>
        <w:spacing w:after="0" w:line="360" w:lineRule="auto"/>
        <w:jc w:val="both"/>
        <w:rPr>
          <w:rFonts w:ascii="Times New Roman" w:hAnsi="Times New Roman" w:cs="Times New Roman"/>
          <w:sz w:val="24"/>
        </w:rPr>
      </w:pPr>
      <w:r w:rsidRPr="00C03199">
        <w:rPr>
          <w:rFonts w:ascii="Times New Roman" w:eastAsiaTheme="minorEastAsia" w:hAnsi="Times New Roman" w:cs="Times New Roman"/>
          <w:color w:val="222222"/>
          <w:sz w:val="24"/>
          <w:szCs w:val="20"/>
          <w:shd w:val="clear" w:color="auto" w:fill="FFFFFF"/>
        </w:rPr>
        <w:t>The remaining variables are control variables</w:t>
      </w:r>
      <w:r w:rsidR="0050035A" w:rsidRPr="00C03199">
        <w:rPr>
          <w:rFonts w:ascii="Times New Roman" w:eastAsiaTheme="minorEastAsia" w:hAnsi="Times New Roman" w:cs="Times New Roman"/>
          <w:color w:val="222222"/>
          <w:sz w:val="24"/>
          <w:szCs w:val="20"/>
          <w:shd w:val="clear" w:color="auto" w:fill="FFFFFF"/>
        </w:rPr>
        <w:t xml:space="preserve"> </w:t>
      </w:r>
      <w:r w:rsidR="006D3579" w:rsidRPr="00C03199">
        <w:rPr>
          <w:rFonts w:ascii="Times New Roman" w:eastAsiaTheme="minorEastAsia" w:hAnsi="Times New Roman" w:cs="Times New Roman"/>
          <w:color w:val="222222"/>
          <w:sz w:val="24"/>
          <w:szCs w:val="20"/>
          <w:shd w:val="clear" w:color="auto" w:fill="FFFFFF"/>
        </w:rPr>
        <w:t>that are</w:t>
      </w:r>
      <w:r w:rsidRPr="00C03199">
        <w:rPr>
          <w:rFonts w:ascii="Times New Roman" w:eastAsiaTheme="minorEastAsia" w:hAnsi="Times New Roman" w:cs="Times New Roman"/>
          <w:color w:val="222222"/>
          <w:sz w:val="24"/>
          <w:szCs w:val="20"/>
          <w:shd w:val="clear" w:color="auto" w:fill="FFFFFF"/>
        </w:rPr>
        <w:t xml:space="preserve"> used to control for </w:t>
      </w:r>
      <w:r w:rsidRPr="00C03199">
        <w:rPr>
          <w:rFonts w:ascii="Times New Roman" w:hAnsi="Times New Roman" w:cs="Times New Roman"/>
          <w:sz w:val="24"/>
        </w:rPr>
        <w:t>the diff</w:t>
      </w:r>
      <w:r w:rsidR="006D3579" w:rsidRPr="00C03199">
        <w:rPr>
          <w:rFonts w:ascii="Times New Roman" w:hAnsi="Times New Roman" w:cs="Times New Roman"/>
          <w:sz w:val="24"/>
        </w:rPr>
        <w:t xml:space="preserve">erences in </w:t>
      </w:r>
      <w:r w:rsidR="00F05FA6">
        <w:rPr>
          <w:rFonts w:ascii="Times New Roman" w:hAnsi="Times New Roman" w:cs="Times New Roman"/>
          <w:sz w:val="24"/>
        </w:rPr>
        <w:t xml:space="preserve">the </w:t>
      </w:r>
      <w:r w:rsidR="006D3579" w:rsidRPr="00C03199">
        <w:rPr>
          <w:rFonts w:ascii="Times New Roman" w:hAnsi="Times New Roman" w:cs="Times New Roman"/>
          <w:sz w:val="24"/>
        </w:rPr>
        <w:t>deal</w:t>
      </w:r>
      <w:r w:rsidR="00657C5C">
        <w:rPr>
          <w:rFonts w:ascii="Times New Roman" w:hAnsi="Times New Roman" w:cs="Times New Roman"/>
          <w:sz w:val="24"/>
        </w:rPr>
        <w:t xml:space="preserve"> and firm-specific</w:t>
      </w:r>
      <w:r w:rsidR="006D3579" w:rsidRPr="00C03199">
        <w:rPr>
          <w:rFonts w:ascii="Times New Roman" w:hAnsi="Times New Roman" w:cs="Times New Roman"/>
          <w:sz w:val="24"/>
        </w:rPr>
        <w:t xml:space="preserve"> characteristics</w:t>
      </w:r>
      <w:r w:rsidRPr="00C03199">
        <w:rPr>
          <w:rFonts w:ascii="Times New Roman" w:hAnsi="Times New Roman" w:cs="Times New Roman"/>
          <w:sz w:val="24"/>
        </w:rPr>
        <w:t xml:space="preserve">, </w:t>
      </w:r>
      <w:r w:rsidR="00F05FA6">
        <w:rPr>
          <w:rFonts w:ascii="Times New Roman" w:hAnsi="Times New Roman" w:cs="Times New Roman"/>
          <w:sz w:val="24"/>
        </w:rPr>
        <w:t xml:space="preserve">target </w:t>
      </w:r>
      <w:r w:rsidRPr="00C03199">
        <w:rPr>
          <w:rFonts w:ascii="Times New Roman" w:hAnsi="Times New Roman" w:cs="Times New Roman"/>
          <w:sz w:val="24"/>
        </w:rPr>
        <w:t>industry, target country</w:t>
      </w:r>
      <w:r w:rsidR="00F05FA6">
        <w:rPr>
          <w:rFonts w:ascii="Times New Roman" w:hAnsi="Times New Roman" w:cs="Times New Roman"/>
          <w:sz w:val="24"/>
        </w:rPr>
        <w:t>, and acquirer region</w:t>
      </w:r>
      <w:r w:rsidRPr="00C03199">
        <w:rPr>
          <w:rFonts w:ascii="Times New Roman" w:hAnsi="Times New Roman" w:cs="Times New Roman"/>
          <w:sz w:val="24"/>
        </w:rPr>
        <w:t xml:space="preserve"> effects. </w:t>
      </w:r>
      <w:r w:rsidR="007839E3" w:rsidRPr="007839E3">
        <w:rPr>
          <w:rFonts w:ascii="Times New Roman" w:hAnsi="Times New Roman" w:cs="Times New Roman"/>
          <w:sz w:val="24"/>
        </w:rPr>
        <w:t>All details of the variables' definition, type, calculation, and source are discussed in the appendix, section</w:t>
      </w:r>
      <w:r w:rsidR="007839E3">
        <w:rPr>
          <w:rFonts w:ascii="Times New Roman" w:hAnsi="Times New Roman" w:cs="Times New Roman"/>
          <w:sz w:val="24"/>
        </w:rPr>
        <w:t xml:space="preserve"> “A”. </w:t>
      </w:r>
    </w:p>
    <w:p w14:paraId="3997B516" w14:textId="77777777" w:rsidR="009D1534" w:rsidRDefault="009D1534" w:rsidP="009D1534">
      <w:pPr>
        <w:spacing w:after="0" w:line="360" w:lineRule="auto"/>
        <w:jc w:val="both"/>
        <w:rPr>
          <w:rFonts w:ascii="Times New Roman" w:hAnsi="Times New Roman" w:cs="Times New Roman"/>
          <w:sz w:val="24"/>
        </w:rPr>
      </w:pPr>
    </w:p>
    <w:p w14:paraId="0C0AEABB" w14:textId="77777777" w:rsidR="009D1534" w:rsidRPr="009D1534" w:rsidRDefault="009D1534" w:rsidP="009D1534">
      <w:pPr>
        <w:spacing w:after="0" w:line="360" w:lineRule="auto"/>
        <w:jc w:val="both"/>
        <w:rPr>
          <w:rFonts w:ascii="Times New Roman" w:hAnsi="Times New Roman" w:cs="Times New Roman"/>
          <w:sz w:val="24"/>
        </w:rPr>
      </w:pPr>
    </w:p>
    <w:p w14:paraId="682A961E" w14:textId="1564EBCC" w:rsidR="009E56B2" w:rsidRPr="00C03199" w:rsidRDefault="009E56B2" w:rsidP="00A26F01">
      <w:pPr>
        <w:spacing w:afterLines="120" w:after="288" w:line="360" w:lineRule="auto"/>
        <w:jc w:val="both"/>
        <w:rPr>
          <w:rFonts w:ascii="Times New Roman" w:eastAsiaTheme="minorEastAsia" w:hAnsi="Times New Roman" w:cs="Times New Roman"/>
          <w:b/>
          <w:color w:val="222222"/>
          <w:sz w:val="24"/>
          <w:szCs w:val="20"/>
          <w:shd w:val="clear" w:color="auto" w:fill="FFFFFF"/>
        </w:rPr>
      </w:pPr>
      <w:r w:rsidRPr="00C03199">
        <w:rPr>
          <w:rFonts w:ascii="Times New Roman" w:eastAsiaTheme="minorEastAsia" w:hAnsi="Times New Roman" w:cs="Times New Roman"/>
          <w:b/>
          <w:color w:val="222222"/>
          <w:sz w:val="24"/>
          <w:szCs w:val="20"/>
          <w:shd w:val="clear" w:color="auto" w:fill="FFFFFF"/>
        </w:rPr>
        <w:lastRenderedPageBreak/>
        <w:t xml:space="preserve">5.  </w:t>
      </w:r>
      <w:r w:rsidR="007839E3">
        <w:rPr>
          <w:rFonts w:ascii="Times New Roman" w:eastAsiaTheme="minorEastAsia" w:hAnsi="Times New Roman" w:cs="Times New Roman"/>
          <w:b/>
          <w:color w:val="222222"/>
          <w:sz w:val="24"/>
          <w:szCs w:val="20"/>
          <w:shd w:val="clear" w:color="auto" w:fill="FFFFFF"/>
        </w:rPr>
        <w:t xml:space="preserve">Results </w:t>
      </w:r>
    </w:p>
    <w:p w14:paraId="29B0AB71" w14:textId="4E93385E" w:rsidR="009E56B2" w:rsidRPr="00C03199" w:rsidRDefault="009E56B2" w:rsidP="00FF0106">
      <w:pPr>
        <w:spacing w:after="120" w:line="360" w:lineRule="auto"/>
        <w:jc w:val="both"/>
        <w:rPr>
          <w:rFonts w:ascii="Times New Roman" w:eastAsiaTheme="minorEastAsia" w:hAnsi="Times New Roman" w:cs="Times New Roman"/>
          <w:i/>
          <w:color w:val="222222"/>
          <w:sz w:val="24"/>
          <w:szCs w:val="20"/>
          <w:shd w:val="clear" w:color="auto" w:fill="FFFFFF"/>
        </w:rPr>
      </w:pPr>
      <w:r w:rsidRPr="00C03199">
        <w:rPr>
          <w:rFonts w:ascii="Times New Roman" w:eastAsiaTheme="minorEastAsia" w:hAnsi="Times New Roman" w:cs="Times New Roman"/>
          <w:i/>
          <w:color w:val="222222"/>
          <w:sz w:val="24"/>
          <w:szCs w:val="20"/>
          <w:shd w:val="clear" w:color="auto" w:fill="FFFFFF"/>
        </w:rPr>
        <w:t xml:space="preserve">5.1 </w:t>
      </w:r>
      <w:r w:rsidR="009E4FEB">
        <w:rPr>
          <w:rFonts w:ascii="Times New Roman" w:eastAsiaTheme="minorEastAsia" w:hAnsi="Times New Roman" w:cs="Times New Roman"/>
          <w:i/>
          <w:color w:val="222222"/>
          <w:sz w:val="24"/>
          <w:szCs w:val="20"/>
          <w:shd w:val="clear" w:color="auto" w:fill="FFFFFF"/>
        </w:rPr>
        <w:t>The abnormal and cumulative abnormal returns to target firms in domestic deals</w:t>
      </w:r>
      <w:r w:rsidRPr="00C03199">
        <w:rPr>
          <w:rFonts w:ascii="Times New Roman" w:eastAsiaTheme="minorEastAsia" w:hAnsi="Times New Roman" w:cs="Times New Roman"/>
          <w:i/>
          <w:color w:val="222222"/>
          <w:sz w:val="24"/>
          <w:szCs w:val="20"/>
          <w:shd w:val="clear" w:color="auto" w:fill="FFFFFF"/>
        </w:rPr>
        <w:t xml:space="preserve"> </w:t>
      </w:r>
    </w:p>
    <w:p w14:paraId="42AABCCC" w14:textId="1CBB17E4" w:rsidR="00CC6B17" w:rsidRDefault="001D6D23" w:rsidP="00CC6B17">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t>The sample contains</w:t>
      </w:r>
      <w:r w:rsidR="00FF0106" w:rsidRPr="00C03199">
        <w:rPr>
          <w:rFonts w:ascii="Times New Roman" w:eastAsiaTheme="minorEastAsia" w:hAnsi="Times New Roman" w:cs="Times New Roman"/>
          <w:color w:val="222222"/>
          <w:sz w:val="24"/>
          <w:szCs w:val="20"/>
          <w:shd w:val="clear" w:color="auto" w:fill="FFFFFF"/>
        </w:rPr>
        <w:t xml:space="preserve"> 654 target companies, listed in ten different Western European countries, involved in domestic acquisitions from 1990 to 2018. The average abnormal and cumulative abnormal returns for the whole sub-sample are presented in</w:t>
      </w:r>
      <w:r w:rsidR="00F05FA6">
        <w:rPr>
          <w:rFonts w:ascii="Times New Roman" w:eastAsiaTheme="minorEastAsia" w:hAnsi="Times New Roman" w:cs="Times New Roman"/>
          <w:color w:val="222222"/>
          <w:sz w:val="24"/>
          <w:szCs w:val="20"/>
          <w:shd w:val="clear" w:color="auto" w:fill="FFFFFF"/>
        </w:rPr>
        <w:t xml:space="preserve"> the</w:t>
      </w:r>
      <w:r w:rsidR="00FF0106" w:rsidRPr="00C03199">
        <w:rPr>
          <w:rFonts w:ascii="Times New Roman" w:eastAsiaTheme="minorEastAsia" w:hAnsi="Times New Roman" w:cs="Times New Roman"/>
          <w:color w:val="222222"/>
          <w:sz w:val="24"/>
          <w:szCs w:val="20"/>
          <w:shd w:val="clear" w:color="auto" w:fill="FFFFFF"/>
        </w:rPr>
        <w:t xml:space="preserve"> second and third columns of table 2. As seen in table</w:t>
      </w:r>
      <w:r w:rsidRPr="00C03199">
        <w:rPr>
          <w:rFonts w:ascii="Times New Roman" w:eastAsiaTheme="minorEastAsia" w:hAnsi="Times New Roman" w:cs="Times New Roman"/>
          <w:color w:val="222222"/>
          <w:sz w:val="24"/>
          <w:szCs w:val="20"/>
          <w:shd w:val="clear" w:color="auto" w:fill="FFFFFF"/>
        </w:rPr>
        <w:t xml:space="preserve"> 2</w:t>
      </w:r>
      <w:r w:rsidR="00A0475A" w:rsidRPr="00C03199">
        <w:rPr>
          <w:rFonts w:ascii="Times New Roman" w:eastAsiaTheme="minorEastAsia" w:hAnsi="Times New Roman" w:cs="Times New Roman"/>
          <w:color w:val="222222"/>
          <w:sz w:val="24"/>
          <w:szCs w:val="20"/>
          <w:shd w:val="clear" w:color="auto" w:fill="FFFFFF"/>
        </w:rPr>
        <w:t>, target firms</w:t>
      </w:r>
      <w:r w:rsidR="00FF0106" w:rsidRPr="00C03199">
        <w:rPr>
          <w:rFonts w:ascii="Times New Roman" w:eastAsiaTheme="minorEastAsia" w:hAnsi="Times New Roman" w:cs="Times New Roman"/>
          <w:color w:val="222222"/>
          <w:sz w:val="24"/>
          <w:szCs w:val="20"/>
          <w:shd w:val="clear" w:color="auto" w:fill="FFFFFF"/>
        </w:rPr>
        <w:t xml:space="preserve"> in domestic acquisitions earn highly significant</w:t>
      </w:r>
      <w:r w:rsidR="00C86402" w:rsidRPr="00C03199">
        <w:rPr>
          <w:rFonts w:ascii="Times New Roman" w:eastAsiaTheme="minorEastAsia" w:hAnsi="Times New Roman" w:cs="Times New Roman"/>
          <w:color w:val="222222"/>
          <w:sz w:val="24"/>
          <w:szCs w:val="20"/>
          <w:shd w:val="clear" w:color="auto" w:fill="FFFFFF"/>
        </w:rPr>
        <w:t>, a</w:t>
      </w:r>
      <w:r w:rsidR="003F7A76" w:rsidRPr="00C03199">
        <w:rPr>
          <w:rFonts w:ascii="Times New Roman" w:eastAsiaTheme="minorEastAsia" w:hAnsi="Times New Roman" w:cs="Times New Roman"/>
          <w:color w:val="222222"/>
          <w:sz w:val="24"/>
          <w:szCs w:val="20"/>
          <w:shd w:val="clear" w:color="auto" w:fill="FFFFFF"/>
        </w:rPr>
        <w:t>t</w:t>
      </w:r>
      <w:r w:rsidR="00C86402" w:rsidRPr="00C03199">
        <w:rPr>
          <w:rFonts w:ascii="Times New Roman" w:eastAsiaTheme="minorEastAsia" w:hAnsi="Times New Roman" w:cs="Times New Roman"/>
          <w:color w:val="222222"/>
          <w:sz w:val="24"/>
          <w:szCs w:val="20"/>
          <w:shd w:val="clear" w:color="auto" w:fill="FFFFFF"/>
        </w:rPr>
        <w:t xml:space="preserve"> </w:t>
      </w:r>
      <w:r w:rsidR="003F7A76" w:rsidRPr="00C03199">
        <w:rPr>
          <w:rFonts w:ascii="Times New Roman" w:eastAsiaTheme="minorEastAsia" w:hAnsi="Times New Roman" w:cs="Times New Roman"/>
          <w:color w:val="222222"/>
          <w:sz w:val="24"/>
          <w:szCs w:val="20"/>
          <w:shd w:val="clear" w:color="auto" w:fill="FFFFFF"/>
        </w:rPr>
        <w:t xml:space="preserve">a </w:t>
      </w:r>
      <w:r w:rsidR="00C86402" w:rsidRPr="00C03199">
        <w:rPr>
          <w:rFonts w:ascii="Times New Roman" w:eastAsiaTheme="minorEastAsia" w:hAnsi="Times New Roman" w:cs="Times New Roman"/>
          <w:color w:val="222222"/>
          <w:sz w:val="24"/>
          <w:szCs w:val="20"/>
          <w:shd w:val="clear" w:color="auto" w:fill="FFFFFF"/>
        </w:rPr>
        <w:t>sta</w:t>
      </w:r>
      <w:r w:rsidR="003F7A76" w:rsidRPr="00C03199">
        <w:rPr>
          <w:rFonts w:ascii="Times New Roman" w:eastAsiaTheme="minorEastAsia" w:hAnsi="Times New Roman" w:cs="Times New Roman"/>
          <w:color w:val="222222"/>
          <w:sz w:val="24"/>
          <w:szCs w:val="20"/>
          <w:shd w:val="clear" w:color="auto" w:fill="FFFFFF"/>
        </w:rPr>
        <w:t>tistical significance level of 1% or 5</w:t>
      </w:r>
      <w:r w:rsidR="00C86402" w:rsidRPr="00C03199">
        <w:rPr>
          <w:rFonts w:ascii="Times New Roman" w:eastAsiaTheme="minorEastAsia" w:hAnsi="Times New Roman" w:cs="Times New Roman"/>
          <w:color w:val="222222"/>
          <w:sz w:val="24"/>
          <w:szCs w:val="20"/>
          <w:shd w:val="clear" w:color="auto" w:fill="FFFFFF"/>
        </w:rPr>
        <w:t>%,</w:t>
      </w:r>
      <w:r w:rsidR="00FF0106" w:rsidRPr="00C03199">
        <w:rPr>
          <w:rFonts w:ascii="Times New Roman" w:eastAsiaTheme="minorEastAsia" w:hAnsi="Times New Roman" w:cs="Times New Roman"/>
          <w:color w:val="222222"/>
          <w:sz w:val="24"/>
          <w:szCs w:val="20"/>
          <w:shd w:val="clear" w:color="auto" w:fill="FFFFFF"/>
        </w:rPr>
        <w:t xml:space="preserve"> abnormal returns in </w:t>
      </w:r>
      <w:r w:rsidR="00197070" w:rsidRPr="00C03199">
        <w:rPr>
          <w:rFonts w:ascii="Times New Roman" w:eastAsiaTheme="minorEastAsia" w:hAnsi="Times New Roman" w:cs="Times New Roman"/>
          <w:color w:val="222222"/>
          <w:sz w:val="24"/>
          <w:szCs w:val="20"/>
          <w:shd w:val="clear" w:color="auto" w:fill="FFFFFF"/>
        </w:rPr>
        <w:t>the pre-bid period</w:t>
      </w:r>
      <w:r w:rsidR="00FF0106" w:rsidRPr="00C03199">
        <w:rPr>
          <w:rFonts w:ascii="Times New Roman" w:eastAsiaTheme="minorEastAsia" w:hAnsi="Times New Roman" w:cs="Times New Roman"/>
          <w:color w:val="222222"/>
          <w:sz w:val="24"/>
          <w:szCs w:val="20"/>
          <w:shd w:val="clear" w:color="auto" w:fill="FFFFFF"/>
        </w:rPr>
        <w:t xml:space="preserve"> </w:t>
      </w:r>
      <w:r w:rsidR="00197070" w:rsidRPr="00C03199">
        <w:rPr>
          <w:rFonts w:ascii="Times New Roman" w:eastAsiaTheme="minorEastAsia" w:hAnsi="Times New Roman" w:cs="Times New Roman"/>
          <w:color w:val="222222"/>
          <w:sz w:val="24"/>
          <w:szCs w:val="20"/>
          <w:shd w:val="clear" w:color="auto" w:fill="FFFFFF"/>
        </w:rPr>
        <w:t xml:space="preserve">in each of the following </w:t>
      </w:r>
      <w:r w:rsidR="00BC7292" w:rsidRPr="00C03199">
        <w:rPr>
          <w:rFonts w:ascii="Times New Roman" w:eastAsiaTheme="minorEastAsia" w:hAnsi="Times New Roman" w:cs="Times New Roman"/>
          <w:color w:val="222222"/>
          <w:sz w:val="24"/>
          <w:szCs w:val="20"/>
          <w:shd w:val="clear" w:color="auto" w:fill="FFFFFF"/>
        </w:rPr>
        <w:t xml:space="preserve">months: t-4, t-1, and t0; in addition, they earn highly significant cumulative abnormal returns around the </w:t>
      </w:r>
      <w:r w:rsidR="009E4FEB">
        <w:rPr>
          <w:rFonts w:ascii="Times New Roman" w:eastAsiaTheme="minorEastAsia" w:hAnsi="Times New Roman" w:cs="Times New Roman"/>
          <w:color w:val="222222"/>
          <w:sz w:val="24"/>
          <w:szCs w:val="20"/>
          <w:shd w:val="clear" w:color="auto" w:fill="FFFFFF"/>
        </w:rPr>
        <w:t>event date</w:t>
      </w:r>
      <w:r w:rsidR="00BC7292" w:rsidRPr="00C03199">
        <w:rPr>
          <w:rFonts w:ascii="Times New Roman" w:eastAsiaTheme="minorEastAsia" w:hAnsi="Times New Roman" w:cs="Times New Roman"/>
          <w:color w:val="222222"/>
          <w:sz w:val="24"/>
          <w:szCs w:val="20"/>
          <w:shd w:val="clear" w:color="auto" w:fill="FFFFFF"/>
        </w:rPr>
        <w:t>. The highest pre-bid average abnormal return is reported for the month prior to and of the bid, in which the average abnormal return of the whole sub-sample is 18.8% and 26.69%</w:t>
      </w:r>
      <w:r w:rsidR="007C4073">
        <w:rPr>
          <w:rFonts w:ascii="Times New Roman" w:eastAsiaTheme="minorEastAsia" w:hAnsi="Times New Roman" w:cs="Times New Roman"/>
          <w:color w:val="222222"/>
          <w:sz w:val="24"/>
          <w:szCs w:val="20"/>
          <w:shd w:val="clear" w:color="auto" w:fill="FFFFFF"/>
        </w:rPr>
        <w:t xml:space="preserve"> (19% and 26.5%)</w:t>
      </w:r>
      <w:r w:rsidR="00BC7292" w:rsidRPr="00C03199">
        <w:rPr>
          <w:rFonts w:ascii="Times New Roman" w:eastAsiaTheme="minorEastAsia" w:hAnsi="Times New Roman" w:cs="Times New Roman"/>
          <w:color w:val="222222"/>
          <w:sz w:val="24"/>
          <w:szCs w:val="20"/>
          <w:shd w:val="clear" w:color="auto" w:fill="FFFFFF"/>
        </w:rPr>
        <w:t>, respectively, with the market model</w:t>
      </w:r>
      <w:r w:rsidR="007C4073">
        <w:rPr>
          <w:rFonts w:ascii="Times New Roman" w:eastAsiaTheme="minorEastAsia" w:hAnsi="Times New Roman" w:cs="Times New Roman"/>
          <w:color w:val="222222"/>
          <w:sz w:val="24"/>
          <w:szCs w:val="20"/>
          <w:shd w:val="clear" w:color="auto" w:fill="FFFFFF"/>
        </w:rPr>
        <w:t xml:space="preserve"> (capital asset pricing</w:t>
      </w:r>
      <w:r w:rsidR="00CC6B17" w:rsidRPr="00CC6B17">
        <w:rPr>
          <w:rFonts w:ascii="Times New Roman" w:eastAsiaTheme="minorEastAsia" w:hAnsi="Times New Roman" w:cs="Times New Roman"/>
          <w:color w:val="222222"/>
          <w:sz w:val="24"/>
          <w:szCs w:val="20"/>
          <w:shd w:val="clear" w:color="auto" w:fill="FFFFFF"/>
        </w:rPr>
        <w:t xml:space="preserve"> </w:t>
      </w:r>
      <w:r w:rsidR="00CC6B17">
        <w:rPr>
          <w:rFonts w:ascii="Times New Roman" w:eastAsiaTheme="minorEastAsia" w:hAnsi="Times New Roman" w:cs="Times New Roman"/>
          <w:color w:val="222222"/>
          <w:sz w:val="24"/>
          <w:szCs w:val="20"/>
          <w:shd w:val="clear" w:color="auto" w:fill="FFFFFF"/>
        </w:rPr>
        <w:t>model)</w:t>
      </w:r>
      <w:r w:rsidR="00CC6B17" w:rsidRPr="00C03199">
        <w:rPr>
          <w:rFonts w:ascii="Times New Roman" w:eastAsiaTheme="minorEastAsia" w:hAnsi="Times New Roman" w:cs="Times New Roman"/>
          <w:color w:val="222222"/>
          <w:sz w:val="24"/>
          <w:szCs w:val="20"/>
          <w:shd w:val="clear" w:color="auto" w:fill="FFFFFF"/>
        </w:rPr>
        <w:t xml:space="preserve">. Target </w:t>
      </w:r>
      <w:r w:rsidR="009E4FEB">
        <w:rPr>
          <w:rFonts w:ascii="Times New Roman" w:eastAsiaTheme="minorEastAsia" w:hAnsi="Times New Roman" w:cs="Times New Roman"/>
          <w:color w:val="222222"/>
          <w:sz w:val="24"/>
          <w:szCs w:val="20"/>
          <w:shd w:val="clear" w:color="auto" w:fill="FFFFFF"/>
        </w:rPr>
        <w:t>firms</w:t>
      </w:r>
      <w:r w:rsidR="00CC6B17">
        <w:rPr>
          <w:rFonts w:ascii="Times New Roman" w:eastAsiaTheme="minorEastAsia" w:hAnsi="Times New Roman" w:cs="Times New Roman"/>
          <w:color w:val="222222"/>
          <w:sz w:val="24"/>
          <w:szCs w:val="20"/>
          <w:shd w:val="clear" w:color="auto" w:fill="FFFFFF"/>
        </w:rPr>
        <w:t xml:space="preserve"> in domestic acquisitions seem</w:t>
      </w:r>
      <w:r w:rsidR="00CC6B17" w:rsidRPr="00C03199">
        <w:rPr>
          <w:rFonts w:ascii="Times New Roman" w:eastAsiaTheme="minorEastAsia" w:hAnsi="Times New Roman" w:cs="Times New Roman"/>
          <w:color w:val="222222"/>
          <w:sz w:val="24"/>
          <w:szCs w:val="20"/>
          <w:shd w:val="clear" w:color="auto" w:fill="FFFFFF"/>
        </w:rPr>
        <w:t xml:space="preserve"> to earn low insignificant abnormal returns in the </w:t>
      </w:r>
      <w:r w:rsidR="009E4FEB">
        <w:rPr>
          <w:rFonts w:ascii="Times New Roman" w:eastAsiaTheme="minorEastAsia" w:hAnsi="Times New Roman" w:cs="Times New Roman"/>
          <w:color w:val="222222"/>
          <w:sz w:val="24"/>
          <w:szCs w:val="20"/>
          <w:shd w:val="clear" w:color="auto" w:fill="FFFFFF"/>
        </w:rPr>
        <w:t>months post to the bid month</w:t>
      </w:r>
      <w:r w:rsidR="00CC6B17" w:rsidRPr="00C03199">
        <w:rPr>
          <w:rFonts w:ascii="Times New Roman" w:eastAsiaTheme="minorEastAsia" w:hAnsi="Times New Roman" w:cs="Times New Roman"/>
          <w:color w:val="222222"/>
          <w:sz w:val="24"/>
          <w:szCs w:val="20"/>
          <w:shd w:val="clear" w:color="auto" w:fill="FFFFFF"/>
        </w:rPr>
        <w:t xml:space="preserve">, from t+1 to t+4, </w:t>
      </w:r>
      <w:r w:rsidR="009E4FEB">
        <w:rPr>
          <w:rFonts w:ascii="Times New Roman" w:eastAsiaTheme="minorEastAsia" w:hAnsi="Times New Roman" w:cs="Times New Roman"/>
          <w:color w:val="222222"/>
          <w:sz w:val="24"/>
          <w:szCs w:val="20"/>
          <w:shd w:val="clear" w:color="auto" w:fill="FFFFFF"/>
        </w:rPr>
        <w:t>accounting</w:t>
      </w:r>
      <w:r w:rsidR="00CC6B17" w:rsidRPr="00C03199">
        <w:rPr>
          <w:rFonts w:ascii="Times New Roman" w:eastAsiaTheme="minorEastAsia" w:hAnsi="Times New Roman" w:cs="Times New Roman"/>
          <w:color w:val="222222"/>
          <w:sz w:val="24"/>
          <w:szCs w:val="20"/>
          <w:shd w:val="clear" w:color="auto" w:fill="FFFFFF"/>
        </w:rPr>
        <w:t xml:space="preserve"> for 1.4%, 1%, 0.15% and 0.33%</w:t>
      </w:r>
      <w:r w:rsidR="00CC6B17">
        <w:rPr>
          <w:rFonts w:ascii="Times New Roman" w:eastAsiaTheme="minorEastAsia" w:hAnsi="Times New Roman" w:cs="Times New Roman"/>
          <w:color w:val="222222"/>
          <w:sz w:val="24"/>
          <w:szCs w:val="20"/>
          <w:shd w:val="clear" w:color="auto" w:fill="FFFFFF"/>
        </w:rPr>
        <w:t xml:space="preserve"> (1.3%, 0.92%, -0.12%, and 0.1%)</w:t>
      </w:r>
      <w:r w:rsidR="00CC6B17" w:rsidRPr="00C03199">
        <w:rPr>
          <w:rFonts w:ascii="Times New Roman" w:eastAsiaTheme="minorEastAsia" w:hAnsi="Times New Roman" w:cs="Times New Roman"/>
          <w:color w:val="222222"/>
          <w:sz w:val="24"/>
          <w:szCs w:val="20"/>
          <w:shd w:val="clear" w:color="auto" w:fill="FFFFFF"/>
        </w:rPr>
        <w:t xml:space="preserve">, respectively. In the days around the </w:t>
      </w:r>
      <w:r w:rsidR="009E4FEB">
        <w:rPr>
          <w:rFonts w:ascii="Times New Roman" w:eastAsiaTheme="minorEastAsia" w:hAnsi="Times New Roman" w:cs="Times New Roman"/>
          <w:color w:val="222222"/>
          <w:sz w:val="24"/>
          <w:szCs w:val="20"/>
          <w:shd w:val="clear" w:color="auto" w:fill="FFFFFF"/>
        </w:rPr>
        <w:t>event</w:t>
      </w:r>
      <w:r w:rsidR="00CC6B17" w:rsidRPr="00C03199">
        <w:rPr>
          <w:rFonts w:ascii="Times New Roman" w:eastAsiaTheme="minorEastAsia" w:hAnsi="Times New Roman" w:cs="Times New Roman"/>
          <w:color w:val="222222"/>
          <w:sz w:val="24"/>
          <w:szCs w:val="20"/>
          <w:shd w:val="clear" w:color="auto" w:fill="FFFFFF"/>
        </w:rPr>
        <w:t xml:space="preserve"> day, target </w:t>
      </w:r>
      <w:r w:rsidR="009E4FEB">
        <w:rPr>
          <w:rFonts w:ascii="Times New Roman" w:eastAsiaTheme="minorEastAsia" w:hAnsi="Times New Roman" w:cs="Times New Roman"/>
          <w:color w:val="222222"/>
          <w:sz w:val="24"/>
          <w:szCs w:val="20"/>
          <w:shd w:val="clear" w:color="auto" w:fill="FFFFFF"/>
        </w:rPr>
        <w:t>companies</w:t>
      </w:r>
      <w:r w:rsidR="00CC6B17" w:rsidRPr="00C03199">
        <w:rPr>
          <w:rFonts w:ascii="Times New Roman" w:eastAsiaTheme="minorEastAsia" w:hAnsi="Times New Roman" w:cs="Times New Roman"/>
          <w:color w:val="222222"/>
          <w:sz w:val="24"/>
          <w:szCs w:val="20"/>
          <w:shd w:val="clear" w:color="auto" w:fill="FFFFFF"/>
        </w:rPr>
        <w:t xml:space="preserve"> in domestic acquisitions generate </w:t>
      </w:r>
      <w:r w:rsidR="009E4FEB">
        <w:rPr>
          <w:rFonts w:ascii="Times New Roman" w:eastAsiaTheme="minorEastAsia" w:hAnsi="Times New Roman" w:cs="Times New Roman"/>
          <w:color w:val="222222"/>
          <w:sz w:val="24"/>
          <w:szCs w:val="20"/>
          <w:shd w:val="clear" w:color="auto" w:fill="FFFFFF"/>
        </w:rPr>
        <w:t>extremely</w:t>
      </w:r>
      <w:r w:rsidR="00CC6B17" w:rsidRPr="00C03199">
        <w:rPr>
          <w:rFonts w:ascii="Times New Roman" w:eastAsiaTheme="minorEastAsia" w:hAnsi="Times New Roman" w:cs="Times New Roman"/>
          <w:color w:val="222222"/>
          <w:sz w:val="24"/>
          <w:szCs w:val="20"/>
          <w:shd w:val="clear" w:color="auto" w:fill="FFFFFF"/>
        </w:rPr>
        <w:t xml:space="preserve"> significant cumulative abnormal returns. The highest cumulative abnormal returns are generated from day </w:t>
      </w:r>
      <w:r w:rsidR="00CC6B17">
        <w:rPr>
          <w:rFonts w:ascii="Times New Roman" w:eastAsiaTheme="minorEastAsia" w:hAnsi="Times New Roman" w:cs="Times New Roman"/>
          <w:color w:val="222222"/>
          <w:sz w:val="24"/>
          <w:szCs w:val="20"/>
          <w:shd w:val="clear" w:color="auto" w:fill="FFFFFF"/>
        </w:rPr>
        <w:t>t</w:t>
      </w:r>
      <w:r w:rsidR="00CC6B17" w:rsidRPr="00C03199">
        <w:rPr>
          <w:rFonts w:ascii="Times New Roman" w:eastAsiaTheme="minorEastAsia" w:hAnsi="Times New Roman" w:cs="Times New Roman"/>
          <w:color w:val="222222"/>
          <w:sz w:val="24"/>
          <w:szCs w:val="20"/>
          <w:shd w:val="clear" w:color="auto" w:fill="FFFFFF"/>
        </w:rPr>
        <w:t xml:space="preserve">-2 to </w:t>
      </w:r>
      <w:r w:rsidR="00CC6B17">
        <w:rPr>
          <w:rFonts w:ascii="Times New Roman" w:eastAsiaTheme="minorEastAsia" w:hAnsi="Times New Roman" w:cs="Times New Roman"/>
          <w:color w:val="222222"/>
          <w:sz w:val="24"/>
          <w:szCs w:val="20"/>
          <w:shd w:val="clear" w:color="auto" w:fill="FFFFFF"/>
        </w:rPr>
        <w:t>t</w:t>
      </w:r>
      <w:r w:rsidR="00CC6B17" w:rsidRPr="00C03199">
        <w:rPr>
          <w:rFonts w:ascii="Times New Roman" w:eastAsiaTheme="minorEastAsia" w:hAnsi="Times New Roman" w:cs="Times New Roman"/>
          <w:color w:val="222222"/>
          <w:sz w:val="24"/>
          <w:szCs w:val="20"/>
          <w:shd w:val="clear" w:color="auto" w:fill="FFFFFF"/>
        </w:rPr>
        <w:t xml:space="preserve">+1 and from day </w:t>
      </w:r>
      <w:r w:rsidR="00CC6B17">
        <w:rPr>
          <w:rFonts w:ascii="Times New Roman" w:eastAsiaTheme="minorEastAsia" w:hAnsi="Times New Roman" w:cs="Times New Roman"/>
          <w:color w:val="222222"/>
          <w:sz w:val="24"/>
          <w:szCs w:val="20"/>
          <w:shd w:val="clear" w:color="auto" w:fill="FFFFFF"/>
        </w:rPr>
        <w:t>t</w:t>
      </w:r>
      <w:r w:rsidR="00CC6B17" w:rsidRPr="00C03199">
        <w:rPr>
          <w:rFonts w:ascii="Times New Roman" w:eastAsiaTheme="minorEastAsia" w:hAnsi="Times New Roman" w:cs="Times New Roman"/>
          <w:color w:val="222222"/>
          <w:sz w:val="24"/>
          <w:szCs w:val="20"/>
          <w:shd w:val="clear" w:color="auto" w:fill="FFFFFF"/>
        </w:rPr>
        <w:t xml:space="preserve">-8 to </w:t>
      </w:r>
      <w:r w:rsidR="00CC6B17">
        <w:rPr>
          <w:rFonts w:ascii="Times New Roman" w:eastAsiaTheme="minorEastAsia" w:hAnsi="Times New Roman" w:cs="Times New Roman"/>
          <w:color w:val="222222"/>
          <w:sz w:val="24"/>
          <w:szCs w:val="20"/>
          <w:shd w:val="clear" w:color="auto" w:fill="FFFFFF"/>
        </w:rPr>
        <w:t>t</w:t>
      </w:r>
      <w:r w:rsidR="00CC6B17" w:rsidRPr="00C03199">
        <w:rPr>
          <w:rFonts w:ascii="Times New Roman" w:eastAsiaTheme="minorEastAsia" w:hAnsi="Times New Roman" w:cs="Times New Roman"/>
          <w:color w:val="222222"/>
          <w:sz w:val="24"/>
          <w:szCs w:val="20"/>
          <w:shd w:val="clear" w:color="auto" w:fill="FFFFFF"/>
        </w:rPr>
        <w:t>+5, amounting to highly significant 21.79% and 24.83%</w:t>
      </w:r>
      <w:r w:rsidR="00CC6B17">
        <w:rPr>
          <w:rFonts w:ascii="Times New Roman" w:eastAsiaTheme="minorEastAsia" w:hAnsi="Times New Roman" w:cs="Times New Roman"/>
          <w:color w:val="222222"/>
          <w:sz w:val="24"/>
          <w:szCs w:val="20"/>
          <w:shd w:val="clear" w:color="auto" w:fill="FFFFFF"/>
        </w:rPr>
        <w:t xml:space="preserve"> (21.82% and 24.92%), respectively</w:t>
      </w:r>
      <w:r w:rsidR="00CC6B17" w:rsidRPr="00C03199">
        <w:rPr>
          <w:rFonts w:ascii="Times New Roman" w:eastAsiaTheme="minorEastAsia" w:hAnsi="Times New Roman" w:cs="Times New Roman"/>
          <w:color w:val="222222"/>
          <w:sz w:val="24"/>
          <w:szCs w:val="20"/>
          <w:shd w:val="clear" w:color="auto" w:fill="FFFFFF"/>
        </w:rPr>
        <w:t xml:space="preserve">. </w:t>
      </w:r>
    </w:p>
    <w:p w14:paraId="3831E5FB" w14:textId="77777777" w:rsidR="00CC6B17" w:rsidRDefault="00CC6B17" w:rsidP="00CC6B17">
      <w:pPr>
        <w:spacing w:after="0" w:line="360" w:lineRule="auto"/>
        <w:jc w:val="both"/>
        <w:rPr>
          <w:rFonts w:ascii="Times New Roman" w:eastAsiaTheme="minorEastAsia" w:hAnsi="Times New Roman" w:cs="Times New Roman"/>
          <w:color w:val="222222"/>
          <w:sz w:val="24"/>
          <w:szCs w:val="20"/>
          <w:shd w:val="clear" w:color="auto" w:fill="FFFFFF"/>
        </w:rPr>
      </w:pPr>
    </w:p>
    <w:p w14:paraId="4BAC4FF2" w14:textId="3DEF32BC" w:rsidR="00CC6B17" w:rsidRPr="00C03199" w:rsidRDefault="00CC6B17" w:rsidP="00CC6B17">
      <w:pPr>
        <w:spacing w:after="120" w:line="360" w:lineRule="auto"/>
        <w:jc w:val="both"/>
        <w:rPr>
          <w:rFonts w:ascii="Times New Roman" w:eastAsiaTheme="minorEastAsia" w:hAnsi="Times New Roman" w:cs="Times New Roman"/>
          <w:i/>
          <w:color w:val="222222"/>
          <w:sz w:val="24"/>
          <w:szCs w:val="20"/>
          <w:shd w:val="clear" w:color="auto" w:fill="FFFFFF"/>
        </w:rPr>
      </w:pPr>
      <w:r w:rsidRPr="00C03199">
        <w:rPr>
          <w:rFonts w:ascii="Times New Roman" w:eastAsiaTheme="minorEastAsia" w:hAnsi="Times New Roman" w:cs="Times New Roman"/>
          <w:i/>
          <w:color w:val="222222"/>
          <w:sz w:val="24"/>
          <w:szCs w:val="20"/>
          <w:shd w:val="clear" w:color="auto" w:fill="FFFFFF"/>
        </w:rPr>
        <w:t xml:space="preserve">5.2 </w:t>
      </w:r>
      <w:r w:rsidR="009E4FEB">
        <w:rPr>
          <w:rFonts w:ascii="Times New Roman" w:eastAsiaTheme="minorEastAsia" w:hAnsi="Times New Roman" w:cs="Times New Roman"/>
          <w:i/>
          <w:color w:val="222222"/>
          <w:sz w:val="24"/>
          <w:szCs w:val="20"/>
          <w:shd w:val="clear" w:color="auto" w:fill="FFFFFF"/>
        </w:rPr>
        <w:t>The abnormal and cumulative abnormal returns to target firms in cross-border deals</w:t>
      </w:r>
    </w:p>
    <w:p w14:paraId="4FCF664D" w14:textId="1F078D6E" w:rsidR="00B85E24" w:rsidRPr="00B85E24" w:rsidRDefault="00CC6B17" w:rsidP="00B85E24">
      <w:pPr>
        <w:spacing w:after="120" w:line="360" w:lineRule="auto"/>
        <w:jc w:val="both"/>
        <w:rPr>
          <w:rFonts w:ascii="Times New Roman" w:eastAsiaTheme="minorEastAsia" w:hAnsi="Times New Roman" w:cs="Times New Roman"/>
          <w:i/>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t>The sample contains 435 target companies, listed in ten different Western European countries, in cross-border acquisitions from 1990 to 2018.</w:t>
      </w:r>
      <w:r>
        <w:rPr>
          <w:rFonts w:ascii="Times New Roman" w:eastAsiaTheme="minorEastAsia" w:hAnsi="Times New Roman" w:cs="Times New Roman"/>
          <w:color w:val="222222"/>
          <w:sz w:val="24"/>
          <w:szCs w:val="20"/>
          <w:shd w:val="clear" w:color="auto" w:fill="FFFFFF"/>
        </w:rPr>
        <w:t xml:space="preserve"> </w:t>
      </w:r>
      <w:r w:rsidRPr="00C03199">
        <w:rPr>
          <w:rFonts w:ascii="Times New Roman" w:eastAsiaTheme="minorEastAsia" w:hAnsi="Times New Roman" w:cs="Times New Roman"/>
          <w:color w:val="222222"/>
          <w:sz w:val="24"/>
          <w:szCs w:val="20"/>
          <w:shd w:val="clear" w:color="auto" w:fill="FFFFFF"/>
        </w:rPr>
        <w:t>The average abnormal and cumulative</w:t>
      </w:r>
      <w:r>
        <w:rPr>
          <w:rFonts w:ascii="Times New Roman" w:eastAsiaTheme="minorEastAsia" w:hAnsi="Times New Roman" w:cs="Times New Roman"/>
          <w:color w:val="222222"/>
          <w:sz w:val="24"/>
          <w:szCs w:val="20"/>
          <w:shd w:val="clear" w:color="auto" w:fill="FFFFFF"/>
        </w:rPr>
        <w:t xml:space="preserve"> </w:t>
      </w:r>
      <w:r w:rsidRPr="00C03199">
        <w:rPr>
          <w:rFonts w:ascii="Times New Roman" w:eastAsiaTheme="minorEastAsia" w:hAnsi="Times New Roman" w:cs="Times New Roman"/>
          <w:color w:val="222222"/>
          <w:sz w:val="24"/>
          <w:szCs w:val="20"/>
          <w:shd w:val="clear" w:color="auto" w:fill="FFFFFF"/>
        </w:rPr>
        <w:t xml:space="preserve">abnormal returns for the whole sub-sample are presented in </w:t>
      </w:r>
      <w:r>
        <w:rPr>
          <w:rFonts w:ascii="Times New Roman" w:eastAsiaTheme="minorEastAsia" w:hAnsi="Times New Roman" w:cs="Times New Roman"/>
          <w:color w:val="222222"/>
          <w:sz w:val="24"/>
          <w:szCs w:val="20"/>
          <w:shd w:val="clear" w:color="auto" w:fill="FFFFFF"/>
        </w:rPr>
        <w:t xml:space="preserve">the </w:t>
      </w:r>
      <w:r w:rsidRPr="00C03199">
        <w:rPr>
          <w:rFonts w:ascii="Times New Roman" w:eastAsiaTheme="minorEastAsia" w:hAnsi="Times New Roman" w:cs="Times New Roman"/>
          <w:color w:val="222222"/>
          <w:sz w:val="24"/>
          <w:szCs w:val="20"/>
          <w:shd w:val="clear" w:color="auto" w:fill="FFFFFF"/>
        </w:rPr>
        <w:t xml:space="preserve">fourth and fifth columns of table 2. Target firms in </w:t>
      </w:r>
      <w:r w:rsidR="00BF2217">
        <w:rPr>
          <w:rFonts w:ascii="Times New Roman" w:eastAsiaTheme="minorEastAsia" w:hAnsi="Times New Roman" w:cs="Times New Roman"/>
          <w:color w:val="222222"/>
          <w:sz w:val="24"/>
          <w:szCs w:val="20"/>
          <w:shd w:val="clear" w:color="auto" w:fill="FFFFFF"/>
        </w:rPr>
        <w:t>overseas bids</w:t>
      </w:r>
      <w:r w:rsidRPr="00C03199">
        <w:rPr>
          <w:rFonts w:ascii="Times New Roman" w:eastAsiaTheme="minorEastAsia" w:hAnsi="Times New Roman" w:cs="Times New Roman"/>
          <w:color w:val="222222"/>
          <w:sz w:val="24"/>
          <w:szCs w:val="20"/>
          <w:shd w:val="clear" w:color="auto" w:fill="FFFFFF"/>
        </w:rPr>
        <w:t xml:space="preserve"> earn, on average, significantly positive abnormal returns in the months prior and post the announcement month. </w:t>
      </w:r>
      <w:r w:rsidRPr="00F05FA6">
        <w:rPr>
          <w:rFonts w:ascii="Times New Roman" w:eastAsiaTheme="minorEastAsia" w:hAnsi="Times New Roman" w:cs="Times New Roman"/>
          <w:color w:val="222222"/>
          <w:sz w:val="24"/>
          <w:szCs w:val="20"/>
          <w:shd w:val="clear" w:color="auto" w:fill="FFFFFF"/>
        </w:rPr>
        <w:t xml:space="preserve">As with the case of target </w:t>
      </w:r>
      <w:r w:rsidR="00BF2217">
        <w:rPr>
          <w:rFonts w:ascii="Times New Roman" w:eastAsiaTheme="minorEastAsia" w:hAnsi="Times New Roman" w:cs="Times New Roman"/>
          <w:color w:val="222222"/>
          <w:sz w:val="24"/>
          <w:szCs w:val="20"/>
          <w:shd w:val="clear" w:color="auto" w:fill="FFFFFF"/>
        </w:rPr>
        <w:t>companies</w:t>
      </w:r>
      <w:r w:rsidRPr="00F05FA6">
        <w:rPr>
          <w:rFonts w:ascii="Times New Roman" w:eastAsiaTheme="minorEastAsia" w:hAnsi="Times New Roman" w:cs="Times New Roman"/>
          <w:color w:val="222222"/>
          <w:sz w:val="24"/>
          <w:szCs w:val="20"/>
          <w:shd w:val="clear" w:color="auto" w:fill="FFFFFF"/>
        </w:rPr>
        <w:t xml:space="preserve"> in domestic </w:t>
      </w:r>
      <w:r w:rsidR="00BF2217">
        <w:rPr>
          <w:rFonts w:ascii="Times New Roman" w:eastAsiaTheme="minorEastAsia" w:hAnsi="Times New Roman" w:cs="Times New Roman"/>
          <w:color w:val="222222"/>
          <w:sz w:val="24"/>
          <w:szCs w:val="20"/>
          <w:shd w:val="clear" w:color="auto" w:fill="FFFFFF"/>
        </w:rPr>
        <w:t>deals</w:t>
      </w:r>
      <w:r w:rsidRPr="00F05FA6">
        <w:rPr>
          <w:rFonts w:ascii="Times New Roman" w:eastAsiaTheme="minorEastAsia" w:hAnsi="Times New Roman" w:cs="Times New Roman"/>
          <w:color w:val="222222"/>
          <w:sz w:val="24"/>
          <w:szCs w:val="20"/>
          <w:shd w:val="clear" w:color="auto" w:fill="FFFFFF"/>
        </w:rPr>
        <w:t xml:space="preserve">, target firms in cross-border </w:t>
      </w:r>
      <w:r w:rsidR="00BF2217">
        <w:rPr>
          <w:rFonts w:ascii="Times New Roman" w:eastAsiaTheme="minorEastAsia" w:hAnsi="Times New Roman" w:cs="Times New Roman"/>
          <w:color w:val="222222"/>
          <w:sz w:val="24"/>
          <w:szCs w:val="20"/>
          <w:shd w:val="clear" w:color="auto" w:fill="FFFFFF"/>
        </w:rPr>
        <w:t>deals</w:t>
      </w:r>
      <w:r w:rsidRPr="00F05FA6">
        <w:rPr>
          <w:rFonts w:ascii="Times New Roman" w:eastAsiaTheme="minorEastAsia" w:hAnsi="Times New Roman" w:cs="Times New Roman"/>
          <w:color w:val="222222"/>
          <w:sz w:val="24"/>
          <w:szCs w:val="20"/>
          <w:shd w:val="clear" w:color="auto" w:fill="FFFFFF"/>
        </w:rPr>
        <w:t xml:space="preserve"> earn significant, a statistical significance level of 1% or 5%, abnormal returns from month t-2 to t+3, where the announcement month is t0.</w:t>
      </w:r>
      <w:r w:rsidRPr="00CC6B17">
        <w:rPr>
          <w:rFonts w:ascii="Times New Roman" w:eastAsiaTheme="minorEastAsia" w:hAnsi="Times New Roman" w:cs="Times New Roman"/>
          <w:color w:val="222222"/>
          <w:sz w:val="24"/>
          <w:szCs w:val="20"/>
          <w:shd w:val="clear" w:color="auto" w:fill="FFFFFF"/>
        </w:rPr>
        <w:t xml:space="preserve"> </w:t>
      </w:r>
      <w:r w:rsidRPr="00F05FA6">
        <w:rPr>
          <w:rFonts w:ascii="Times New Roman" w:eastAsiaTheme="minorEastAsia" w:hAnsi="Times New Roman" w:cs="Times New Roman"/>
          <w:color w:val="222222"/>
          <w:sz w:val="24"/>
          <w:szCs w:val="20"/>
          <w:shd w:val="clear" w:color="auto" w:fill="FFFFFF"/>
        </w:rPr>
        <w:t>The highest pre-bid average abnormal return for the sub-sample is reported for the month prior to and of the bid, in which the average abnormal return</w:t>
      </w:r>
      <w:r>
        <w:rPr>
          <w:rFonts w:ascii="Times New Roman" w:eastAsiaTheme="minorEastAsia" w:hAnsi="Times New Roman" w:cs="Times New Roman"/>
          <w:color w:val="222222"/>
          <w:sz w:val="24"/>
          <w:szCs w:val="20"/>
          <w:shd w:val="clear" w:color="auto" w:fill="FFFFFF"/>
        </w:rPr>
        <w:t>s</w:t>
      </w:r>
      <w:r w:rsidRPr="00F05FA6">
        <w:rPr>
          <w:rFonts w:ascii="Times New Roman" w:eastAsiaTheme="minorEastAsia" w:hAnsi="Times New Roman" w:cs="Times New Roman"/>
          <w:color w:val="222222"/>
          <w:sz w:val="24"/>
          <w:szCs w:val="20"/>
          <w:shd w:val="clear" w:color="auto" w:fill="FFFFFF"/>
        </w:rPr>
        <w:t xml:space="preserve"> of the whole sub-sample is </w:t>
      </w:r>
      <w:r w:rsidR="00B85E24" w:rsidRPr="00F05FA6">
        <w:rPr>
          <w:rFonts w:ascii="Times New Roman" w:eastAsiaTheme="minorEastAsia" w:hAnsi="Times New Roman" w:cs="Times New Roman"/>
          <w:color w:val="222222"/>
          <w:sz w:val="24"/>
          <w:szCs w:val="20"/>
          <w:shd w:val="clear" w:color="auto" w:fill="FFFFFF"/>
        </w:rPr>
        <w:t>12.83% and 19.80%</w:t>
      </w:r>
      <w:r w:rsidR="00B85E24">
        <w:rPr>
          <w:rFonts w:ascii="Times New Roman" w:eastAsiaTheme="minorEastAsia" w:hAnsi="Times New Roman" w:cs="Times New Roman"/>
          <w:color w:val="222222"/>
          <w:sz w:val="24"/>
          <w:szCs w:val="20"/>
          <w:shd w:val="clear" w:color="auto" w:fill="FFFFFF"/>
        </w:rPr>
        <w:t xml:space="preserve"> (12.95% and 19.96%)</w:t>
      </w:r>
      <w:r w:rsidR="00B85E24" w:rsidRPr="00F05FA6">
        <w:rPr>
          <w:rFonts w:ascii="Times New Roman" w:eastAsiaTheme="minorEastAsia" w:hAnsi="Times New Roman" w:cs="Times New Roman"/>
          <w:color w:val="222222"/>
          <w:sz w:val="24"/>
          <w:szCs w:val="20"/>
          <w:shd w:val="clear" w:color="auto" w:fill="FFFFFF"/>
        </w:rPr>
        <w:t>, respectively, with the market model</w:t>
      </w:r>
      <w:r w:rsidR="00B85E24">
        <w:rPr>
          <w:rFonts w:ascii="Times New Roman" w:eastAsiaTheme="minorEastAsia" w:hAnsi="Times New Roman" w:cs="Times New Roman"/>
          <w:color w:val="222222"/>
          <w:sz w:val="24"/>
          <w:szCs w:val="20"/>
          <w:shd w:val="clear" w:color="auto" w:fill="FFFFFF"/>
        </w:rPr>
        <w:t xml:space="preserve"> (capital asset pricing model)</w:t>
      </w:r>
      <w:r w:rsidR="00B85E24" w:rsidRPr="00F05FA6">
        <w:rPr>
          <w:rFonts w:ascii="Times New Roman" w:eastAsiaTheme="minorEastAsia" w:hAnsi="Times New Roman" w:cs="Times New Roman"/>
          <w:color w:val="222222"/>
          <w:sz w:val="24"/>
          <w:szCs w:val="20"/>
          <w:shd w:val="clear" w:color="auto" w:fill="FFFFFF"/>
        </w:rPr>
        <w:t>.</w:t>
      </w:r>
      <w:r w:rsidR="00B85E24">
        <w:rPr>
          <w:rFonts w:ascii="Times New Roman" w:eastAsiaTheme="minorEastAsia" w:hAnsi="Times New Roman" w:cs="Times New Roman"/>
          <w:i/>
          <w:color w:val="222222"/>
          <w:sz w:val="24"/>
          <w:szCs w:val="20"/>
          <w:shd w:val="clear" w:color="auto" w:fill="FFFFFF"/>
        </w:rPr>
        <w:t xml:space="preserve"> </w:t>
      </w:r>
      <w:r w:rsidR="00B85E24" w:rsidRPr="00BF2217">
        <w:rPr>
          <w:rFonts w:ascii="Times New Roman" w:eastAsiaTheme="minorEastAsia" w:hAnsi="Times New Roman" w:cs="Times New Roman"/>
          <w:color w:val="222222"/>
          <w:sz w:val="24"/>
          <w:szCs w:val="20"/>
          <w:shd w:val="clear" w:color="auto" w:fill="FFFFFF"/>
        </w:rPr>
        <w:t xml:space="preserve">On average, target companies in cross-border deals will earn lower abnormal returns in the months following the announcement </w:t>
      </w:r>
    </w:p>
    <w:p w14:paraId="43D73703" w14:textId="77777777" w:rsidR="00FF0106" w:rsidRPr="00C03199" w:rsidRDefault="00FF0106" w:rsidP="00D34A27">
      <w:pPr>
        <w:spacing w:after="120" w:line="276" w:lineRule="auto"/>
        <w:jc w:val="center"/>
        <w:rPr>
          <w:rFonts w:ascii="Times New Roman" w:hAnsi="Times New Roman" w:cs="Times New Roman"/>
        </w:rPr>
      </w:pPr>
      <w:r w:rsidRPr="00C03199">
        <w:rPr>
          <w:rFonts w:ascii="Times New Roman" w:hAnsi="Times New Roman" w:cs="Times New Roman"/>
        </w:rPr>
        <w:lastRenderedPageBreak/>
        <w:t>Table 2</w:t>
      </w:r>
    </w:p>
    <w:p w14:paraId="32663C2B" w14:textId="77777777" w:rsidR="00FF0106" w:rsidRPr="00C03199" w:rsidRDefault="00FF0106" w:rsidP="00D34A27">
      <w:pPr>
        <w:spacing w:after="120" w:line="276" w:lineRule="auto"/>
        <w:jc w:val="center"/>
        <w:rPr>
          <w:rFonts w:ascii="Times New Roman" w:hAnsi="Times New Roman" w:cs="Times New Roman"/>
        </w:rPr>
      </w:pPr>
      <w:r w:rsidRPr="00C03199">
        <w:rPr>
          <w:rFonts w:ascii="Times New Roman" w:hAnsi="Times New Roman" w:cs="Times New Roman"/>
        </w:rPr>
        <w:t xml:space="preserve">Target company abnormal returns </w:t>
      </w:r>
    </w:p>
    <w:p w14:paraId="171EFB71" w14:textId="02145BA3" w:rsidR="00FF0106" w:rsidRPr="00C03199" w:rsidRDefault="00FF0106" w:rsidP="00D34A27">
      <w:pPr>
        <w:spacing w:after="0" w:line="276" w:lineRule="auto"/>
        <w:jc w:val="both"/>
        <w:rPr>
          <w:rFonts w:ascii="Times New Roman" w:hAnsi="Times New Roman" w:cs="Times New Roman"/>
        </w:rPr>
      </w:pPr>
      <w:r w:rsidRPr="00C03199">
        <w:rPr>
          <w:rFonts w:ascii="Times New Roman" w:hAnsi="Times New Roman" w:cs="Times New Roman"/>
        </w:rPr>
        <w:t xml:space="preserve">Table 1, reports the average and cumulative abnormal returns to shareholders of Western European target </w:t>
      </w:r>
      <w:r w:rsidR="00BF2217">
        <w:rPr>
          <w:rFonts w:ascii="Times New Roman" w:hAnsi="Times New Roman" w:cs="Times New Roman"/>
        </w:rPr>
        <w:t>companies</w:t>
      </w:r>
      <w:r w:rsidRPr="00C03199">
        <w:rPr>
          <w:rFonts w:ascii="Times New Roman" w:hAnsi="Times New Roman" w:cs="Times New Roman"/>
        </w:rPr>
        <w:t xml:space="preserve"> acquired in domestic and cross-border </w:t>
      </w:r>
      <w:r w:rsidR="00BF2217">
        <w:rPr>
          <w:rFonts w:ascii="Times New Roman" w:hAnsi="Times New Roman" w:cs="Times New Roman"/>
        </w:rPr>
        <w:t>deals</w:t>
      </w:r>
      <w:r w:rsidRPr="00C03199">
        <w:rPr>
          <w:rFonts w:ascii="Times New Roman" w:hAnsi="Times New Roman" w:cs="Times New Roman"/>
        </w:rPr>
        <w:t xml:space="preserve">, respectively. The average abnormal returns for each month, with the announcement month denoted as </w:t>
      </w:r>
      <w:r w:rsidR="007C4073">
        <w:rPr>
          <w:rFonts w:ascii="Times New Roman" w:hAnsi="Times New Roman" w:cs="Times New Roman"/>
        </w:rPr>
        <w:t>t</w:t>
      </w:r>
      <w:r w:rsidRPr="00C03199">
        <w:rPr>
          <w:rFonts w:ascii="Times New Roman" w:hAnsi="Times New Roman" w:cs="Times New Roman"/>
        </w:rPr>
        <w:t xml:space="preserve">0, and the cumulative abnormal returns for the days around the </w:t>
      </w:r>
      <w:r w:rsidR="00BF2217">
        <w:rPr>
          <w:rFonts w:ascii="Times New Roman" w:hAnsi="Times New Roman" w:cs="Times New Roman"/>
        </w:rPr>
        <w:t>event day</w:t>
      </w:r>
      <w:r w:rsidRPr="00C03199">
        <w:rPr>
          <w:rFonts w:ascii="Times New Roman" w:hAnsi="Times New Roman" w:cs="Times New Roman"/>
        </w:rPr>
        <w:t xml:space="preserve">, </w:t>
      </w:r>
      <w:r w:rsidR="007C4073">
        <w:rPr>
          <w:rFonts w:ascii="Times New Roman" w:hAnsi="Times New Roman" w:cs="Times New Roman"/>
        </w:rPr>
        <w:t xml:space="preserve">which is </w:t>
      </w:r>
      <w:r w:rsidRPr="00C03199">
        <w:rPr>
          <w:rFonts w:ascii="Times New Roman" w:hAnsi="Times New Roman" w:cs="Times New Roman"/>
        </w:rPr>
        <w:t xml:space="preserve">denoted as </w:t>
      </w:r>
      <w:r w:rsidR="007C4073">
        <w:rPr>
          <w:rFonts w:ascii="Times New Roman" w:hAnsi="Times New Roman" w:cs="Times New Roman"/>
        </w:rPr>
        <w:t>t</w:t>
      </w:r>
      <w:r w:rsidRPr="00C03199">
        <w:rPr>
          <w:rFonts w:ascii="Times New Roman" w:hAnsi="Times New Roman" w:cs="Times New Roman"/>
        </w:rPr>
        <w:t xml:space="preserve">0, are both calculated with the market model (MM) and capital asset pricing model (CAPM). Both models are specified in section 4.1.2 in the methodology chapter. </w:t>
      </w:r>
      <w:r w:rsidR="00E52357" w:rsidRPr="00E52357">
        <w:rPr>
          <w:rFonts w:ascii="Times New Roman" w:hAnsi="Times New Roman" w:cs="Times New Roman"/>
        </w:rPr>
        <w:t>The time periods refer to months or days relative to the acquisition deal's announcement month or day.</w:t>
      </w:r>
      <w:r w:rsidRPr="00C03199">
        <w:rPr>
          <w:rFonts w:ascii="Times New Roman" w:hAnsi="Times New Roman" w:cs="Times New Roman"/>
        </w:rPr>
        <w:t xml:space="preserve"> In both </w:t>
      </w:r>
      <w:r w:rsidR="00E52357">
        <w:rPr>
          <w:rFonts w:ascii="Times New Roman" w:hAnsi="Times New Roman" w:cs="Times New Roman"/>
        </w:rPr>
        <w:t>cross-border and domestic</w:t>
      </w:r>
      <w:r w:rsidRPr="00C03199">
        <w:rPr>
          <w:rFonts w:ascii="Times New Roman" w:hAnsi="Times New Roman" w:cs="Times New Roman"/>
        </w:rPr>
        <w:t xml:space="preserve"> deals, the </w:t>
      </w:r>
      <w:r w:rsidR="00E52357">
        <w:rPr>
          <w:rFonts w:ascii="Times New Roman" w:hAnsi="Times New Roman" w:cs="Times New Roman"/>
        </w:rPr>
        <w:t>CAR</w:t>
      </w:r>
      <w:r w:rsidRPr="00C03199">
        <w:rPr>
          <w:rFonts w:ascii="Times New Roman" w:hAnsi="Times New Roman" w:cs="Times New Roman"/>
        </w:rPr>
        <w:t xml:space="preserve"> around the announcement day, calculated by the MM and CAPM, are found to be significantly different from zero, at 1% and 5% statistical significance level. The highest level of abnormal r</w:t>
      </w:r>
      <w:r w:rsidR="006236C0">
        <w:rPr>
          <w:rFonts w:ascii="Times New Roman" w:hAnsi="Times New Roman" w:cs="Times New Roman"/>
        </w:rPr>
        <w:t>eturns are accumulated from day</w:t>
      </w:r>
      <w:r w:rsidRPr="00C03199">
        <w:rPr>
          <w:rFonts w:ascii="Times New Roman" w:hAnsi="Times New Roman" w:cs="Times New Roman"/>
        </w:rPr>
        <w:t xml:space="preserve"> </w:t>
      </w:r>
      <w:r w:rsidR="006236C0">
        <w:rPr>
          <w:rFonts w:ascii="Times New Roman" w:hAnsi="Times New Roman" w:cs="Times New Roman"/>
        </w:rPr>
        <w:t>t</w:t>
      </w:r>
      <w:r w:rsidRPr="00C03199">
        <w:rPr>
          <w:rFonts w:ascii="Times New Roman" w:hAnsi="Times New Roman" w:cs="Times New Roman"/>
        </w:rPr>
        <w:t xml:space="preserve">-8 to </w:t>
      </w:r>
      <w:r w:rsidR="006236C0">
        <w:rPr>
          <w:rFonts w:ascii="Times New Roman" w:hAnsi="Times New Roman" w:cs="Times New Roman"/>
        </w:rPr>
        <w:t>t</w:t>
      </w:r>
      <w:r w:rsidRPr="00C03199">
        <w:rPr>
          <w:rFonts w:ascii="Times New Roman" w:hAnsi="Times New Roman" w:cs="Times New Roman"/>
        </w:rPr>
        <w:t xml:space="preserve">+5 for both sub-groups with a reported CAR of 24.8% and 26.2% for target shareholders involved in domestic and cross-border deals, respectively. </w:t>
      </w:r>
      <w:r w:rsidR="00E52357" w:rsidRPr="00E52357">
        <w:rPr>
          <w:rFonts w:ascii="Times New Roman" w:hAnsi="Times New Roman" w:cs="Times New Roman"/>
        </w:rPr>
        <w:t>The cross-border effect is defined as the difference in the level of average abnormal and cumulative abnormal returns to target firms in cross-border and domestic deals.</w:t>
      </w:r>
      <w:r w:rsidRPr="00C03199">
        <w:rPr>
          <w:rFonts w:ascii="Times New Roman" w:hAnsi="Times New Roman" w:cs="Times New Roman"/>
        </w:rPr>
        <w:t xml:space="preserve"> </w:t>
      </w:r>
      <w:r w:rsidR="00E52357" w:rsidRPr="00E52357">
        <w:rPr>
          <w:rFonts w:ascii="Times New Roman" w:hAnsi="Times New Roman" w:cs="Times New Roman"/>
        </w:rPr>
        <w:t>A two-sample difference in mean t-test is used to test for the statistical significance level of the cross-border effect.</w:t>
      </w:r>
      <w:r w:rsidRPr="00C03199">
        <w:rPr>
          <w:rFonts w:ascii="Times New Roman" w:hAnsi="Times New Roman" w:cs="Times New Roman"/>
        </w:rPr>
        <w:t xml:space="preserve"> </w:t>
      </w:r>
      <w:r w:rsidR="00E52357" w:rsidRPr="00E52357">
        <w:rPr>
          <w:rFonts w:ascii="Times New Roman" w:hAnsi="Times New Roman" w:cs="Times New Roman"/>
        </w:rPr>
        <w:t>A two-tailed cross-sectional t-test is used to test the statistical significance level of the abnormal and cumulative abnor</w:t>
      </w:r>
      <w:r w:rsidR="00E52357">
        <w:rPr>
          <w:rFonts w:ascii="Times New Roman" w:hAnsi="Times New Roman" w:cs="Times New Roman"/>
        </w:rPr>
        <w:t xml:space="preserve">mal returns </w:t>
      </w:r>
      <w:r w:rsidRPr="00C03199">
        <w:rPr>
          <w:rFonts w:ascii="Times New Roman" w:hAnsi="Times New Roman" w:cs="Times New Roman"/>
        </w:rPr>
        <w:t xml:space="preserve">(Strong, 1992). The highest cross-border effect is generated in days of 0 to +1 and -1 to +5 with cross-border deals generating 5.7% and 3.3% higher cumulative abnormal returns in these two time periods, respectively. </w:t>
      </w:r>
    </w:p>
    <w:p w14:paraId="1AA0CBE9" w14:textId="77777777" w:rsidR="00FF0106" w:rsidRPr="00C03199" w:rsidRDefault="00FF0106" w:rsidP="00FF0106">
      <w:pPr>
        <w:spacing w:after="0" w:line="240" w:lineRule="auto"/>
        <w:rPr>
          <w:rFonts w:ascii="Times New Roman" w:hAnsi="Times New Roman" w:cs="Times New Roman"/>
        </w:rPr>
      </w:pPr>
      <w:r w:rsidRPr="00C0319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01BE92D" wp14:editId="29CD5D7C">
                <wp:simplePos x="0" y="0"/>
                <wp:positionH relativeFrom="margin">
                  <wp:align>left</wp:align>
                </wp:positionH>
                <wp:positionV relativeFrom="paragraph">
                  <wp:posOffset>85725</wp:posOffset>
                </wp:positionV>
                <wp:extent cx="59721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59721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18BA5A" id="Straight Connector 18"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6.75pt" to="470.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wKvAEAAMADAAAOAAAAZHJzL2Uyb0RvYy54bWysU8GOEzEMvSPxD1HudKZFy8Ko0z10BRcE&#10;FQsfkM04nYgkjpzQTv8eJ21nEaA9IC6ZxPZ79rM967vJO3EAShZDL5eLVgoIGgcb9r389vX9q7dS&#10;pKzCoBwG6OUJkrzbvHyxPsYOVjiiG4AEk4TUHWMvx5xj1zRJj+BVWmCEwE6D5FXmJ+2bgdSR2b1r&#10;Vm37pjkiDZFQQ0psvT875abyGwM6fzYmQRaul1xbrifV87GczWatuj2pOFp9KUP9QxVe2cBJZ6p7&#10;lZX4QfYPKm81YUKTFxp9g8ZYDVUDq1m2v6l5GFWEqoWbk+LcpvT/aPWnw46EHXh2PKmgPM/oIZOy&#10;+zGLLYbAHUQS7OROHWPqGLANO7q8UtxRkT0Z8uXLgsRUu3uauwtTFpqNN+9uV8vbGyn01dc8ASOl&#10;/AHQi3LppbOhCFedOnxMmZNx6DWkmF0otlLPuYJ6yycHZ+cXMKyJc76uJHWbYOtIHBTvwfB9WdQw&#10;pQscWSDGOjeD2udBl9gCg7phM3D1PHCOrhkx5BnobUD6GzhP11LNOf6q+qy1yH7E4VTnUdvBa1KV&#10;XVa67OGv7wp/+vE2PwEAAP//AwBQSwMEFAAGAAgAAAAhAGVcrRLcAAAABgEAAA8AAABkcnMvZG93&#10;bnJldi54bWxMj09Lw0AQxe+C32EZwYu0G7XxT8ymiOAhQgXb4nmanSbR7GzIbtP47R3xoLeZ94Y3&#10;v5cvJ9epkYbQejZwOU9AEVfetlwb2G6eZ3egQkS22HkmA18UYFmcnuSYWX/kNxrXsVYSwiFDA02M&#10;faZ1qBpyGOa+JxZv7weHUdah1nbAo4S7Tl8lyY122LJ8aLCnp4aqz/XBGfgo38s6vbht96+L9AU3&#10;Y7risTTm/Gx6fAAVaYp/x/CDL+hQCNPOH9gG1RmQIlHU6xSUuPeLRIbdr6CLXP/HL74BAAD//wMA&#10;UEsBAi0AFAAGAAgAAAAhALaDOJL+AAAA4QEAABMAAAAAAAAAAAAAAAAAAAAAAFtDb250ZW50X1R5&#10;cGVzXS54bWxQSwECLQAUAAYACAAAACEAOP0h/9YAAACUAQAACwAAAAAAAAAAAAAAAAAvAQAAX3Jl&#10;bHMvLnJlbHNQSwECLQAUAAYACAAAACEAdM68CrwBAADAAwAADgAAAAAAAAAAAAAAAAAuAgAAZHJz&#10;L2Uyb0RvYy54bWxQSwECLQAUAAYACAAAACEAZVytEtwAAAAGAQAADwAAAAAAAAAAAAAAAAAWBAAA&#10;ZHJzL2Rvd25yZXYueG1sUEsFBgAAAAAEAAQA8wAAAB8FAAAAAA==&#10;" strokecolor="black [3200]" strokeweight="1.5pt">
                <v:stroke joinstyle="miter"/>
                <w10:wrap anchorx="margin"/>
              </v:line>
            </w:pict>
          </mc:Fallback>
        </mc:AlternateContent>
      </w:r>
      <w:r w:rsidRPr="00C03199">
        <w:rPr>
          <w:rFonts w:ascii="Times New Roman" w:hAnsi="Times New Roman" w:cs="Times New Roman"/>
        </w:rPr>
        <w:tab/>
      </w:r>
    </w:p>
    <w:p w14:paraId="25BB636B" w14:textId="77777777" w:rsidR="00FF0106" w:rsidRPr="00C03199" w:rsidRDefault="00FF0106" w:rsidP="00FF0106">
      <w:pPr>
        <w:spacing w:after="0" w:line="240" w:lineRule="auto"/>
        <w:ind w:left="720" w:firstLine="720"/>
        <w:rPr>
          <w:rFonts w:ascii="Times New Roman" w:hAnsi="Times New Roman" w:cs="Times New Roman"/>
        </w:rPr>
      </w:pPr>
      <w:r w:rsidRPr="00C0319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688145F" wp14:editId="6D824E6F">
                <wp:simplePos x="0" y="0"/>
                <wp:positionH relativeFrom="margin">
                  <wp:align>left</wp:align>
                </wp:positionH>
                <wp:positionV relativeFrom="paragraph">
                  <wp:posOffset>658495</wp:posOffset>
                </wp:positionV>
                <wp:extent cx="59721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5B7E9" id="Straight Connector 19"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51.85pt" to="470.2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8pb0AEAAAUEAAAOAAAAZHJzL2Uyb0RvYy54bWysU02P0zAQvSPxHyzfaZJKy7JR0z10tVwQ&#10;VCz7A7zOuLHkL41Nk/57xk6brgAJgbg4GXvem3nP4839ZA07AkbtXcebVc0ZOOl77Q4df/72+O4D&#10;ZzEJ1wvjHXT8BJHfb9++2YyhhbUfvOkBGZG42I6h40NKoa2qKAewIq58AEeHyqMViUI8VD2Kkdit&#10;qdZ1/b4aPfYBvYQYafdhPuTbwq8UyPRFqQiJmY5Tb6msWNaXvFbbjWgPKMKg5bkN8Q9dWKEdFV2o&#10;HkQS7DvqX6isluijV2klva28UlpC0UBqmvonNU+DCFC0kDkxLDbF/0crPx/3yHRPd3fHmROW7ugp&#10;odCHIbGdd44c9MjokJwaQ2wJsHN7PEcx7DHLnhTa/CVBbCrunhZ3YUpM0ubN3e26ub3hTF7Oqisw&#10;YEwfwVuWfzputMvCRSuOn2KiYpR6ScnbxuU1eqP7R21MCfLIwM4gOwq67DQ1uWXCvcqiKCOrLGRu&#10;vfylk4GZ9SsoMoOabUr1MoZXTiEluHThNY6yM0xRBwuw/jPwnJ+hUEb0b8ALolT2Li1gq53H31W/&#10;WqHm/IsDs+5swYvvT+VSizU0a8W587vIw/w6LvDr693+AAAA//8DAFBLAwQUAAYACAAAACEAxYTX&#10;i90AAAAIAQAADwAAAGRycy9kb3ducmV2LnhtbEyPQUvDQBCF74L/YRnBi9hdra0asykS6MWD0EaK&#10;x212mg1mZ0N226T/3hEEPc57jzffy1eT78QJh9gG0nA3UyCQ6mBbajR8VOvbJxAxGbKmC4Qazhhh&#10;VVxe5CazYaQNnrapEVxCMTMaXEp9JmWsHXoTZ6FHYu8QBm8Sn0Mj7WBGLvedvFdqKb1piT8402Pp&#10;sP7aHr2Gz+Zmvt5VVI1lej8s3XTevS1Kra+vptcXEAmn9BeGH3xGh4KZ9uFINopOAw9JrKr5Iwi2&#10;nx/UAsT+V5FFLv8PKL4BAAD//wMAUEsBAi0AFAAGAAgAAAAhALaDOJL+AAAA4QEAABMAAAAAAAAA&#10;AAAAAAAAAAAAAFtDb250ZW50X1R5cGVzXS54bWxQSwECLQAUAAYACAAAACEAOP0h/9YAAACUAQAA&#10;CwAAAAAAAAAAAAAAAAAvAQAAX3JlbHMvLnJlbHNQSwECLQAUAAYACAAAACEAZZ/KW9ABAAAFBAAA&#10;DgAAAAAAAAAAAAAAAAAuAgAAZHJzL2Uyb0RvYy54bWxQSwECLQAUAAYACAAAACEAxYTXi90AAAAI&#10;AQAADwAAAAAAAAAAAAAAAAAqBAAAZHJzL2Rvd25yZXYueG1sUEsFBgAAAAAEAAQA8wAAADQFAAAA&#10;AA==&#10;" strokecolor="black [3213]" strokeweight=".5pt">
                <v:stroke joinstyle="miter"/>
                <w10:wrap anchorx="margin"/>
              </v:line>
            </w:pict>
          </mc:Fallback>
        </mc:AlternateContent>
      </w:r>
      <w:r w:rsidRPr="00C03199">
        <w:rPr>
          <w:rFonts w:ascii="Times New Roman" w:hAnsi="Times New Roman" w:cs="Times New Roman"/>
        </w:rPr>
        <w:t xml:space="preserve">Domestic Acquisitions </w:t>
      </w:r>
      <w:r w:rsidRPr="00C03199">
        <w:rPr>
          <w:rFonts w:ascii="Times New Roman" w:hAnsi="Times New Roman" w:cs="Times New Roman"/>
        </w:rPr>
        <w:tab/>
      </w:r>
      <w:r w:rsidRPr="00C03199">
        <w:rPr>
          <w:rFonts w:ascii="Times New Roman" w:hAnsi="Times New Roman" w:cs="Times New Roman"/>
        </w:rPr>
        <w:tab/>
        <w:t xml:space="preserve">Cross-border Acquisitions </w:t>
      </w:r>
      <w:r w:rsidRPr="00C03199">
        <w:rPr>
          <w:rFonts w:ascii="Times New Roman" w:hAnsi="Times New Roman" w:cs="Times New Roman"/>
        </w:rPr>
        <w:tab/>
        <w:t xml:space="preserve">    Cross-border Effect</w:t>
      </w:r>
    </w:p>
    <w:p w14:paraId="20E1B513" w14:textId="77777777" w:rsidR="00FF0106" w:rsidRPr="00C03199" w:rsidRDefault="00FF0106" w:rsidP="00FF0106">
      <w:pPr>
        <w:spacing w:after="0" w:line="240" w:lineRule="auto"/>
        <w:rPr>
          <w:rFonts w:ascii="Times New Roman" w:hAnsi="Times New Roman" w:cs="Times New Roman"/>
        </w:rPr>
      </w:pPr>
      <w:r w:rsidRPr="00C0319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B07F4EE" wp14:editId="3B4C2AFF">
                <wp:simplePos x="0" y="0"/>
                <wp:positionH relativeFrom="column">
                  <wp:posOffset>2609850</wp:posOffset>
                </wp:positionH>
                <wp:positionV relativeFrom="paragraph">
                  <wp:posOffset>12065</wp:posOffset>
                </wp:positionV>
                <wp:extent cx="16954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695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F4FE7" id="Straight Connector 2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95pt" to="33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0BiugEAAMADAAAOAAAAZHJzL2Uyb0RvYy54bWysU02PEzEMvSPxH6Lc6UwrdgWjTvfQFVwQ&#10;VCz7A7IZpxORxJET+vHvcTLtLAKEEOKSSWy/Zz/bs747eScOQMli6OVy0UoBQeNgw76Xj1/evXoj&#10;RcoqDMphgF6eIcm7zcsX62PsYIUjugFIMElI3TH2csw5dk2T9AhepQVGCOw0SF5lftK+GUgdmd27&#10;ZtW2t80RaYiEGlJi6/3klJvKbwzo/MmYBFm4XnJtuZ5Uz6dyNpu16vak4mj1pQz1D1V4ZQMnnanu&#10;VVbiG9lfqLzVhAlNXmj0DRpjNVQNrGbZ/qTmYVQRqhZuTopzm9L/o9UfDzsSdujliicVlOcZPWRS&#10;dj9mscUQuINIgp3cqWNMHQO2YUeXV4o7KrJPhnz5siBxqt09z92FUxaajcvbtzevb3gI+uprnoGR&#10;Un4P6EW59NLZUISrTh0+pMzJOPQaUswuFFupZ6qg3vLZweT8DIY1lZyVpG4TbB2Jg+I9GL4uixqm&#10;dIEjC8RY52ZQ+2fQJbbAoG7Y3wLn6JoRQ56B3gak32XNp2upZoq/qp60FtlPOJzrPGo7eE2qsstK&#10;lz388V3hzz/e5jsAAAD//wMAUEsDBBQABgAIAAAAIQAAj8e52gAAAAcBAAAPAAAAZHJzL2Rvd25y&#10;ZXYueG1sTI/BTsMwEETvSPyDtUjcqJMKhTaNU1WVEOKCaAp3N3adgL2ObCcNf8/CBY6jt5p5W21n&#10;Z9mkQ+w9CsgXGTCNrVc9GgFvx8e7FbCYJCppPWoBXzrCtr6+qmSp/AUPemqSYVSCsZQCupSGkvPY&#10;dtrJuPCDRmJnH5xMFIPhKsgLlTvLl1lWcCd7pIVODnrf6fazGZ0A+xymd7M3uzg+HYrm4/W8fDlO&#10;QtzezLsNsKTn9HcMP/qkDjU5nfyIKjIr4D7P6ZdEYA2MePGwonz6zbyu+H//+hsAAP//AwBQSwEC&#10;LQAUAAYACAAAACEAtoM4kv4AAADhAQAAEwAAAAAAAAAAAAAAAAAAAAAAW0NvbnRlbnRfVHlwZXNd&#10;LnhtbFBLAQItABQABgAIAAAAIQA4/SH/1gAAAJQBAAALAAAAAAAAAAAAAAAAAC8BAABfcmVscy8u&#10;cmVsc1BLAQItABQABgAIAAAAIQCR00BiugEAAMADAAAOAAAAAAAAAAAAAAAAAC4CAABkcnMvZTJv&#10;RG9jLnhtbFBLAQItABQABgAIAAAAIQAAj8e52gAAAAcBAAAPAAAAAAAAAAAAAAAAABQEAABkcnMv&#10;ZG93bnJldi54bWxQSwUGAAAAAAQABADzAAAAGwUAAAAA&#10;" strokecolor="black [3200]" strokeweight=".5pt">
                <v:stroke joinstyle="miter"/>
              </v:line>
            </w:pict>
          </mc:Fallback>
        </mc:AlternateContent>
      </w:r>
      <w:r w:rsidRPr="00C0319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41A5EFC" wp14:editId="32BAEE65">
                <wp:simplePos x="0" y="0"/>
                <wp:positionH relativeFrom="column">
                  <wp:posOffset>876300</wp:posOffset>
                </wp:positionH>
                <wp:positionV relativeFrom="paragraph">
                  <wp:posOffset>12065</wp:posOffset>
                </wp:positionV>
                <wp:extent cx="14478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447800" cy="0"/>
                        </a:xfrm>
                        <a:prstGeom prst="line">
                          <a:avLst/>
                        </a:prstGeom>
                        <a:ln>
                          <a:solidFill>
                            <a:schemeClr val="tx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5B1A342" id="Straight Connector 2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95pt" to="18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jC0AEAAAUEAAAOAAAAZHJzL2Uyb0RvYy54bWysU8GO0zAQvSPxD5bvNGlZsauo6R66Wi4I&#10;Kpb9AK8zbizZHss2Tfr3jJ00XQESAnFxMva8N/Oex9v70Rp2ghA1upavVzVn4CR22h1b/vzt8d0d&#10;ZzEJ1wmDDlp+hsjvd2/fbAffwAZ7NB0ERiQuNoNveZ+Sb6oqyh6siCv04OhQYbAiURiOVRfEQOzW&#10;VJu6/lANGDofUEKMtPswHfJd4VcKZPqiVITETMupt1TWUNaXvFa7rWiOQfhey7kN8Q9dWKEdFV2o&#10;HkQS7HvQv1BZLQNGVGkl0VaolJZQNJCadf2TmqdeeChayJzoF5vi/6OVn0+HwHTX8s0tZ05YuqOn&#10;FIQ+9ont0TlyEAOjQ3Jq8LEhwN4dwhxFfwhZ9qiCzV8SxMbi7nlxF8bEJG2ub25u72q6BHk5q65A&#10;H2L6CGhZ/mm50S4LF404fYqJilHqJSVvG5fXiEZ3j9qYEuSRgb0J7CTostO4zi0T7lUWRRlZZSFT&#10;6+UvnQ1MrF9BkRm52VK9jOGVU0gJLr2feY2j7AxT1MECrP8MnPMzFMqI/g14QZTK6NICttph+F31&#10;qxVqyr84MOnOFrxgdy6XWqyhWSvOze8iD/PruMCvr3f3AwAA//8DAFBLAwQUAAYACAAAACEAPI9M&#10;WtsAAAAHAQAADwAAAGRycy9kb3ducmV2LnhtbEyPwUrDQBCG74LvsIzgRexGg6Gm2RQJ9OJBsJHi&#10;cZudZkOzsyG7bdK3d/Rib/PxD/98U6xn14szjqHzpOBpkYBAarzpqFXwVW8elyBC1GR07wkVXDDA&#10;ury9KXRu/ESfeN7GVnAJhVwrsDEOuZShseh0WPgBibODH52OjGMrzagnLne9fE6STDrdEV+wesDK&#10;YnPcnpyC7/Yh3exqqqcqfhwyO1927y+VUvd389sKRMQ5/i/Drz6rQ8lOe38iE0TPnC75l8jDKwjO&#10;0yxj3v+xLAt57V/+AAAA//8DAFBLAQItABQABgAIAAAAIQC2gziS/gAAAOEBAAATAAAAAAAAAAAA&#10;AAAAAAAAAABbQ29udGVudF9UeXBlc10ueG1sUEsBAi0AFAAGAAgAAAAhADj9If/WAAAAlAEAAAsA&#10;AAAAAAAAAAAAAAAALwEAAF9yZWxzLy5yZWxzUEsBAi0AFAAGAAgAAAAhABbj2MLQAQAABQQAAA4A&#10;AAAAAAAAAAAAAAAALgIAAGRycy9lMm9Eb2MueG1sUEsBAi0AFAAGAAgAAAAhADyPTFrbAAAABwEA&#10;AA8AAAAAAAAAAAAAAAAAKgQAAGRycy9kb3ducmV2LnhtbFBLBQYAAAAABAAEAPMAAAAyBQAAAAA=&#10;" strokecolor="black [3213]" strokeweight=".5pt">
                <v:stroke joinstyle="miter"/>
              </v:line>
            </w:pict>
          </mc:Fallback>
        </mc:AlternateContent>
      </w:r>
      <w:r w:rsidRPr="00C0319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858747A" wp14:editId="047959B8">
                <wp:simplePos x="0" y="0"/>
                <wp:positionH relativeFrom="margin">
                  <wp:align>right</wp:align>
                </wp:positionH>
                <wp:positionV relativeFrom="paragraph">
                  <wp:posOffset>12065</wp:posOffset>
                </wp:positionV>
                <wp:extent cx="14287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4287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C0B2B" id="Straight Connector 29"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61.3pt,.95pt" to="173.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JzugEAAMADAAAOAAAAZHJzL2Uyb0RvYy54bWysU9uO0zAQfUfiHyy/07QVlyVqug9dwQuC&#10;il0+wOuMGwvbY41Nm/49Y6fNIkAIIV4cz+WcmTOebG5H78QRKFkMnVwtllJA0NjbcOjkl4d3L26k&#10;SFmFXjkM0MkzJHm7ff5sc4otrHFA1wMJJgmpPcVODjnHtmmSHsCrtMAIgYMGyavMJh2antSJ2b1r&#10;1svl6+aE1EdCDSmx924Kym3lNwZ0/mRMgixcJ7m3XE+q52M5m+1GtQdScbD60ob6hy68soGLzlR3&#10;KivxjewvVN5qwoQmLzT6Bo2xGqoGVrNa/qTmflARqhYeTorzmNL/o9Ufj3sStu/k+q0UQXl+o/tM&#10;yh6GLHYYAk8QSXCQJ3WKqWXALuzpYqW4pyJ7NOTLlwWJsU73PE8Xxiw0O1cv1zdvXvEj6GuseQJG&#10;Svk9oBfl0klnQxGuWnX8kDIX49RrSnG7UHyln6mDestnB1PwMxjWVGpWkrpNsHMkjor3oP+6KmqY&#10;0gXOLBBjnZtByz+DLrkFBnXD/hY4Z9eKGPIM9DYg/a5qHq+tmin/qnrSWmQ/Yn+u71HHwWtSlV1W&#10;uuzhj3aFP/142+8AAAD//wMAUEsDBBQABgAIAAAAIQBtvuAu2AAAAAQBAAAPAAAAZHJzL2Rvd25y&#10;ZXYueG1sTI/BTsMwDIbvSLxDZCRuLKUSE5Sm0zQJIS6IdXDPGi/tljhVk3bl7TFc2PHzb/3+XK5m&#10;78SEQ+wCKbhfZCCQmmA6sgo+dy93jyBi0mS0C4QKvjHCqrq+KnVhwpm2ONXJCi6hWGgFbUp9IWVs&#10;WvQ6LkKPxNkhDF4nxsFKM+gzl3sn8yxbSq874gut7nHTYnOqR6/AvQ3Tl93YdRxft8v6+HHI33eT&#10;Urc38/oZRMI5/S/Drz6rQ8VO+zCSicIp4EcST59AcJjnD8z7P5ZVKS/lqx8AAAD//wMAUEsBAi0A&#10;FAAGAAgAAAAhALaDOJL+AAAA4QEAABMAAAAAAAAAAAAAAAAAAAAAAFtDb250ZW50X1R5cGVzXS54&#10;bWxQSwECLQAUAAYACAAAACEAOP0h/9YAAACUAQAACwAAAAAAAAAAAAAAAAAvAQAAX3JlbHMvLnJl&#10;bHNQSwECLQAUAAYACAAAACEA386yc7oBAADAAwAADgAAAAAAAAAAAAAAAAAuAgAAZHJzL2Uyb0Rv&#10;Yy54bWxQSwECLQAUAAYACAAAACEAbb7gLtgAAAAEAQAADwAAAAAAAAAAAAAAAAAUBAAAZHJzL2Rv&#10;d25yZXYueG1sUEsFBgAAAAAEAAQA8wAAABkFAAAAAA==&#10;" strokecolor="black [3200]" strokeweight=".5pt">
                <v:stroke joinstyle="miter"/>
                <w10:wrap anchorx="margin"/>
              </v:line>
            </w:pict>
          </mc:Fallback>
        </mc:AlternateContent>
      </w:r>
      <w:r w:rsidRPr="00C03199">
        <w:rPr>
          <w:rFonts w:ascii="Times New Roman" w:hAnsi="Times New Roman" w:cs="Times New Roman"/>
        </w:rPr>
        <w:t xml:space="preserve"> Model Sample</w:t>
      </w:r>
    </w:p>
    <w:p w14:paraId="0DEC4C08" w14:textId="77777777" w:rsidR="00FF0106" w:rsidRPr="00C03199" w:rsidRDefault="00FF0106" w:rsidP="00FF0106">
      <w:pPr>
        <w:spacing w:after="0" w:line="240" w:lineRule="auto"/>
        <w:rPr>
          <w:rFonts w:ascii="Times New Roman" w:hAnsi="Times New Roman" w:cs="Times New Roman"/>
        </w:rPr>
      </w:pPr>
      <w:r w:rsidRPr="00C03199">
        <w:rPr>
          <w:rFonts w:ascii="Times New Roman" w:hAnsi="Times New Roman" w:cs="Times New Roman"/>
        </w:rPr>
        <w:t xml:space="preserve"> Month: </w:t>
      </w:r>
      <w:r w:rsidRPr="00C03199">
        <w:rPr>
          <w:rFonts w:ascii="Times New Roman" w:hAnsi="Times New Roman" w:cs="Times New Roman"/>
        </w:rPr>
        <w:tab/>
        <w:t xml:space="preserve"> MM 654</w:t>
      </w:r>
      <w:r w:rsidRPr="00C03199">
        <w:rPr>
          <w:rFonts w:ascii="Times New Roman" w:hAnsi="Times New Roman" w:cs="Times New Roman"/>
        </w:rPr>
        <w:tab/>
        <w:t>CAPM 654</w:t>
      </w:r>
      <w:r w:rsidRPr="00C03199">
        <w:rPr>
          <w:rFonts w:ascii="Times New Roman" w:hAnsi="Times New Roman" w:cs="Times New Roman"/>
        </w:rPr>
        <w:tab/>
        <w:t>MM 435</w:t>
      </w:r>
      <w:r w:rsidRPr="00C03199">
        <w:rPr>
          <w:rFonts w:ascii="Times New Roman" w:hAnsi="Times New Roman" w:cs="Times New Roman"/>
        </w:rPr>
        <w:tab/>
        <w:t>CAPM 435</w:t>
      </w:r>
      <w:r w:rsidRPr="00C03199">
        <w:rPr>
          <w:rFonts w:ascii="Times New Roman" w:hAnsi="Times New Roman" w:cs="Times New Roman"/>
        </w:rPr>
        <w:tab/>
        <w:t xml:space="preserve">MM </w:t>
      </w:r>
      <w:r w:rsidRPr="00C03199">
        <w:rPr>
          <w:rFonts w:ascii="Times New Roman" w:hAnsi="Times New Roman" w:cs="Times New Roman"/>
        </w:rPr>
        <w:tab/>
      </w:r>
      <w:r w:rsidRPr="00C03199">
        <w:rPr>
          <w:rFonts w:ascii="Times New Roman" w:hAnsi="Times New Roman" w:cs="Times New Roman"/>
        </w:rPr>
        <w:tab/>
        <w:t xml:space="preserve">CAPM </w:t>
      </w:r>
    </w:p>
    <w:p w14:paraId="3D2D963D" w14:textId="77777777" w:rsidR="00FF0106" w:rsidRPr="00C03199" w:rsidRDefault="00FF0106" w:rsidP="00FF0106">
      <w:pPr>
        <w:rPr>
          <w:rFonts w:ascii="Times New Roman" w:hAnsi="Times New Roman" w:cs="Times New Roman"/>
        </w:rPr>
      </w:pPr>
    </w:p>
    <w:p w14:paraId="18E97901"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−5</w:t>
      </w:r>
      <w:r w:rsidRPr="00C03199">
        <w:rPr>
          <w:rFonts w:ascii="Times New Roman" w:hAnsi="Times New Roman" w:cs="Times New Roman"/>
          <w:sz w:val="20"/>
        </w:rPr>
        <w:tab/>
        <w:t xml:space="preserve">            −0.0088*              −0.0095*</w:t>
      </w:r>
      <w:r w:rsidRPr="00C03199">
        <w:rPr>
          <w:rFonts w:ascii="Times New Roman" w:hAnsi="Times New Roman" w:cs="Times New Roman"/>
          <w:sz w:val="20"/>
        </w:rPr>
        <w:tab/>
        <w:t xml:space="preserve">            −0.0170</w:t>
      </w:r>
      <w:r w:rsidRPr="00C03199">
        <w:rPr>
          <w:rFonts w:ascii="Times New Roman" w:hAnsi="Times New Roman" w:cs="Times New Roman"/>
          <w:sz w:val="20"/>
        </w:rPr>
        <w:tab/>
        <w:t xml:space="preserve">            −0.0166</w:t>
      </w:r>
      <w:r w:rsidRPr="00C03199">
        <w:rPr>
          <w:rFonts w:ascii="Times New Roman" w:hAnsi="Times New Roman" w:cs="Times New Roman"/>
          <w:sz w:val="20"/>
        </w:rPr>
        <w:tab/>
        <w:t xml:space="preserve">            −0.0082</w:t>
      </w:r>
      <w:r w:rsidRPr="00C03199">
        <w:rPr>
          <w:rFonts w:ascii="Times New Roman" w:hAnsi="Times New Roman" w:cs="Times New Roman"/>
          <w:sz w:val="20"/>
        </w:rPr>
        <w:tab/>
        <w:t xml:space="preserve">             −0.0072</w:t>
      </w:r>
    </w:p>
    <w:p w14:paraId="4FD3E2D8"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−4</w:t>
      </w:r>
      <w:r w:rsidRPr="00C03199">
        <w:rPr>
          <w:rFonts w:ascii="Times New Roman" w:hAnsi="Times New Roman" w:cs="Times New Roman"/>
          <w:sz w:val="20"/>
        </w:rPr>
        <w:tab/>
      </w:r>
      <w:r w:rsidRPr="00C03199">
        <w:rPr>
          <w:rFonts w:ascii="Times New Roman" w:hAnsi="Times New Roman" w:cs="Times New Roman"/>
          <w:sz w:val="20"/>
        </w:rPr>
        <w:tab/>
        <w:t>0.0058***</w:t>
      </w:r>
      <w:r w:rsidRPr="00C03199">
        <w:rPr>
          <w:rFonts w:ascii="Times New Roman" w:hAnsi="Times New Roman" w:cs="Times New Roman"/>
          <w:sz w:val="20"/>
        </w:rPr>
        <w:tab/>
        <w:t>0.0059</w:t>
      </w:r>
      <w:r w:rsidRPr="00C03199">
        <w:rPr>
          <w:rFonts w:ascii="Times New Roman" w:hAnsi="Times New Roman" w:cs="Times New Roman"/>
          <w:sz w:val="20"/>
        </w:rPr>
        <w:tab/>
      </w:r>
      <w:r w:rsidRPr="00C03199">
        <w:rPr>
          <w:rFonts w:ascii="Times New Roman" w:hAnsi="Times New Roman" w:cs="Times New Roman"/>
          <w:sz w:val="20"/>
        </w:rPr>
        <w:tab/>
        <w:t>0.0002</w:t>
      </w:r>
      <w:r w:rsidRPr="00C03199">
        <w:rPr>
          <w:rFonts w:ascii="Times New Roman" w:hAnsi="Times New Roman" w:cs="Times New Roman"/>
          <w:sz w:val="20"/>
        </w:rPr>
        <w:tab/>
      </w:r>
      <w:r w:rsidRPr="00C03199">
        <w:rPr>
          <w:rFonts w:ascii="Times New Roman" w:hAnsi="Times New Roman" w:cs="Times New Roman"/>
          <w:sz w:val="20"/>
        </w:rPr>
        <w:tab/>
        <w:t>0.0002</w:t>
      </w:r>
      <w:r w:rsidRPr="00C03199">
        <w:rPr>
          <w:rFonts w:ascii="Times New Roman" w:hAnsi="Times New Roman" w:cs="Times New Roman"/>
          <w:sz w:val="20"/>
        </w:rPr>
        <w:tab/>
        <w:t xml:space="preserve">            −0.0020</w:t>
      </w:r>
      <w:r w:rsidRPr="00C03199">
        <w:rPr>
          <w:rFonts w:ascii="Times New Roman" w:hAnsi="Times New Roman" w:cs="Times New Roman"/>
          <w:sz w:val="20"/>
        </w:rPr>
        <w:tab/>
        <w:t xml:space="preserve">             −0.0044</w:t>
      </w:r>
    </w:p>
    <w:p w14:paraId="0EB25D40"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−3</w:t>
      </w:r>
      <w:r w:rsidRPr="00C03199">
        <w:rPr>
          <w:rFonts w:ascii="Times New Roman" w:hAnsi="Times New Roman" w:cs="Times New Roman"/>
          <w:sz w:val="20"/>
        </w:rPr>
        <w:tab/>
      </w:r>
      <w:r w:rsidRPr="00C03199">
        <w:rPr>
          <w:rFonts w:ascii="Times New Roman" w:hAnsi="Times New Roman" w:cs="Times New Roman"/>
          <w:sz w:val="20"/>
        </w:rPr>
        <w:tab/>
        <w:t>0.0022</w:t>
      </w:r>
      <w:r w:rsidRPr="00C03199">
        <w:rPr>
          <w:rFonts w:ascii="Times New Roman" w:hAnsi="Times New Roman" w:cs="Times New Roman"/>
          <w:sz w:val="20"/>
        </w:rPr>
        <w:tab/>
      </w:r>
      <w:r w:rsidRPr="00C03199">
        <w:rPr>
          <w:rFonts w:ascii="Times New Roman" w:hAnsi="Times New Roman" w:cs="Times New Roman"/>
          <w:sz w:val="20"/>
        </w:rPr>
        <w:tab/>
        <w:t>0.0046</w:t>
      </w:r>
      <w:r w:rsidRPr="00C03199">
        <w:rPr>
          <w:rFonts w:ascii="Times New Roman" w:hAnsi="Times New Roman" w:cs="Times New Roman"/>
          <w:sz w:val="20"/>
        </w:rPr>
        <w:tab/>
      </w:r>
      <w:r w:rsidRPr="00C03199">
        <w:rPr>
          <w:rFonts w:ascii="Times New Roman" w:hAnsi="Times New Roman" w:cs="Times New Roman"/>
          <w:sz w:val="20"/>
        </w:rPr>
        <w:tab/>
        <w:t>0.0107</w:t>
      </w:r>
      <w:r w:rsidRPr="00C03199">
        <w:rPr>
          <w:rFonts w:ascii="Times New Roman" w:hAnsi="Times New Roman" w:cs="Times New Roman"/>
          <w:sz w:val="20"/>
        </w:rPr>
        <w:tab/>
      </w:r>
      <w:r w:rsidRPr="00C03199">
        <w:rPr>
          <w:rFonts w:ascii="Times New Roman" w:hAnsi="Times New Roman" w:cs="Times New Roman"/>
          <w:sz w:val="20"/>
        </w:rPr>
        <w:tab/>
        <w:t>0.0090</w:t>
      </w:r>
      <w:r w:rsidRPr="00C03199">
        <w:rPr>
          <w:rFonts w:ascii="Times New Roman" w:hAnsi="Times New Roman" w:cs="Times New Roman"/>
          <w:sz w:val="20"/>
        </w:rPr>
        <w:tab/>
      </w:r>
      <w:r w:rsidRPr="00C03199">
        <w:rPr>
          <w:rFonts w:ascii="Times New Roman" w:hAnsi="Times New Roman" w:cs="Times New Roman"/>
          <w:sz w:val="20"/>
        </w:rPr>
        <w:tab/>
        <w:t>0.0049</w:t>
      </w:r>
      <w:r w:rsidRPr="00C03199">
        <w:rPr>
          <w:rFonts w:ascii="Times New Roman" w:hAnsi="Times New Roman" w:cs="Times New Roman"/>
          <w:sz w:val="20"/>
        </w:rPr>
        <w:tab/>
        <w:t xml:space="preserve">       </w:t>
      </w:r>
      <w:r w:rsidRPr="00C03199">
        <w:rPr>
          <w:rFonts w:ascii="Times New Roman" w:hAnsi="Times New Roman" w:cs="Times New Roman"/>
          <w:sz w:val="20"/>
        </w:rPr>
        <w:tab/>
        <w:t xml:space="preserve"> 0.0031</w:t>
      </w:r>
    </w:p>
    <w:p w14:paraId="6BB01F7D"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−2</w:t>
      </w:r>
      <w:r w:rsidRPr="00C03199">
        <w:rPr>
          <w:rFonts w:ascii="Times New Roman" w:hAnsi="Times New Roman" w:cs="Times New Roman"/>
          <w:sz w:val="20"/>
        </w:rPr>
        <w:tab/>
      </w:r>
      <w:r w:rsidRPr="00C03199">
        <w:rPr>
          <w:rFonts w:ascii="Times New Roman" w:hAnsi="Times New Roman" w:cs="Times New Roman"/>
          <w:sz w:val="20"/>
        </w:rPr>
        <w:tab/>
        <w:t>0.0196</w:t>
      </w:r>
      <w:r w:rsidRPr="00C03199">
        <w:rPr>
          <w:rFonts w:ascii="Times New Roman" w:hAnsi="Times New Roman" w:cs="Times New Roman"/>
          <w:sz w:val="20"/>
        </w:rPr>
        <w:tab/>
      </w:r>
      <w:r w:rsidRPr="00C03199">
        <w:rPr>
          <w:rFonts w:ascii="Times New Roman" w:hAnsi="Times New Roman" w:cs="Times New Roman"/>
          <w:sz w:val="20"/>
        </w:rPr>
        <w:tab/>
        <w:t>0.0195</w:t>
      </w:r>
      <w:r w:rsidRPr="00C03199">
        <w:rPr>
          <w:rFonts w:ascii="Times New Roman" w:hAnsi="Times New Roman" w:cs="Times New Roman"/>
          <w:sz w:val="20"/>
        </w:rPr>
        <w:tab/>
      </w:r>
      <w:r w:rsidRPr="00C03199">
        <w:rPr>
          <w:rFonts w:ascii="Times New Roman" w:hAnsi="Times New Roman" w:cs="Times New Roman"/>
          <w:sz w:val="20"/>
        </w:rPr>
        <w:tab/>
        <w:t>0.0215**</w:t>
      </w:r>
      <w:r w:rsidRPr="00C03199">
        <w:rPr>
          <w:rFonts w:ascii="Times New Roman" w:hAnsi="Times New Roman" w:cs="Times New Roman"/>
          <w:sz w:val="20"/>
        </w:rPr>
        <w:tab/>
        <w:t>0.0217*</w:t>
      </w:r>
      <w:r w:rsidRPr="00C03199">
        <w:rPr>
          <w:rFonts w:ascii="Times New Roman" w:hAnsi="Times New Roman" w:cs="Times New Roman"/>
          <w:sz w:val="20"/>
        </w:rPr>
        <w:tab/>
      </w:r>
      <w:r w:rsidRPr="00C03199">
        <w:rPr>
          <w:rFonts w:ascii="Times New Roman" w:hAnsi="Times New Roman" w:cs="Times New Roman"/>
          <w:sz w:val="20"/>
        </w:rPr>
        <w:tab/>
        <w:t>0.0018</w:t>
      </w:r>
      <w:r w:rsidRPr="00C03199">
        <w:rPr>
          <w:rFonts w:ascii="Times New Roman" w:hAnsi="Times New Roman" w:cs="Times New Roman"/>
          <w:sz w:val="20"/>
        </w:rPr>
        <w:tab/>
        <w:t xml:space="preserve">       </w:t>
      </w:r>
      <w:r w:rsidRPr="00C03199">
        <w:rPr>
          <w:rFonts w:ascii="Times New Roman" w:hAnsi="Times New Roman" w:cs="Times New Roman"/>
          <w:sz w:val="20"/>
        </w:rPr>
        <w:tab/>
        <w:t xml:space="preserve"> 0.0022</w:t>
      </w:r>
    </w:p>
    <w:p w14:paraId="5EB4E3F0"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−1</w:t>
      </w:r>
      <w:r w:rsidRPr="00C03199">
        <w:rPr>
          <w:rFonts w:ascii="Times New Roman" w:hAnsi="Times New Roman" w:cs="Times New Roman"/>
          <w:sz w:val="20"/>
        </w:rPr>
        <w:tab/>
      </w:r>
      <w:r w:rsidRPr="00C03199">
        <w:rPr>
          <w:rFonts w:ascii="Times New Roman" w:hAnsi="Times New Roman" w:cs="Times New Roman"/>
          <w:sz w:val="20"/>
        </w:rPr>
        <w:tab/>
        <w:t>0.1880***</w:t>
      </w:r>
      <w:r w:rsidRPr="00C03199">
        <w:rPr>
          <w:rFonts w:ascii="Times New Roman" w:hAnsi="Times New Roman" w:cs="Times New Roman"/>
          <w:sz w:val="20"/>
        </w:rPr>
        <w:tab/>
        <w:t>0.1900**</w:t>
      </w:r>
      <w:r w:rsidRPr="00C03199">
        <w:rPr>
          <w:rFonts w:ascii="Times New Roman" w:hAnsi="Times New Roman" w:cs="Times New Roman"/>
          <w:sz w:val="20"/>
        </w:rPr>
        <w:tab/>
        <w:t>0.1283***</w:t>
      </w:r>
      <w:r w:rsidRPr="00C03199">
        <w:rPr>
          <w:rFonts w:ascii="Times New Roman" w:hAnsi="Times New Roman" w:cs="Times New Roman"/>
          <w:sz w:val="20"/>
        </w:rPr>
        <w:tab/>
        <w:t>0.1295**           −0.0597</w:t>
      </w:r>
      <w:r w:rsidRPr="00C03199">
        <w:rPr>
          <w:rFonts w:ascii="Times New Roman" w:hAnsi="Times New Roman" w:cs="Times New Roman"/>
          <w:sz w:val="20"/>
        </w:rPr>
        <w:tab/>
        <w:t xml:space="preserve">             −0.0605 </w:t>
      </w:r>
    </w:p>
    <w:p w14:paraId="5C994CD2"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 xml:space="preserve">  0</w:t>
      </w:r>
      <w:r w:rsidRPr="00C03199">
        <w:rPr>
          <w:rFonts w:ascii="Times New Roman" w:hAnsi="Times New Roman" w:cs="Times New Roman"/>
          <w:sz w:val="20"/>
        </w:rPr>
        <w:tab/>
      </w:r>
      <w:r w:rsidRPr="00C03199">
        <w:rPr>
          <w:rFonts w:ascii="Times New Roman" w:hAnsi="Times New Roman" w:cs="Times New Roman"/>
          <w:sz w:val="20"/>
        </w:rPr>
        <w:tab/>
        <w:t>0.2669***</w:t>
      </w:r>
      <w:r w:rsidRPr="00C03199">
        <w:rPr>
          <w:rFonts w:ascii="Times New Roman" w:hAnsi="Times New Roman" w:cs="Times New Roman"/>
          <w:sz w:val="20"/>
        </w:rPr>
        <w:tab/>
        <w:t>0.2653***</w:t>
      </w:r>
      <w:r w:rsidRPr="00C03199">
        <w:rPr>
          <w:rFonts w:ascii="Times New Roman" w:hAnsi="Times New Roman" w:cs="Times New Roman"/>
          <w:sz w:val="20"/>
        </w:rPr>
        <w:tab/>
        <w:t>0.1980***</w:t>
      </w:r>
      <w:r w:rsidRPr="00C03199">
        <w:rPr>
          <w:rFonts w:ascii="Times New Roman" w:hAnsi="Times New Roman" w:cs="Times New Roman"/>
          <w:sz w:val="20"/>
        </w:rPr>
        <w:tab/>
        <w:t>0.1996***         −0.0689</w:t>
      </w:r>
      <w:r w:rsidRPr="00C03199">
        <w:rPr>
          <w:rFonts w:ascii="Times New Roman" w:hAnsi="Times New Roman" w:cs="Times New Roman"/>
          <w:sz w:val="20"/>
        </w:rPr>
        <w:tab/>
        <w:t xml:space="preserve">             −0.0657</w:t>
      </w:r>
    </w:p>
    <w:p w14:paraId="0024FDF1" w14:textId="24335847" w:rsidR="00FF0106" w:rsidRPr="00C03199" w:rsidRDefault="008D60E4" w:rsidP="00FF0106">
      <w:pPr>
        <w:keepNext/>
        <w:spacing w:after="0"/>
        <w:rPr>
          <w:rFonts w:ascii="Times New Roman" w:hAnsi="Times New Roman" w:cs="Times New Roman"/>
          <w:sz w:val="20"/>
        </w:rPr>
      </w:pPr>
      <w:r w:rsidRPr="00C03199">
        <w:rPr>
          <w:rFonts w:ascii="Times New Roman" w:hAnsi="Times New Roman" w:cs="Times New Roman"/>
          <w:sz w:val="20"/>
        </w:rPr>
        <w:t>+1</w:t>
      </w:r>
      <w:r w:rsidRPr="00C03199">
        <w:rPr>
          <w:rFonts w:ascii="Times New Roman" w:hAnsi="Times New Roman" w:cs="Times New Roman"/>
          <w:sz w:val="20"/>
        </w:rPr>
        <w:tab/>
      </w:r>
      <w:r w:rsidRPr="00C03199">
        <w:rPr>
          <w:rFonts w:ascii="Times New Roman" w:hAnsi="Times New Roman" w:cs="Times New Roman"/>
          <w:sz w:val="20"/>
        </w:rPr>
        <w:tab/>
        <w:t>0.0141</w:t>
      </w:r>
      <w:r w:rsidR="00FF0106" w:rsidRPr="00C03199">
        <w:rPr>
          <w:rFonts w:ascii="Times New Roman" w:hAnsi="Times New Roman" w:cs="Times New Roman"/>
          <w:sz w:val="20"/>
        </w:rPr>
        <w:tab/>
      </w:r>
      <w:r w:rsidR="00FF0106" w:rsidRPr="00C03199">
        <w:rPr>
          <w:rFonts w:ascii="Times New Roman" w:hAnsi="Times New Roman" w:cs="Times New Roman"/>
          <w:sz w:val="20"/>
        </w:rPr>
        <w:tab/>
        <w:t>0.0132*</w:t>
      </w:r>
      <w:r w:rsidR="00FF0106" w:rsidRPr="00C03199">
        <w:rPr>
          <w:rFonts w:ascii="Times New Roman" w:hAnsi="Times New Roman" w:cs="Times New Roman"/>
          <w:sz w:val="20"/>
        </w:rPr>
        <w:tab/>
      </w:r>
      <w:r w:rsidR="00FF0106" w:rsidRPr="00C03199">
        <w:rPr>
          <w:rFonts w:ascii="Times New Roman" w:hAnsi="Times New Roman" w:cs="Times New Roman"/>
          <w:sz w:val="20"/>
        </w:rPr>
        <w:tab/>
        <w:t>0.0020*</w:t>
      </w:r>
      <w:r w:rsidR="00FF0106" w:rsidRPr="00C03199">
        <w:rPr>
          <w:rFonts w:ascii="Times New Roman" w:hAnsi="Times New Roman" w:cs="Times New Roman"/>
          <w:sz w:val="20"/>
        </w:rPr>
        <w:tab/>
        <w:t xml:space="preserve">            −0.0002*</w:t>
      </w:r>
      <w:r w:rsidR="00FF0106" w:rsidRPr="00C03199">
        <w:rPr>
          <w:rFonts w:ascii="Times New Roman" w:hAnsi="Times New Roman" w:cs="Times New Roman"/>
          <w:sz w:val="20"/>
        </w:rPr>
        <w:tab/>
        <w:t xml:space="preserve">            −0.0120</w:t>
      </w:r>
      <w:r w:rsidR="00FF0106" w:rsidRPr="00C03199">
        <w:rPr>
          <w:rFonts w:ascii="Times New Roman" w:hAnsi="Times New Roman" w:cs="Times New Roman"/>
          <w:sz w:val="20"/>
        </w:rPr>
        <w:tab/>
        <w:t xml:space="preserve">             −0.0134</w:t>
      </w:r>
    </w:p>
    <w:p w14:paraId="262EBE60" w14:textId="67C384B7" w:rsidR="00FF0106" w:rsidRPr="00C03199" w:rsidRDefault="008D60E4" w:rsidP="00FF0106">
      <w:pPr>
        <w:keepNext/>
        <w:spacing w:after="0"/>
        <w:rPr>
          <w:rFonts w:ascii="Times New Roman" w:hAnsi="Times New Roman" w:cs="Times New Roman"/>
          <w:sz w:val="20"/>
        </w:rPr>
      </w:pPr>
      <w:r w:rsidRPr="00C03199">
        <w:rPr>
          <w:rFonts w:ascii="Times New Roman" w:hAnsi="Times New Roman" w:cs="Times New Roman"/>
          <w:sz w:val="20"/>
        </w:rPr>
        <w:t>+2</w:t>
      </w:r>
      <w:r w:rsidRPr="00C03199">
        <w:rPr>
          <w:rFonts w:ascii="Times New Roman" w:hAnsi="Times New Roman" w:cs="Times New Roman"/>
          <w:sz w:val="20"/>
        </w:rPr>
        <w:tab/>
      </w:r>
      <w:r w:rsidRPr="00C03199">
        <w:rPr>
          <w:rFonts w:ascii="Times New Roman" w:hAnsi="Times New Roman" w:cs="Times New Roman"/>
          <w:sz w:val="20"/>
        </w:rPr>
        <w:tab/>
        <w:t>0.0100</w:t>
      </w:r>
      <w:r w:rsidR="00FF0106" w:rsidRPr="00C03199">
        <w:rPr>
          <w:rFonts w:ascii="Times New Roman" w:hAnsi="Times New Roman" w:cs="Times New Roman"/>
          <w:sz w:val="20"/>
        </w:rPr>
        <w:tab/>
      </w:r>
      <w:r w:rsidR="00FF0106" w:rsidRPr="00C03199">
        <w:rPr>
          <w:rFonts w:ascii="Times New Roman" w:hAnsi="Times New Roman" w:cs="Times New Roman"/>
          <w:sz w:val="20"/>
        </w:rPr>
        <w:tab/>
        <w:t>0.0092</w:t>
      </w:r>
      <w:r w:rsidR="00FF0106" w:rsidRPr="00C03199">
        <w:rPr>
          <w:rFonts w:ascii="Times New Roman" w:hAnsi="Times New Roman" w:cs="Times New Roman"/>
          <w:sz w:val="20"/>
        </w:rPr>
        <w:tab/>
      </w:r>
      <w:r w:rsidR="00FF0106" w:rsidRPr="00C03199">
        <w:rPr>
          <w:rFonts w:ascii="Times New Roman" w:hAnsi="Times New Roman" w:cs="Times New Roman"/>
          <w:sz w:val="20"/>
        </w:rPr>
        <w:tab/>
        <w:t>0.0017**            −0.0010*</w:t>
      </w:r>
      <w:r w:rsidR="00FF0106" w:rsidRPr="00C03199">
        <w:rPr>
          <w:rFonts w:ascii="Times New Roman" w:hAnsi="Times New Roman" w:cs="Times New Roman"/>
          <w:sz w:val="20"/>
        </w:rPr>
        <w:tab/>
        <w:t xml:space="preserve">            −0.0083</w:t>
      </w:r>
      <w:r w:rsidR="00FF0106" w:rsidRPr="00C03199">
        <w:rPr>
          <w:rFonts w:ascii="Times New Roman" w:hAnsi="Times New Roman" w:cs="Times New Roman"/>
          <w:sz w:val="20"/>
        </w:rPr>
        <w:tab/>
        <w:t xml:space="preserve">             −0.0134</w:t>
      </w:r>
    </w:p>
    <w:p w14:paraId="6A4A28B7"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+3</w:t>
      </w:r>
      <w:r w:rsidRPr="00C03199">
        <w:rPr>
          <w:rFonts w:ascii="Times New Roman" w:hAnsi="Times New Roman" w:cs="Times New Roman"/>
          <w:sz w:val="20"/>
        </w:rPr>
        <w:tab/>
      </w:r>
      <w:r w:rsidRPr="00C03199">
        <w:rPr>
          <w:rFonts w:ascii="Times New Roman" w:hAnsi="Times New Roman" w:cs="Times New Roman"/>
          <w:sz w:val="20"/>
        </w:rPr>
        <w:tab/>
        <w:t>0.0015</w:t>
      </w:r>
      <w:r w:rsidRPr="00C03199">
        <w:rPr>
          <w:rFonts w:ascii="Times New Roman" w:hAnsi="Times New Roman" w:cs="Times New Roman"/>
          <w:sz w:val="20"/>
        </w:rPr>
        <w:tab/>
        <w:t xml:space="preserve">            −0.0012</w:t>
      </w:r>
      <w:r w:rsidRPr="00C03199">
        <w:rPr>
          <w:rFonts w:ascii="Times New Roman" w:hAnsi="Times New Roman" w:cs="Times New Roman"/>
          <w:sz w:val="20"/>
        </w:rPr>
        <w:tab/>
      </w:r>
      <w:r w:rsidRPr="00C03199">
        <w:rPr>
          <w:rFonts w:ascii="Times New Roman" w:hAnsi="Times New Roman" w:cs="Times New Roman"/>
          <w:sz w:val="20"/>
        </w:rPr>
        <w:tab/>
        <w:t>0.0355**</w:t>
      </w:r>
      <w:r w:rsidRPr="00C03199">
        <w:rPr>
          <w:rFonts w:ascii="Times New Roman" w:hAnsi="Times New Roman" w:cs="Times New Roman"/>
          <w:sz w:val="20"/>
        </w:rPr>
        <w:tab/>
        <w:t>0.0336</w:t>
      </w:r>
      <w:r w:rsidRPr="00C03199">
        <w:rPr>
          <w:rFonts w:ascii="Times New Roman" w:hAnsi="Times New Roman" w:cs="Times New Roman"/>
          <w:sz w:val="20"/>
        </w:rPr>
        <w:tab/>
      </w:r>
      <w:r w:rsidRPr="00C03199">
        <w:rPr>
          <w:rFonts w:ascii="Times New Roman" w:hAnsi="Times New Roman" w:cs="Times New Roman"/>
          <w:sz w:val="20"/>
        </w:rPr>
        <w:tab/>
        <w:t>0.0340</w:t>
      </w:r>
      <w:r w:rsidRPr="00C03199">
        <w:rPr>
          <w:rFonts w:ascii="Times New Roman" w:hAnsi="Times New Roman" w:cs="Times New Roman"/>
          <w:sz w:val="20"/>
        </w:rPr>
        <w:tab/>
      </w:r>
      <w:r w:rsidRPr="00C03199">
        <w:rPr>
          <w:rFonts w:ascii="Times New Roman" w:hAnsi="Times New Roman" w:cs="Times New Roman"/>
          <w:sz w:val="20"/>
        </w:rPr>
        <w:tab/>
        <w:t>0.0348</w:t>
      </w:r>
    </w:p>
    <w:p w14:paraId="3A08D36A" w14:textId="77777777" w:rsidR="00FF0106" w:rsidRPr="00C03199" w:rsidRDefault="00FF0106" w:rsidP="00FF0106">
      <w:pPr>
        <w:keepNext/>
        <w:spacing w:after="0"/>
        <w:rPr>
          <w:rFonts w:ascii="Times New Roman" w:hAnsi="Times New Roman" w:cs="Times New Roman"/>
          <w:sz w:val="20"/>
        </w:rPr>
      </w:pPr>
      <w:r w:rsidRPr="00C03199">
        <w:rPr>
          <w:rFonts w:ascii="Times New Roman" w:hAnsi="Times New Roman" w:cs="Times New Roman"/>
          <w:sz w:val="20"/>
        </w:rPr>
        <w:t>+4</w:t>
      </w:r>
      <w:r w:rsidRPr="00C03199">
        <w:rPr>
          <w:rFonts w:ascii="Times New Roman" w:hAnsi="Times New Roman" w:cs="Times New Roman"/>
          <w:sz w:val="20"/>
        </w:rPr>
        <w:tab/>
      </w:r>
      <w:r w:rsidRPr="00C03199">
        <w:rPr>
          <w:rFonts w:ascii="Times New Roman" w:hAnsi="Times New Roman" w:cs="Times New Roman"/>
          <w:sz w:val="20"/>
        </w:rPr>
        <w:tab/>
        <w:t>0.0033</w:t>
      </w:r>
      <w:r w:rsidRPr="00C03199">
        <w:rPr>
          <w:rFonts w:ascii="Times New Roman" w:hAnsi="Times New Roman" w:cs="Times New Roman"/>
          <w:sz w:val="20"/>
        </w:rPr>
        <w:tab/>
      </w:r>
      <w:r w:rsidRPr="00C03199">
        <w:rPr>
          <w:rFonts w:ascii="Times New Roman" w:hAnsi="Times New Roman" w:cs="Times New Roman"/>
          <w:sz w:val="20"/>
        </w:rPr>
        <w:tab/>
        <w:t>0.0010</w:t>
      </w:r>
      <w:r w:rsidRPr="00C03199">
        <w:rPr>
          <w:rFonts w:ascii="Times New Roman" w:hAnsi="Times New Roman" w:cs="Times New Roman"/>
          <w:sz w:val="20"/>
        </w:rPr>
        <w:tab/>
        <w:t xml:space="preserve">            −0.0066*</w:t>
      </w:r>
      <w:r w:rsidRPr="00C03199">
        <w:rPr>
          <w:rFonts w:ascii="Times New Roman" w:hAnsi="Times New Roman" w:cs="Times New Roman"/>
          <w:sz w:val="20"/>
        </w:rPr>
        <w:tab/>
        <w:t xml:space="preserve">            −0.0054</w:t>
      </w:r>
      <w:r w:rsidRPr="00C03199">
        <w:rPr>
          <w:rFonts w:ascii="Times New Roman" w:hAnsi="Times New Roman" w:cs="Times New Roman"/>
          <w:sz w:val="20"/>
        </w:rPr>
        <w:tab/>
        <w:t xml:space="preserve">            −0.0098</w:t>
      </w:r>
      <w:r w:rsidRPr="00C03199">
        <w:rPr>
          <w:rFonts w:ascii="Times New Roman" w:hAnsi="Times New Roman" w:cs="Times New Roman"/>
          <w:sz w:val="20"/>
        </w:rPr>
        <w:tab/>
        <w:t xml:space="preserve">             −0.0063</w:t>
      </w:r>
    </w:p>
    <w:p w14:paraId="7FA368AA" w14:textId="77777777" w:rsidR="00FF0106" w:rsidRPr="00C03199" w:rsidRDefault="00FF0106" w:rsidP="00FF0106">
      <w:pPr>
        <w:spacing w:after="0"/>
        <w:rPr>
          <w:rFonts w:ascii="Times New Roman" w:hAnsi="Times New Roman" w:cs="Times New Roman"/>
          <w:sz w:val="20"/>
        </w:rPr>
      </w:pPr>
      <w:r w:rsidRPr="00C03199">
        <w:rPr>
          <w:rFonts w:ascii="Times New Roman" w:hAnsi="Times New Roman" w:cs="Times New Roman"/>
          <w:sz w:val="20"/>
        </w:rPr>
        <w:t>Cumulative Abnormal Return (in days):</w:t>
      </w:r>
    </w:p>
    <w:p w14:paraId="3AF335D3" w14:textId="77777777" w:rsidR="00FF0106" w:rsidRPr="00C03199" w:rsidRDefault="00FF0106" w:rsidP="00FF0106">
      <w:pPr>
        <w:spacing w:after="0"/>
        <w:rPr>
          <w:rFonts w:ascii="Times New Roman" w:hAnsi="Times New Roman" w:cs="Times New Roman"/>
          <w:sz w:val="20"/>
        </w:rPr>
      </w:pPr>
      <w:r w:rsidRPr="00C03199">
        <w:rPr>
          <w:rFonts w:ascii="Times New Roman" w:hAnsi="Times New Roman" w:cs="Times New Roman"/>
          <w:sz w:val="20"/>
        </w:rPr>
        <w:t>−8, −3</w:t>
      </w:r>
      <w:r w:rsidRPr="00C03199">
        <w:rPr>
          <w:rFonts w:ascii="Times New Roman" w:hAnsi="Times New Roman" w:cs="Times New Roman"/>
          <w:sz w:val="20"/>
        </w:rPr>
        <w:tab/>
      </w:r>
      <w:r w:rsidRPr="00C03199">
        <w:rPr>
          <w:rFonts w:ascii="Times New Roman" w:hAnsi="Times New Roman" w:cs="Times New Roman"/>
          <w:sz w:val="20"/>
        </w:rPr>
        <w:tab/>
        <w:t>0.0266***</w:t>
      </w:r>
      <w:r w:rsidRPr="00C03199">
        <w:rPr>
          <w:rFonts w:ascii="Times New Roman" w:hAnsi="Times New Roman" w:cs="Times New Roman"/>
          <w:sz w:val="20"/>
        </w:rPr>
        <w:tab/>
        <w:t>0.0269**</w:t>
      </w:r>
      <w:r w:rsidRPr="00C03199">
        <w:rPr>
          <w:rFonts w:ascii="Times New Roman" w:hAnsi="Times New Roman" w:cs="Times New Roman"/>
          <w:sz w:val="20"/>
        </w:rPr>
        <w:tab/>
        <w:t>0.0308***</w:t>
      </w:r>
      <w:r w:rsidRPr="00C03199">
        <w:rPr>
          <w:rFonts w:ascii="Times New Roman" w:hAnsi="Times New Roman" w:cs="Times New Roman"/>
          <w:sz w:val="20"/>
        </w:rPr>
        <w:tab/>
        <w:t>0.0349**</w:t>
      </w:r>
      <w:r w:rsidRPr="00C03199">
        <w:rPr>
          <w:rFonts w:ascii="Times New Roman" w:hAnsi="Times New Roman" w:cs="Times New Roman"/>
          <w:sz w:val="20"/>
        </w:rPr>
        <w:tab/>
        <w:t>0.0043</w:t>
      </w:r>
      <w:r w:rsidRPr="00C03199">
        <w:rPr>
          <w:rFonts w:ascii="Times New Roman" w:hAnsi="Times New Roman" w:cs="Times New Roman"/>
          <w:sz w:val="20"/>
        </w:rPr>
        <w:tab/>
        <w:t xml:space="preserve">           0.0080</w:t>
      </w:r>
    </w:p>
    <w:p w14:paraId="1F64A111" w14:textId="77777777" w:rsidR="00FF0106" w:rsidRPr="00C03199" w:rsidRDefault="00FF0106" w:rsidP="00FF0106">
      <w:pPr>
        <w:spacing w:after="0"/>
        <w:rPr>
          <w:rFonts w:ascii="Times New Roman" w:hAnsi="Times New Roman" w:cs="Times New Roman"/>
          <w:sz w:val="20"/>
        </w:rPr>
      </w:pPr>
      <w:r w:rsidRPr="00C03199">
        <w:rPr>
          <w:rFonts w:ascii="Times New Roman" w:hAnsi="Times New Roman" w:cs="Times New Roman"/>
          <w:sz w:val="20"/>
        </w:rPr>
        <w:t>−2, −1</w:t>
      </w:r>
      <w:r w:rsidRPr="00C03199">
        <w:rPr>
          <w:rFonts w:ascii="Times New Roman" w:hAnsi="Times New Roman" w:cs="Times New Roman"/>
          <w:sz w:val="20"/>
        </w:rPr>
        <w:tab/>
      </w:r>
      <w:r w:rsidRPr="00C03199">
        <w:rPr>
          <w:rFonts w:ascii="Times New Roman" w:hAnsi="Times New Roman" w:cs="Times New Roman"/>
          <w:sz w:val="20"/>
        </w:rPr>
        <w:tab/>
        <w:t>0.0966***</w:t>
      </w:r>
      <w:r w:rsidRPr="00C03199">
        <w:rPr>
          <w:rFonts w:ascii="Times New Roman" w:hAnsi="Times New Roman" w:cs="Times New Roman"/>
          <w:sz w:val="20"/>
        </w:rPr>
        <w:tab/>
        <w:t>0.0969**</w:t>
      </w:r>
      <w:r w:rsidRPr="00C03199">
        <w:rPr>
          <w:rFonts w:ascii="Times New Roman" w:hAnsi="Times New Roman" w:cs="Times New Roman"/>
          <w:sz w:val="20"/>
        </w:rPr>
        <w:tab/>
        <w:t>0.0317***</w:t>
      </w:r>
      <w:r w:rsidRPr="00C03199">
        <w:rPr>
          <w:rFonts w:ascii="Times New Roman" w:hAnsi="Times New Roman" w:cs="Times New Roman"/>
          <w:sz w:val="20"/>
        </w:rPr>
        <w:tab/>
        <w:t>0.0316**           −0.0649</w:t>
      </w:r>
      <w:r w:rsidRPr="00C03199">
        <w:rPr>
          <w:rFonts w:ascii="Times New Roman" w:hAnsi="Times New Roman" w:cs="Times New Roman"/>
          <w:sz w:val="20"/>
        </w:rPr>
        <w:tab/>
        <w:t xml:space="preserve">         −0.0654</w:t>
      </w:r>
    </w:p>
    <w:p w14:paraId="7283D29A" w14:textId="77777777" w:rsidR="00FF0106" w:rsidRPr="00C03199" w:rsidRDefault="00FF0106" w:rsidP="00FF0106">
      <w:pPr>
        <w:spacing w:after="0"/>
        <w:rPr>
          <w:rFonts w:ascii="Times New Roman" w:hAnsi="Times New Roman" w:cs="Times New Roman"/>
          <w:sz w:val="20"/>
        </w:rPr>
      </w:pPr>
      <w:r w:rsidRPr="00C03199">
        <w:rPr>
          <w:rFonts w:ascii="Times New Roman" w:hAnsi="Times New Roman" w:cs="Times New Roman"/>
          <w:sz w:val="20"/>
        </w:rPr>
        <w:t xml:space="preserve">  0, +1</w:t>
      </w:r>
      <w:r w:rsidRPr="00C03199">
        <w:rPr>
          <w:rFonts w:ascii="Times New Roman" w:hAnsi="Times New Roman" w:cs="Times New Roman"/>
          <w:sz w:val="20"/>
        </w:rPr>
        <w:tab/>
      </w:r>
      <w:r w:rsidRPr="00C03199">
        <w:rPr>
          <w:rFonts w:ascii="Times New Roman" w:hAnsi="Times New Roman" w:cs="Times New Roman"/>
          <w:sz w:val="20"/>
        </w:rPr>
        <w:tab/>
        <w:t>0.01213***</w:t>
      </w:r>
      <w:r w:rsidRPr="00C03199">
        <w:rPr>
          <w:rFonts w:ascii="Times New Roman" w:hAnsi="Times New Roman" w:cs="Times New Roman"/>
          <w:sz w:val="20"/>
        </w:rPr>
        <w:tab/>
        <w:t>0.1213***</w:t>
      </w:r>
      <w:r w:rsidRPr="00C03199">
        <w:rPr>
          <w:rFonts w:ascii="Times New Roman" w:hAnsi="Times New Roman" w:cs="Times New Roman"/>
          <w:sz w:val="20"/>
        </w:rPr>
        <w:tab/>
        <w:t>0.1779***</w:t>
      </w:r>
      <w:r w:rsidRPr="00C03199">
        <w:rPr>
          <w:rFonts w:ascii="Times New Roman" w:hAnsi="Times New Roman" w:cs="Times New Roman"/>
          <w:sz w:val="20"/>
        </w:rPr>
        <w:tab/>
        <w:t>0.178***</w:t>
      </w:r>
      <w:r w:rsidRPr="00C03199">
        <w:rPr>
          <w:rFonts w:ascii="Times New Roman" w:hAnsi="Times New Roman" w:cs="Times New Roman"/>
          <w:sz w:val="20"/>
        </w:rPr>
        <w:tab/>
        <w:t>0.0566***        0.0572***</w:t>
      </w:r>
    </w:p>
    <w:p w14:paraId="46335E73" w14:textId="4A614CFD" w:rsidR="00FF0106" w:rsidRPr="00C03199" w:rsidRDefault="00FF0106" w:rsidP="00FF0106">
      <w:pPr>
        <w:spacing w:after="0"/>
        <w:rPr>
          <w:rFonts w:ascii="Times New Roman" w:hAnsi="Times New Roman" w:cs="Times New Roman"/>
          <w:sz w:val="20"/>
        </w:rPr>
      </w:pPr>
      <w:r w:rsidRPr="00C03199">
        <w:rPr>
          <w:rFonts w:ascii="Times New Roman" w:hAnsi="Times New Roman" w:cs="Times New Roman"/>
          <w:sz w:val="20"/>
        </w:rPr>
        <w:t>−2, +1</w:t>
      </w:r>
      <w:r w:rsidRPr="00C03199">
        <w:rPr>
          <w:rFonts w:ascii="Times New Roman" w:hAnsi="Times New Roman" w:cs="Times New Roman"/>
          <w:sz w:val="20"/>
        </w:rPr>
        <w:tab/>
      </w:r>
      <w:r w:rsidRPr="00C03199">
        <w:rPr>
          <w:rFonts w:ascii="Times New Roman" w:hAnsi="Times New Roman" w:cs="Times New Roman"/>
          <w:sz w:val="20"/>
        </w:rPr>
        <w:tab/>
        <w:t>0.2179***</w:t>
      </w:r>
      <w:r w:rsidRPr="00C03199">
        <w:rPr>
          <w:rFonts w:ascii="Times New Roman" w:hAnsi="Times New Roman" w:cs="Times New Roman"/>
          <w:sz w:val="20"/>
        </w:rPr>
        <w:tab/>
        <w:t>0.2182***</w:t>
      </w:r>
      <w:r w:rsidRPr="00C03199">
        <w:rPr>
          <w:rFonts w:ascii="Times New Roman" w:hAnsi="Times New Roman" w:cs="Times New Roman"/>
          <w:sz w:val="20"/>
        </w:rPr>
        <w:tab/>
        <w:t>0.2096***</w:t>
      </w:r>
      <w:r w:rsidRPr="00C03199">
        <w:rPr>
          <w:rFonts w:ascii="Times New Roman" w:hAnsi="Times New Roman" w:cs="Times New Roman"/>
          <w:sz w:val="20"/>
        </w:rPr>
        <w:tab/>
        <w:t>0.2100***          −</w:t>
      </w:r>
      <w:r w:rsidR="00137881" w:rsidRPr="00C03199">
        <w:rPr>
          <w:rFonts w:ascii="Times New Roman" w:hAnsi="Times New Roman" w:cs="Times New Roman"/>
          <w:sz w:val="20"/>
        </w:rPr>
        <w:t>0.0083</w:t>
      </w:r>
      <w:r w:rsidR="00137881" w:rsidRPr="00C03199">
        <w:rPr>
          <w:rFonts w:ascii="Times New Roman" w:hAnsi="Times New Roman" w:cs="Times New Roman"/>
          <w:sz w:val="20"/>
        </w:rPr>
        <w:tab/>
      </w:r>
      <w:r w:rsidRPr="00C03199">
        <w:rPr>
          <w:rFonts w:ascii="Times New Roman" w:hAnsi="Times New Roman" w:cs="Times New Roman"/>
          <w:sz w:val="20"/>
        </w:rPr>
        <w:t xml:space="preserve">          −0.0082</w:t>
      </w:r>
    </w:p>
    <w:p w14:paraId="3BBB2909" w14:textId="77777777" w:rsidR="00FF0106" w:rsidRPr="00C03199" w:rsidRDefault="00FF0106" w:rsidP="00FF0106">
      <w:pPr>
        <w:spacing w:after="0"/>
        <w:rPr>
          <w:rFonts w:ascii="Times New Roman" w:hAnsi="Times New Roman" w:cs="Times New Roman"/>
          <w:sz w:val="20"/>
        </w:rPr>
      </w:pPr>
      <w:r w:rsidRPr="00C03199">
        <w:rPr>
          <w:rFonts w:ascii="Times New Roman" w:hAnsi="Times New Roman" w:cs="Times New Roman"/>
          <w:sz w:val="20"/>
        </w:rPr>
        <w:t>−1, +5</w:t>
      </w:r>
      <w:r w:rsidRPr="00C03199">
        <w:rPr>
          <w:rFonts w:ascii="Times New Roman" w:hAnsi="Times New Roman" w:cs="Times New Roman"/>
          <w:sz w:val="20"/>
        </w:rPr>
        <w:tab/>
      </w:r>
      <w:r w:rsidRPr="00C03199">
        <w:rPr>
          <w:rFonts w:ascii="Times New Roman" w:hAnsi="Times New Roman" w:cs="Times New Roman"/>
          <w:sz w:val="20"/>
        </w:rPr>
        <w:tab/>
        <w:t>0.0180***</w:t>
      </w:r>
      <w:r w:rsidRPr="00C03199">
        <w:rPr>
          <w:rFonts w:ascii="Times New Roman" w:hAnsi="Times New Roman" w:cs="Times New Roman"/>
          <w:sz w:val="20"/>
        </w:rPr>
        <w:tab/>
        <w:t>0.0180**</w:t>
      </w:r>
      <w:r w:rsidRPr="00C03199">
        <w:rPr>
          <w:rFonts w:ascii="Times New Roman" w:hAnsi="Times New Roman" w:cs="Times New Roman"/>
          <w:sz w:val="20"/>
        </w:rPr>
        <w:tab/>
        <w:t>0.0510**</w:t>
      </w:r>
      <w:r w:rsidRPr="00C03199">
        <w:rPr>
          <w:rFonts w:ascii="Times New Roman" w:hAnsi="Times New Roman" w:cs="Times New Roman"/>
          <w:sz w:val="20"/>
        </w:rPr>
        <w:tab/>
        <w:t>0.0519*</w:t>
      </w:r>
      <w:r w:rsidRPr="00C03199">
        <w:rPr>
          <w:rFonts w:ascii="Times New Roman" w:hAnsi="Times New Roman" w:cs="Times New Roman"/>
          <w:sz w:val="20"/>
        </w:rPr>
        <w:tab/>
      </w:r>
      <w:r w:rsidRPr="00C03199">
        <w:rPr>
          <w:rFonts w:ascii="Times New Roman" w:hAnsi="Times New Roman" w:cs="Times New Roman"/>
          <w:sz w:val="20"/>
        </w:rPr>
        <w:tab/>
        <w:t>0.0330***         0.0339***</w:t>
      </w:r>
    </w:p>
    <w:p w14:paraId="16220E25" w14:textId="2FA4CFEA" w:rsidR="00FF0106" w:rsidRPr="00C03199" w:rsidRDefault="00FF0106" w:rsidP="00FF0106">
      <w:pPr>
        <w:spacing w:after="0"/>
        <w:rPr>
          <w:rFonts w:ascii="Times New Roman" w:hAnsi="Times New Roman" w:cs="Times New Roman"/>
          <w:sz w:val="20"/>
        </w:rPr>
      </w:pPr>
      <w:r w:rsidRPr="00C03199">
        <w:rPr>
          <w:rFonts w:ascii="Times New Roman" w:hAnsi="Times New Roman" w:cs="Times New Roman"/>
          <w:sz w:val="20"/>
        </w:rPr>
        <w:t>−8, +5</w:t>
      </w:r>
      <w:r w:rsidRPr="00C03199">
        <w:rPr>
          <w:rFonts w:ascii="Times New Roman" w:hAnsi="Times New Roman" w:cs="Times New Roman"/>
          <w:sz w:val="20"/>
        </w:rPr>
        <w:tab/>
      </w:r>
      <w:r w:rsidR="00C86402" w:rsidRPr="00C03199">
        <w:rPr>
          <w:rFonts w:ascii="Times New Roman" w:hAnsi="Times New Roman" w:cs="Times New Roman"/>
          <w:sz w:val="20"/>
        </w:rPr>
        <w:tab/>
        <w:t>0.2483***</w:t>
      </w:r>
      <w:r w:rsidR="00C86402" w:rsidRPr="00C03199">
        <w:rPr>
          <w:rFonts w:ascii="Times New Roman" w:hAnsi="Times New Roman" w:cs="Times New Roman"/>
          <w:sz w:val="20"/>
        </w:rPr>
        <w:tab/>
        <w:t>0.2492*</w:t>
      </w:r>
      <w:r w:rsidR="00C86402" w:rsidRPr="00C03199">
        <w:rPr>
          <w:rFonts w:ascii="Times New Roman" w:hAnsi="Times New Roman" w:cs="Times New Roman"/>
          <w:sz w:val="20"/>
        </w:rPr>
        <w:tab/>
      </w:r>
      <w:r w:rsidR="00C86402" w:rsidRPr="00C03199">
        <w:rPr>
          <w:rFonts w:ascii="Times New Roman" w:hAnsi="Times New Roman" w:cs="Times New Roman"/>
          <w:sz w:val="20"/>
        </w:rPr>
        <w:tab/>
        <w:t>0.2618***</w:t>
      </w:r>
      <w:r w:rsidR="00C86402" w:rsidRPr="00C03199">
        <w:rPr>
          <w:rFonts w:ascii="Times New Roman" w:hAnsi="Times New Roman" w:cs="Times New Roman"/>
          <w:sz w:val="20"/>
        </w:rPr>
        <w:tab/>
        <w:t>0.2631</w:t>
      </w:r>
      <w:r w:rsidRPr="00C03199">
        <w:rPr>
          <w:rFonts w:ascii="Times New Roman" w:hAnsi="Times New Roman" w:cs="Times New Roman"/>
          <w:sz w:val="20"/>
        </w:rPr>
        <w:t>***</w:t>
      </w:r>
      <w:r w:rsidRPr="00C03199">
        <w:rPr>
          <w:rFonts w:ascii="Times New Roman" w:hAnsi="Times New Roman" w:cs="Times New Roman"/>
          <w:sz w:val="20"/>
        </w:rPr>
        <w:tab/>
        <w:t>0.0135</w:t>
      </w:r>
      <w:r w:rsidRPr="00C03199">
        <w:rPr>
          <w:rFonts w:ascii="Times New Roman" w:hAnsi="Times New Roman" w:cs="Times New Roman"/>
          <w:sz w:val="20"/>
        </w:rPr>
        <w:tab/>
        <w:t xml:space="preserve">            0.0139</w:t>
      </w:r>
    </w:p>
    <w:p w14:paraId="33856D0C" w14:textId="5AC03AF9" w:rsidR="00FF0106" w:rsidRPr="00C03199" w:rsidRDefault="00FF0106" w:rsidP="00611454">
      <w:pPr>
        <w:tabs>
          <w:tab w:val="center" w:pos="4680"/>
        </w:tabs>
        <w:spacing w:after="0"/>
        <w:rPr>
          <w:rFonts w:ascii="Times New Roman" w:hAnsi="Times New Roman" w:cs="Times New Roman"/>
          <w:sz w:val="20"/>
        </w:rPr>
      </w:pPr>
      <w:r w:rsidRPr="00C0319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E73A2D0" wp14:editId="7539DD87">
                <wp:simplePos x="0" y="0"/>
                <wp:positionH relativeFrom="margin">
                  <wp:align>left</wp:align>
                </wp:positionH>
                <wp:positionV relativeFrom="paragraph">
                  <wp:posOffset>80010</wp:posOffset>
                </wp:positionV>
                <wp:extent cx="597217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9721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818DD5" id="Straight Connector 30"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6.3pt" to="47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c87vQEAAMADAAAOAAAAZHJzL2Uyb0RvYy54bWysU8Fu2zAMvQ/oPwi6L3ZSdN2MOD2k6C7D&#10;FqzdB6iyFAuTRIHSYufvR8mJW3RDD0UvsiTyPfI90eub0Vl2UBgN+JYvFzVnykvojN+3/NfD3cfP&#10;nMUkfCcseNXyo4r8ZnPxYT2ERq2gB9spZETiYzOElvcphaaqouyVE3EBQXkKakAnEh1xX3UoBmJ3&#10;tlrV9adqAOwCglQx0u3tFOSbwq+1kumH1lElZltOvaWyYlkf81pt1qLZowi9kac2xBu6cMJ4KjpT&#10;3Yok2B80/1A5IxEi6LSQ4CrQ2khVNJCaZf1CzX0vgipayJwYZpvi+9HK74cdMtO1/JLs8cLRG90n&#10;FGbfJ7YF78lBQEZBcmoIsSHA1u/wdIphh1n2qNHlLwliY3H3OLurxsQkXV59uV4tr684k+dY9QQM&#10;GNNXBY7lTcut8Vm4aMThW0xUjFLPKfna+nyX+5k6KLt0tGoK/lSaNFHNy0JSpkltLbKDoDnofi+z&#10;GqK0njIzRBtrZ1D9OuiUm2GqTNgMXL0OnLNLRfBpBjrjAf8HTuO5VT3ln1VPWrPsR+iO5T2KHTQm&#10;RdlppPMcPj8X+NOPt/kLAAD//wMAUEsDBBQABgAIAAAAIQBrjYww3AAAAAYBAAAPAAAAZHJzL2Rv&#10;d25yZXYueG1sTI9BS8NAEIXvgv9hGcGL2I2lqTVmU0TwEEHBVnqeZqdJNDsbsts0/ntHPOjxvTe8&#10;902+nlynRhpC69nAzSwBRVx523Jt4H37dL0CFSKyxc4zGfiiAOvi/CzHzPoTv9G4ibWSEg4ZGmhi&#10;7DOtQ9WQwzDzPbFkBz84jCKHWtsBT1LuOj1PkqV22LIsNNjTY0PV5+boDHyUu7JOr27bw+sifcbt&#10;mL7wWBpzeTE93IOKNMW/Y/jBF3QohGnvj2yD6gzII1Hc+RKUpHeLJAW1/zV0kev/+MU3AAAA//8D&#10;AFBLAQItABQABgAIAAAAIQC2gziS/gAAAOEBAAATAAAAAAAAAAAAAAAAAAAAAABbQ29udGVudF9U&#10;eXBlc10ueG1sUEsBAi0AFAAGAAgAAAAhADj9If/WAAAAlAEAAAsAAAAAAAAAAAAAAAAALwEAAF9y&#10;ZWxzLy5yZWxzUEsBAi0AFAAGAAgAAAAhADfZzzu9AQAAwAMAAA4AAAAAAAAAAAAAAAAALgIAAGRy&#10;cy9lMm9Eb2MueG1sUEsBAi0AFAAGAAgAAAAhAGuNjDDcAAAABgEAAA8AAAAAAAAAAAAAAAAAFwQA&#10;AGRycy9kb3ducmV2LnhtbFBLBQYAAAAABAAEAPMAAAAgBQAAAAA=&#10;" strokecolor="black [3200]" strokeweight="1.5pt">
                <v:stroke joinstyle="miter"/>
                <w10:wrap anchorx="margin"/>
              </v:line>
            </w:pict>
          </mc:Fallback>
        </mc:AlternateContent>
      </w:r>
      <w:r w:rsidR="00611454">
        <w:rPr>
          <w:rFonts w:ascii="Times New Roman" w:hAnsi="Times New Roman" w:cs="Times New Roman"/>
          <w:sz w:val="20"/>
        </w:rPr>
        <w:tab/>
      </w:r>
    </w:p>
    <w:p w14:paraId="52AA2219" w14:textId="77777777" w:rsidR="0024206F" w:rsidRPr="00611454" w:rsidRDefault="00FF0106" w:rsidP="0024206F">
      <w:pPr>
        <w:spacing w:line="240" w:lineRule="auto"/>
        <w:rPr>
          <w:rFonts w:ascii="Times New Roman" w:hAnsi="Times New Roman" w:cs="Times New Roman"/>
        </w:rPr>
      </w:pPr>
      <w:r w:rsidRPr="00611454">
        <w:rPr>
          <w:rFonts w:ascii="Times New Roman" w:hAnsi="Times New Roman" w:cs="Times New Roman"/>
        </w:rPr>
        <w:t>*, **, and *** indicate a statistical significance level of 10%, 5%, and 1% (using two-tailed tests), respectively.</w:t>
      </w:r>
      <w:r w:rsidRPr="00611454">
        <w:rPr>
          <w:rFonts w:ascii="Times New Roman" w:hAnsi="Times New Roman" w:cs="Times New Roman"/>
        </w:rPr>
        <w:tab/>
      </w:r>
    </w:p>
    <w:p w14:paraId="5D538B06" w14:textId="77777777" w:rsidR="009D1534" w:rsidRDefault="009D1534" w:rsidP="004065CA">
      <w:pPr>
        <w:spacing w:after="120" w:line="360" w:lineRule="auto"/>
        <w:jc w:val="both"/>
        <w:rPr>
          <w:rFonts w:ascii="Times New Roman" w:eastAsiaTheme="minorEastAsia" w:hAnsi="Times New Roman" w:cs="Times New Roman"/>
          <w:color w:val="222222"/>
          <w:sz w:val="24"/>
          <w:szCs w:val="20"/>
          <w:shd w:val="clear" w:color="auto" w:fill="FFFFFF"/>
        </w:rPr>
      </w:pPr>
    </w:p>
    <w:p w14:paraId="1FEC4EB5" w14:textId="3383AB68" w:rsidR="00F05FA6" w:rsidRPr="009D1534" w:rsidRDefault="009D1534" w:rsidP="004065CA">
      <w:pPr>
        <w:spacing w:after="120" w:line="360" w:lineRule="auto"/>
        <w:jc w:val="both"/>
        <w:rPr>
          <w:rFonts w:ascii="Times New Roman" w:eastAsiaTheme="minorEastAsia" w:hAnsi="Times New Roman" w:cs="Times New Roman"/>
          <w:color w:val="222222"/>
          <w:sz w:val="24"/>
          <w:szCs w:val="20"/>
          <w:shd w:val="clear" w:color="auto" w:fill="FFFFFF"/>
        </w:rPr>
      </w:pPr>
      <w:r w:rsidRPr="00BF2217">
        <w:rPr>
          <w:rFonts w:ascii="Times New Roman" w:eastAsiaTheme="minorEastAsia" w:hAnsi="Times New Roman" w:cs="Times New Roman"/>
          <w:color w:val="222222"/>
          <w:sz w:val="24"/>
          <w:szCs w:val="20"/>
          <w:shd w:val="clear" w:color="auto" w:fill="FFFFFF"/>
        </w:rPr>
        <w:lastRenderedPageBreak/>
        <w:t>of the offer compared to those earned in the</w:t>
      </w:r>
      <w:r>
        <w:rPr>
          <w:rFonts w:ascii="Times New Roman" w:eastAsiaTheme="minorEastAsia" w:hAnsi="Times New Roman" w:cs="Times New Roman"/>
          <w:color w:val="222222"/>
          <w:sz w:val="24"/>
          <w:szCs w:val="20"/>
          <w:shd w:val="clear" w:color="auto" w:fill="FFFFFF"/>
        </w:rPr>
        <w:t xml:space="preserve"> months before the announcement</w:t>
      </w:r>
      <w:r w:rsidRPr="00F05FA6">
        <w:rPr>
          <w:rFonts w:ascii="Times New Roman" w:eastAsiaTheme="minorEastAsia" w:hAnsi="Times New Roman" w:cs="Times New Roman"/>
          <w:color w:val="222222"/>
          <w:sz w:val="24"/>
          <w:szCs w:val="20"/>
          <w:shd w:val="clear" w:color="auto" w:fill="FFFFFF"/>
        </w:rPr>
        <w:t xml:space="preserve">. As seen in table 2, target firms in cross-border acquisition underperform in the fourth month after the announcement of the deal with −0.6% </w:t>
      </w:r>
      <w:r>
        <w:rPr>
          <w:rFonts w:ascii="Times New Roman" w:eastAsiaTheme="minorEastAsia" w:hAnsi="Times New Roman" w:cs="Times New Roman"/>
          <w:color w:val="222222"/>
          <w:sz w:val="24"/>
          <w:szCs w:val="20"/>
          <w:shd w:val="clear" w:color="auto" w:fill="FFFFFF"/>
        </w:rPr>
        <w:t>(</w:t>
      </w:r>
      <w:r w:rsidRPr="00F05FA6">
        <w:rPr>
          <w:rFonts w:ascii="Times New Roman" w:eastAsiaTheme="minorEastAsia" w:hAnsi="Times New Roman" w:cs="Times New Roman"/>
          <w:color w:val="222222"/>
          <w:sz w:val="24"/>
          <w:szCs w:val="20"/>
          <w:shd w:val="clear" w:color="auto" w:fill="FFFFFF"/>
        </w:rPr>
        <w:t>−</w:t>
      </w:r>
      <w:r>
        <w:rPr>
          <w:rFonts w:ascii="Times New Roman" w:eastAsiaTheme="minorEastAsia" w:hAnsi="Times New Roman" w:cs="Times New Roman"/>
          <w:color w:val="222222"/>
          <w:sz w:val="24"/>
          <w:szCs w:val="20"/>
          <w:shd w:val="clear" w:color="auto" w:fill="FFFFFF"/>
        </w:rPr>
        <w:t xml:space="preserve">0.54%) </w:t>
      </w:r>
      <w:r w:rsidRPr="00F05FA6">
        <w:rPr>
          <w:rFonts w:ascii="Times New Roman" w:eastAsiaTheme="minorEastAsia" w:hAnsi="Times New Roman" w:cs="Times New Roman"/>
          <w:color w:val="222222"/>
          <w:sz w:val="24"/>
          <w:szCs w:val="20"/>
          <w:shd w:val="clear" w:color="auto" w:fill="FFFFFF"/>
        </w:rPr>
        <w:t>abnormal return; however, these abnormal returns are only</w:t>
      </w:r>
      <w:r>
        <w:rPr>
          <w:rFonts w:ascii="Times New Roman" w:eastAsiaTheme="minorEastAsia" w:hAnsi="Times New Roman" w:cs="Times New Roman"/>
          <w:color w:val="222222"/>
          <w:sz w:val="24"/>
          <w:szCs w:val="20"/>
          <w:shd w:val="clear" w:color="auto" w:fill="FFFFFF"/>
        </w:rPr>
        <w:t xml:space="preserve"> </w:t>
      </w:r>
      <w:r w:rsidR="004065CA" w:rsidRPr="00F05FA6">
        <w:rPr>
          <w:rFonts w:ascii="Times New Roman" w:eastAsiaTheme="minorEastAsia" w:hAnsi="Times New Roman" w:cs="Times New Roman"/>
          <w:color w:val="222222"/>
          <w:sz w:val="24"/>
          <w:szCs w:val="20"/>
          <w:shd w:val="clear" w:color="auto" w:fill="FFFFFF"/>
        </w:rPr>
        <w:t>statistically significant at a 10% significance level.</w:t>
      </w:r>
      <w:r w:rsidR="004065CA" w:rsidRPr="00B85E24">
        <w:rPr>
          <w:rFonts w:ascii="Times New Roman" w:eastAsiaTheme="minorEastAsia" w:hAnsi="Times New Roman" w:cs="Times New Roman"/>
          <w:color w:val="222222"/>
          <w:sz w:val="24"/>
          <w:szCs w:val="20"/>
          <w:shd w:val="clear" w:color="auto" w:fill="FFFFFF"/>
        </w:rPr>
        <w:t xml:space="preserve"> </w:t>
      </w:r>
      <w:r w:rsidR="004065CA" w:rsidRPr="00F05FA6">
        <w:rPr>
          <w:rFonts w:ascii="Times New Roman" w:eastAsiaTheme="minorEastAsia" w:hAnsi="Times New Roman" w:cs="Times New Roman"/>
          <w:color w:val="222222"/>
          <w:sz w:val="24"/>
          <w:szCs w:val="20"/>
          <w:shd w:val="clear" w:color="auto" w:fill="FFFFFF"/>
        </w:rPr>
        <w:t>Target firms in cross-border acquisitions, also, earn highly significant, a statistical significance level of 1% or 5%, cumulative abnormal returns around the announcement day, where the highest CARs are reported for the period</w:t>
      </w:r>
      <w:r w:rsidR="004065CA">
        <w:rPr>
          <w:rFonts w:ascii="Times New Roman" w:eastAsiaTheme="minorEastAsia" w:hAnsi="Times New Roman" w:cs="Times New Roman"/>
          <w:color w:val="222222"/>
          <w:sz w:val="24"/>
          <w:szCs w:val="20"/>
          <w:shd w:val="clear" w:color="auto" w:fill="FFFFFF"/>
        </w:rPr>
        <w:t>s</w:t>
      </w:r>
      <w:r w:rsidR="004065CA" w:rsidRPr="00F05FA6">
        <w:rPr>
          <w:rFonts w:ascii="Times New Roman" w:eastAsiaTheme="minorEastAsia" w:hAnsi="Times New Roman" w:cs="Times New Roman"/>
          <w:color w:val="222222"/>
          <w:sz w:val="24"/>
          <w:szCs w:val="20"/>
          <w:shd w:val="clear" w:color="auto" w:fill="FFFFFF"/>
        </w:rPr>
        <w:t xml:space="preserve"> between day </w:t>
      </w:r>
      <w:r w:rsidR="004065CA">
        <w:rPr>
          <w:rFonts w:ascii="Times New Roman" w:eastAsiaTheme="minorEastAsia" w:hAnsi="Times New Roman" w:cs="Times New Roman"/>
          <w:color w:val="222222"/>
          <w:sz w:val="24"/>
          <w:szCs w:val="20"/>
          <w:shd w:val="clear" w:color="auto" w:fill="FFFFFF"/>
        </w:rPr>
        <w:t>t</w:t>
      </w:r>
      <w:r w:rsidR="004065CA" w:rsidRPr="00F05FA6">
        <w:rPr>
          <w:rFonts w:ascii="Times New Roman" w:eastAsiaTheme="minorEastAsia" w:hAnsi="Times New Roman" w:cs="Times New Roman"/>
          <w:color w:val="222222"/>
          <w:sz w:val="24"/>
          <w:szCs w:val="20"/>
          <w:shd w:val="clear" w:color="auto" w:fill="FFFFFF"/>
        </w:rPr>
        <w:t xml:space="preserve">-2 to </w:t>
      </w:r>
      <w:r w:rsidR="004065CA">
        <w:rPr>
          <w:rFonts w:ascii="Times New Roman" w:eastAsiaTheme="minorEastAsia" w:hAnsi="Times New Roman" w:cs="Times New Roman"/>
          <w:color w:val="222222"/>
          <w:sz w:val="24"/>
          <w:szCs w:val="20"/>
          <w:shd w:val="clear" w:color="auto" w:fill="FFFFFF"/>
        </w:rPr>
        <w:t>t</w:t>
      </w:r>
      <w:r w:rsidR="004065CA" w:rsidRPr="00F05FA6">
        <w:rPr>
          <w:rFonts w:ascii="Times New Roman" w:eastAsiaTheme="minorEastAsia" w:hAnsi="Times New Roman" w:cs="Times New Roman"/>
          <w:color w:val="222222"/>
          <w:sz w:val="24"/>
          <w:szCs w:val="20"/>
          <w:shd w:val="clear" w:color="auto" w:fill="FFFFFF"/>
        </w:rPr>
        <w:t xml:space="preserve">+1 and day </w:t>
      </w:r>
      <w:r w:rsidR="004065CA">
        <w:rPr>
          <w:rFonts w:ascii="Times New Roman" w:eastAsiaTheme="minorEastAsia" w:hAnsi="Times New Roman" w:cs="Times New Roman"/>
          <w:color w:val="222222"/>
          <w:sz w:val="24"/>
          <w:szCs w:val="20"/>
          <w:shd w:val="clear" w:color="auto" w:fill="FFFFFF"/>
        </w:rPr>
        <w:t>t</w:t>
      </w:r>
      <w:r w:rsidR="004065CA" w:rsidRPr="00F05FA6">
        <w:rPr>
          <w:rFonts w:ascii="Times New Roman" w:eastAsiaTheme="minorEastAsia" w:hAnsi="Times New Roman" w:cs="Times New Roman"/>
          <w:color w:val="222222"/>
          <w:sz w:val="24"/>
          <w:szCs w:val="20"/>
          <w:shd w:val="clear" w:color="auto" w:fill="FFFFFF"/>
        </w:rPr>
        <w:t xml:space="preserve">-8 to </w:t>
      </w:r>
      <w:r w:rsidR="004065CA">
        <w:rPr>
          <w:rFonts w:ascii="Times New Roman" w:eastAsiaTheme="minorEastAsia" w:hAnsi="Times New Roman" w:cs="Times New Roman"/>
          <w:color w:val="222222"/>
          <w:sz w:val="24"/>
          <w:szCs w:val="20"/>
          <w:shd w:val="clear" w:color="auto" w:fill="FFFFFF"/>
        </w:rPr>
        <w:t>t</w:t>
      </w:r>
      <w:r w:rsidR="004065CA" w:rsidRPr="00F05FA6">
        <w:rPr>
          <w:rFonts w:ascii="Times New Roman" w:eastAsiaTheme="minorEastAsia" w:hAnsi="Times New Roman" w:cs="Times New Roman"/>
          <w:color w:val="222222"/>
          <w:sz w:val="24"/>
          <w:szCs w:val="20"/>
          <w:shd w:val="clear" w:color="auto" w:fill="FFFFFF"/>
        </w:rPr>
        <w:t>+5, accounting for 20.96% and 26.18%</w:t>
      </w:r>
      <w:r w:rsidR="004065CA">
        <w:rPr>
          <w:rFonts w:ascii="Times New Roman" w:eastAsiaTheme="minorEastAsia" w:hAnsi="Times New Roman" w:cs="Times New Roman"/>
          <w:color w:val="222222"/>
          <w:sz w:val="24"/>
          <w:szCs w:val="20"/>
          <w:shd w:val="clear" w:color="auto" w:fill="FFFFFF"/>
        </w:rPr>
        <w:t xml:space="preserve"> (21% and 26.31%), respectively. </w:t>
      </w:r>
      <w:r w:rsidR="004065CA" w:rsidRPr="00F05FA6">
        <w:rPr>
          <w:rFonts w:ascii="Times New Roman" w:eastAsiaTheme="minorEastAsia" w:hAnsi="Times New Roman" w:cs="Times New Roman"/>
          <w:color w:val="222222"/>
          <w:sz w:val="24"/>
          <w:szCs w:val="20"/>
          <w:shd w:val="clear" w:color="auto" w:fill="FFFFFF"/>
        </w:rPr>
        <w:t>The lowest CAR generated from the market model</w:t>
      </w:r>
      <w:r w:rsidR="004065CA">
        <w:rPr>
          <w:rFonts w:ascii="Times New Roman" w:eastAsiaTheme="minorEastAsia" w:hAnsi="Times New Roman" w:cs="Times New Roman"/>
          <w:color w:val="222222"/>
          <w:sz w:val="24"/>
          <w:szCs w:val="20"/>
          <w:shd w:val="clear" w:color="auto" w:fill="FFFFFF"/>
        </w:rPr>
        <w:t xml:space="preserve"> (capital asset pricing model)</w:t>
      </w:r>
      <w:r w:rsidR="004065CA" w:rsidRPr="00F05FA6">
        <w:rPr>
          <w:rFonts w:ascii="Times New Roman" w:eastAsiaTheme="minorEastAsia" w:hAnsi="Times New Roman" w:cs="Times New Roman"/>
          <w:color w:val="222222"/>
          <w:sz w:val="24"/>
          <w:szCs w:val="20"/>
          <w:shd w:val="clear" w:color="auto" w:fill="FFFFFF"/>
        </w:rPr>
        <w:t xml:space="preserve"> is from the day </w:t>
      </w:r>
      <w:r w:rsidR="00B85E24">
        <w:rPr>
          <w:rFonts w:ascii="Times New Roman" w:eastAsiaTheme="minorEastAsia" w:hAnsi="Times New Roman" w:cs="Times New Roman"/>
          <w:color w:val="222222"/>
          <w:sz w:val="24"/>
          <w:szCs w:val="20"/>
          <w:shd w:val="clear" w:color="auto" w:fill="FFFFFF"/>
        </w:rPr>
        <w:t>t</w:t>
      </w:r>
      <w:r w:rsidR="00B85E24" w:rsidRPr="00F05FA6">
        <w:rPr>
          <w:rFonts w:ascii="Times New Roman" w:eastAsiaTheme="minorEastAsia" w:hAnsi="Times New Roman" w:cs="Times New Roman"/>
          <w:color w:val="222222"/>
          <w:sz w:val="24"/>
          <w:szCs w:val="20"/>
          <w:shd w:val="clear" w:color="auto" w:fill="FFFFFF"/>
        </w:rPr>
        <w:t xml:space="preserve">-8 to </w:t>
      </w:r>
      <w:r w:rsidR="00B85E24">
        <w:rPr>
          <w:rFonts w:ascii="Times New Roman" w:eastAsiaTheme="minorEastAsia" w:hAnsi="Times New Roman" w:cs="Times New Roman"/>
          <w:color w:val="222222"/>
          <w:sz w:val="24"/>
          <w:szCs w:val="20"/>
          <w:shd w:val="clear" w:color="auto" w:fill="FFFFFF"/>
        </w:rPr>
        <w:t>t</w:t>
      </w:r>
      <w:r w:rsidR="00B85E24" w:rsidRPr="00F05FA6">
        <w:rPr>
          <w:rFonts w:ascii="Times New Roman" w:eastAsiaTheme="minorEastAsia" w:hAnsi="Times New Roman" w:cs="Times New Roman"/>
          <w:color w:val="222222"/>
          <w:sz w:val="24"/>
          <w:szCs w:val="20"/>
          <w:shd w:val="clear" w:color="auto" w:fill="FFFFFF"/>
        </w:rPr>
        <w:t>-3</w:t>
      </w:r>
      <w:r w:rsidR="00B85E24">
        <w:rPr>
          <w:rFonts w:ascii="Times New Roman" w:eastAsiaTheme="minorEastAsia" w:hAnsi="Times New Roman" w:cs="Times New Roman"/>
          <w:color w:val="222222"/>
          <w:sz w:val="24"/>
          <w:szCs w:val="20"/>
          <w:shd w:val="clear" w:color="auto" w:fill="FFFFFF"/>
        </w:rPr>
        <w:t xml:space="preserve"> (t-2 to t1)</w:t>
      </w:r>
      <w:r w:rsidR="00B85E24" w:rsidRPr="00F05FA6">
        <w:rPr>
          <w:rFonts w:ascii="Times New Roman" w:eastAsiaTheme="minorEastAsia" w:hAnsi="Times New Roman" w:cs="Times New Roman"/>
          <w:color w:val="222222"/>
          <w:sz w:val="24"/>
          <w:szCs w:val="20"/>
          <w:shd w:val="clear" w:color="auto" w:fill="FFFFFF"/>
        </w:rPr>
        <w:t>, accounting for 3.08%</w:t>
      </w:r>
      <w:r w:rsidR="00B85E24">
        <w:rPr>
          <w:rFonts w:ascii="Times New Roman" w:eastAsiaTheme="minorEastAsia" w:hAnsi="Times New Roman" w:cs="Times New Roman"/>
          <w:color w:val="222222"/>
          <w:sz w:val="24"/>
          <w:szCs w:val="20"/>
          <w:shd w:val="clear" w:color="auto" w:fill="FFFFFF"/>
        </w:rPr>
        <w:t xml:space="preserve"> (3.16%).</w:t>
      </w:r>
    </w:p>
    <w:p w14:paraId="5CD3CCD2" w14:textId="404BB34C" w:rsidR="00C742B2" w:rsidRPr="00C03199" w:rsidRDefault="00C742B2" w:rsidP="00BC7292">
      <w:pPr>
        <w:spacing w:after="120" w:line="360" w:lineRule="auto"/>
        <w:jc w:val="both"/>
        <w:rPr>
          <w:rFonts w:ascii="Times New Roman" w:eastAsiaTheme="minorEastAsia" w:hAnsi="Times New Roman" w:cs="Times New Roman"/>
          <w:i/>
          <w:color w:val="222222"/>
          <w:sz w:val="24"/>
          <w:szCs w:val="20"/>
          <w:shd w:val="clear" w:color="auto" w:fill="FFFFFF"/>
        </w:rPr>
      </w:pPr>
      <w:r w:rsidRPr="00C03199">
        <w:rPr>
          <w:rFonts w:ascii="Times New Roman" w:eastAsiaTheme="minorEastAsia" w:hAnsi="Times New Roman" w:cs="Times New Roman"/>
          <w:i/>
          <w:color w:val="222222"/>
          <w:sz w:val="24"/>
          <w:szCs w:val="20"/>
          <w:shd w:val="clear" w:color="auto" w:fill="FFFFFF"/>
        </w:rPr>
        <w:t xml:space="preserve">5.3 </w:t>
      </w:r>
      <w:r w:rsidR="009E4FEB">
        <w:rPr>
          <w:rFonts w:ascii="Times New Roman" w:eastAsiaTheme="minorEastAsia" w:hAnsi="Times New Roman" w:cs="Times New Roman"/>
          <w:i/>
          <w:color w:val="222222"/>
          <w:sz w:val="24"/>
          <w:szCs w:val="20"/>
          <w:shd w:val="clear" w:color="auto" w:fill="FFFFFF"/>
        </w:rPr>
        <w:t xml:space="preserve">The cross-border effect </w:t>
      </w:r>
    </w:p>
    <w:p w14:paraId="5EAAB193" w14:textId="67F98058" w:rsidR="00394B99" w:rsidRPr="00C03199" w:rsidRDefault="00C742B2" w:rsidP="00DD1014">
      <w:pPr>
        <w:spacing w:after="0" w:line="360" w:lineRule="auto"/>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t xml:space="preserve">The difference in the average abnormal and cumulative abnormal returns to shareholders in </w:t>
      </w:r>
      <w:r w:rsidR="00E52357">
        <w:rPr>
          <w:rFonts w:ascii="Times New Roman" w:eastAsiaTheme="minorEastAsia" w:hAnsi="Times New Roman" w:cs="Times New Roman"/>
          <w:color w:val="222222"/>
          <w:sz w:val="24"/>
          <w:szCs w:val="20"/>
          <w:shd w:val="clear" w:color="auto" w:fill="FFFFFF"/>
        </w:rPr>
        <w:t>domestic and cross-border deals</w:t>
      </w:r>
      <w:r w:rsidRPr="00C03199">
        <w:rPr>
          <w:rFonts w:ascii="Times New Roman" w:eastAsiaTheme="minorEastAsia" w:hAnsi="Times New Roman" w:cs="Times New Roman"/>
          <w:color w:val="222222"/>
          <w:sz w:val="24"/>
          <w:szCs w:val="20"/>
          <w:shd w:val="clear" w:color="auto" w:fill="FFFFFF"/>
        </w:rPr>
        <w:t xml:space="preserve"> is presented in the last two columns in table 2. From </w:t>
      </w:r>
      <w:r w:rsidR="00DD1014">
        <w:rPr>
          <w:rFonts w:ascii="Times New Roman" w:eastAsiaTheme="minorEastAsia" w:hAnsi="Times New Roman" w:cs="Times New Roman"/>
          <w:color w:val="222222"/>
          <w:sz w:val="24"/>
          <w:szCs w:val="20"/>
          <w:shd w:val="clear" w:color="auto" w:fill="FFFFFF"/>
        </w:rPr>
        <w:t xml:space="preserve">the </w:t>
      </w:r>
      <w:r w:rsidRPr="00C03199">
        <w:rPr>
          <w:rFonts w:ascii="Times New Roman" w:eastAsiaTheme="minorEastAsia" w:hAnsi="Times New Roman" w:cs="Times New Roman"/>
          <w:color w:val="222222"/>
          <w:sz w:val="24"/>
          <w:szCs w:val="20"/>
          <w:shd w:val="clear" w:color="auto" w:fill="FFFFFF"/>
        </w:rPr>
        <w:t xml:space="preserve">month </w:t>
      </w:r>
      <w:r w:rsidR="00DD1014">
        <w:rPr>
          <w:rFonts w:ascii="Times New Roman" w:eastAsiaTheme="minorEastAsia" w:hAnsi="Times New Roman" w:cs="Times New Roman"/>
          <w:color w:val="222222"/>
          <w:sz w:val="24"/>
          <w:szCs w:val="20"/>
          <w:shd w:val="clear" w:color="auto" w:fill="FFFFFF"/>
        </w:rPr>
        <w:t xml:space="preserve">of </w:t>
      </w:r>
      <w:r w:rsidRPr="00C03199">
        <w:rPr>
          <w:rFonts w:ascii="Times New Roman" w:eastAsiaTheme="minorEastAsia" w:hAnsi="Times New Roman" w:cs="Times New Roman"/>
          <w:color w:val="222222"/>
          <w:sz w:val="24"/>
          <w:szCs w:val="20"/>
          <w:shd w:val="clear" w:color="auto" w:fill="FFFFFF"/>
        </w:rPr>
        <w:t xml:space="preserve">t-5 to t+4, where the announcement month is t0, the difference in abnormal returns is small and </w:t>
      </w:r>
      <w:r w:rsidR="009D1516" w:rsidRPr="00C03199">
        <w:rPr>
          <w:rFonts w:ascii="Times New Roman" w:eastAsiaTheme="minorEastAsia" w:hAnsi="Times New Roman" w:cs="Times New Roman"/>
          <w:color w:val="222222"/>
          <w:sz w:val="24"/>
          <w:szCs w:val="20"/>
          <w:shd w:val="clear" w:color="auto" w:fill="FFFFFF"/>
        </w:rPr>
        <w:t>in</w:t>
      </w:r>
      <w:r w:rsidR="00F04129" w:rsidRPr="00C03199">
        <w:rPr>
          <w:rFonts w:ascii="Times New Roman" w:eastAsiaTheme="minorEastAsia" w:hAnsi="Times New Roman" w:cs="Times New Roman"/>
          <w:color w:val="222222"/>
          <w:sz w:val="24"/>
          <w:szCs w:val="20"/>
          <w:shd w:val="clear" w:color="auto" w:fill="FFFFFF"/>
        </w:rPr>
        <w:t>significant</w:t>
      </w:r>
      <w:r w:rsidRPr="00C03199">
        <w:rPr>
          <w:rFonts w:ascii="Times New Roman" w:eastAsiaTheme="minorEastAsia" w:hAnsi="Times New Roman" w:cs="Times New Roman"/>
          <w:color w:val="222222"/>
          <w:sz w:val="24"/>
          <w:szCs w:val="20"/>
          <w:shd w:val="clear" w:color="auto" w:fill="FFFFFF"/>
        </w:rPr>
        <w:t xml:space="preserve">. </w:t>
      </w:r>
      <w:r w:rsidR="00F04129" w:rsidRPr="00C03199">
        <w:rPr>
          <w:rFonts w:ascii="Times New Roman" w:eastAsiaTheme="minorEastAsia" w:hAnsi="Times New Roman" w:cs="Times New Roman"/>
          <w:color w:val="222222"/>
          <w:sz w:val="24"/>
          <w:szCs w:val="20"/>
          <w:shd w:val="clear" w:color="auto" w:fill="FFFFFF"/>
        </w:rPr>
        <w:t>In the months of t-5, t-4, t-1 to t+2, and t+4</w:t>
      </w:r>
      <w:r w:rsidR="00394B99" w:rsidRPr="00C03199">
        <w:rPr>
          <w:rFonts w:ascii="Times New Roman" w:eastAsiaTheme="minorEastAsia" w:hAnsi="Times New Roman" w:cs="Times New Roman"/>
          <w:color w:val="222222"/>
          <w:sz w:val="24"/>
          <w:szCs w:val="20"/>
          <w:shd w:val="clear" w:color="auto" w:fill="FFFFFF"/>
        </w:rPr>
        <w:t xml:space="preserve">, target firms </w:t>
      </w:r>
      <w:r w:rsidR="000F5BCD" w:rsidRPr="00C03199">
        <w:rPr>
          <w:rFonts w:ascii="Times New Roman" w:eastAsiaTheme="minorEastAsia" w:hAnsi="Times New Roman" w:cs="Times New Roman"/>
          <w:color w:val="222222"/>
          <w:sz w:val="24"/>
          <w:szCs w:val="20"/>
          <w:shd w:val="clear" w:color="auto" w:fill="FFFFFF"/>
        </w:rPr>
        <w:t>in cross-border deals underperform, compared to those in domestic deals</w:t>
      </w:r>
      <w:r w:rsidR="00394B99" w:rsidRPr="00C03199">
        <w:rPr>
          <w:rFonts w:ascii="Times New Roman" w:eastAsiaTheme="minorEastAsia" w:hAnsi="Times New Roman" w:cs="Times New Roman"/>
          <w:color w:val="222222"/>
          <w:sz w:val="24"/>
          <w:szCs w:val="20"/>
          <w:shd w:val="clear" w:color="auto" w:fill="FFFFFF"/>
        </w:rPr>
        <w:t>; however, the difference is small and not statistically significant.</w:t>
      </w:r>
      <w:r w:rsidR="00E42A1D">
        <w:rPr>
          <w:rFonts w:ascii="Times New Roman" w:eastAsiaTheme="minorEastAsia" w:hAnsi="Times New Roman" w:cs="Times New Roman"/>
          <w:color w:val="222222"/>
          <w:sz w:val="24"/>
          <w:szCs w:val="20"/>
          <w:shd w:val="clear" w:color="auto" w:fill="FFFFFF"/>
        </w:rPr>
        <w:t xml:space="preserve"> In the month of the bid, target firms in domestic deals performed better than those in cross-border deals, with a cross-border effect of </w:t>
      </w:r>
      <w:r w:rsidR="00E42A1D" w:rsidRPr="00124DFB">
        <w:rPr>
          <w:rFonts w:ascii="Times New Roman" w:eastAsiaTheme="minorEastAsia" w:hAnsi="Times New Roman" w:cs="Times New Roman"/>
          <w:color w:val="222222"/>
          <w:sz w:val="24"/>
          <w:szCs w:val="20"/>
          <w:shd w:val="clear" w:color="auto" w:fill="FFFFFF"/>
        </w:rPr>
        <w:t>−6</w:t>
      </w:r>
      <w:r w:rsidR="00E42A1D">
        <w:rPr>
          <w:rFonts w:ascii="Times New Roman" w:eastAsiaTheme="minorEastAsia" w:hAnsi="Times New Roman" w:cs="Times New Roman"/>
          <w:color w:val="222222"/>
          <w:sz w:val="24"/>
          <w:szCs w:val="20"/>
          <w:shd w:val="clear" w:color="auto" w:fill="FFFFFF"/>
        </w:rPr>
        <w:t>.</w:t>
      </w:r>
      <w:r w:rsidR="00E42A1D" w:rsidRPr="00124DFB">
        <w:rPr>
          <w:rFonts w:ascii="Times New Roman" w:eastAsiaTheme="minorEastAsia" w:hAnsi="Times New Roman" w:cs="Times New Roman"/>
          <w:color w:val="222222"/>
          <w:sz w:val="24"/>
          <w:szCs w:val="20"/>
          <w:shd w:val="clear" w:color="auto" w:fill="FFFFFF"/>
        </w:rPr>
        <w:t>9</w:t>
      </w:r>
      <w:r w:rsidR="00E42A1D">
        <w:rPr>
          <w:rFonts w:ascii="Times New Roman" w:eastAsiaTheme="minorEastAsia" w:hAnsi="Times New Roman" w:cs="Times New Roman"/>
          <w:color w:val="222222"/>
          <w:sz w:val="24"/>
          <w:szCs w:val="20"/>
          <w:shd w:val="clear" w:color="auto" w:fill="FFFFFF"/>
        </w:rPr>
        <w:t xml:space="preserve">%, with MM, and </w:t>
      </w:r>
      <w:r w:rsidR="00E42A1D" w:rsidRPr="00124DFB">
        <w:rPr>
          <w:rFonts w:ascii="Times New Roman" w:eastAsiaTheme="minorEastAsia" w:hAnsi="Times New Roman" w:cs="Times New Roman"/>
          <w:color w:val="222222"/>
          <w:sz w:val="24"/>
          <w:szCs w:val="20"/>
          <w:shd w:val="clear" w:color="auto" w:fill="FFFFFF"/>
        </w:rPr>
        <w:t>−</w:t>
      </w:r>
      <w:r w:rsidR="00E42A1D">
        <w:rPr>
          <w:rFonts w:ascii="Times New Roman" w:eastAsiaTheme="minorEastAsia" w:hAnsi="Times New Roman" w:cs="Times New Roman"/>
          <w:color w:val="222222"/>
          <w:sz w:val="24"/>
          <w:szCs w:val="20"/>
          <w:shd w:val="clear" w:color="auto" w:fill="FFFFFF"/>
        </w:rPr>
        <w:t>6.6%, with CAPM.</w:t>
      </w:r>
    </w:p>
    <w:p w14:paraId="7AE888F3" w14:textId="5D61B7EB" w:rsidR="00137881" w:rsidRPr="00C03199" w:rsidRDefault="000F5BCD" w:rsidP="009B48CB">
      <w:pPr>
        <w:spacing w:after="0" w:line="360" w:lineRule="auto"/>
        <w:ind w:firstLine="284"/>
        <w:jc w:val="both"/>
        <w:rPr>
          <w:rFonts w:ascii="Times New Roman" w:eastAsiaTheme="minorEastAsia" w:hAnsi="Times New Roman" w:cs="Times New Roman"/>
          <w:color w:val="222222"/>
          <w:sz w:val="24"/>
          <w:szCs w:val="20"/>
          <w:shd w:val="clear" w:color="auto" w:fill="FFFFFF"/>
        </w:rPr>
      </w:pPr>
      <w:r w:rsidRPr="00C03199">
        <w:rPr>
          <w:rFonts w:ascii="Times New Roman" w:eastAsiaTheme="minorEastAsia" w:hAnsi="Times New Roman" w:cs="Times New Roman"/>
          <w:color w:val="222222"/>
          <w:sz w:val="24"/>
          <w:szCs w:val="20"/>
          <w:shd w:val="clear" w:color="auto" w:fill="FFFFFF"/>
        </w:rPr>
        <w:t xml:space="preserve">The highest </w:t>
      </w:r>
      <w:r w:rsidR="009B48CB" w:rsidRPr="00C03199">
        <w:rPr>
          <w:rFonts w:ascii="Times New Roman" w:eastAsiaTheme="minorEastAsia" w:hAnsi="Times New Roman" w:cs="Times New Roman"/>
          <w:color w:val="222222"/>
          <w:sz w:val="24"/>
          <w:szCs w:val="20"/>
          <w:shd w:val="clear" w:color="auto" w:fill="FFFFFF"/>
        </w:rPr>
        <w:t>difference</w:t>
      </w:r>
      <w:r w:rsidRPr="00C03199">
        <w:rPr>
          <w:rFonts w:ascii="Times New Roman" w:eastAsiaTheme="minorEastAsia" w:hAnsi="Times New Roman" w:cs="Times New Roman"/>
          <w:color w:val="222222"/>
          <w:sz w:val="24"/>
          <w:szCs w:val="20"/>
          <w:shd w:val="clear" w:color="auto" w:fill="FFFFFF"/>
        </w:rPr>
        <w:t xml:space="preserve"> in cumulative abnormal returns between target firms in cross-border and domestic deals is observed from day t0 to t-1 and t-1 to t+5. The cross-border effect for CAR (0, +1) and CAR (-1, +5) is positive and </w:t>
      </w:r>
      <w:r w:rsidR="00DD1014">
        <w:rPr>
          <w:rFonts w:ascii="Times New Roman" w:eastAsiaTheme="minorEastAsia" w:hAnsi="Times New Roman" w:cs="Times New Roman"/>
          <w:color w:val="222222"/>
          <w:sz w:val="24"/>
          <w:szCs w:val="20"/>
          <w:shd w:val="clear" w:color="auto" w:fill="FFFFFF"/>
        </w:rPr>
        <w:t>significant, at a 1% statistical</w:t>
      </w:r>
      <w:r w:rsidRPr="00C03199">
        <w:rPr>
          <w:rFonts w:ascii="Times New Roman" w:eastAsiaTheme="minorEastAsia" w:hAnsi="Times New Roman" w:cs="Times New Roman"/>
          <w:color w:val="222222"/>
          <w:sz w:val="24"/>
          <w:szCs w:val="20"/>
          <w:shd w:val="clear" w:color="auto" w:fill="FFFFFF"/>
        </w:rPr>
        <w:t xml:space="preserve"> significance level, accounting for 5.7% and 3.3%, respectively, with the market model and 5.7% and 3.4%, respectively, with the capital asset pricing model</w:t>
      </w:r>
      <w:r w:rsidR="00137881" w:rsidRPr="00C03199">
        <w:rPr>
          <w:rFonts w:ascii="Times New Roman" w:eastAsiaTheme="minorEastAsia" w:hAnsi="Times New Roman" w:cs="Times New Roman"/>
          <w:color w:val="222222"/>
          <w:sz w:val="24"/>
          <w:szCs w:val="20"/>
          <w:shd w:val="clear" w:color="auto" w:fill="FFFFFF"/>
        </w:rPr>
        <w:t xml:space="preserve">. </w:t>
      </w:r>
      <w:r w:rsidR="009B48CB" w:rsidRPr="00C03199">
        <w:rPr>
          <w:rFonts w:ascii="Times New Roman" w:eastAsiaTheme="minorEastAsia" w:hAnsi="Times New Roman" w:cs="Times New Roman"/>
          <w:color w:val="222222"/>
          <w:sz w:val="24"/>
          <w:szCs w:val="20"/>
          <w:shd w:val="clear" w:color="auto" w:fill="FFFFFF"/>
        </w:rPr>
        <w:t xml:space="preserve">Although a negative cross-border effect is found from day t-2 to t-1 and t-2 to t+1, </w:t>
      </w:r>
      <w:r w:rsidR="00DD1014">
        <w:rPr>
          <w:rFonts w:ascii="Times New Roman" w:eastAsiaTheme="minorEastAsia" w:hAnsi="Times New Roman" w:cs="Times New Roman"/>
          <w:color w:val="222222"/>
          <w:sz w:val="24"/>
          <w:szCs w:val="20"/>
          <w:shd w:val="clear" w:color="auto" w:fill="FFFFFF"/>
        </w:rPr>
        <w:t>it</w:t>
      </w:r>
      <w:r w:rsidR="009B48CB" w:rsidRPr="00C03199">
        <w:rPr>
          <w:rFonts w:ascii="Times New Roman" w:eastAsiaTheme="minorEastAsia" w:hAnsi="Times New Roman" w:cs="Times New Roman"/>
          <w:color w:val="222222"/>
          <w:sz w:val="24"/>
          <w:szCs w:val="20"/>
          <w:shd w:val="clear" w:color="auto" w:fill="FFFFFF"/>
        </w:rPr>
        <w:t xml:space="preserve"> is statistically insignificant. </w:t>
      </w:r>
    </w:p>
    <w:p w14:paraId="72FE6EA4" w14:textId="69BD9D83" w:rsidR="004065CA" w:rsidRDefault="00C345B8" w:rsidP="00E42A1D">
      <w:pPr>
        <w:spacing w:after="0" w:line="360" w:lineRule="auto"/>
        <w:ind w:firstLine="284"/>
        <w:jc w:val="both"/>
        <w:rPr>
          <w:rFonts w:ascii="Times New Roman" w:hAnsi="Times New Roman" w:cs="Times New Roman"/>
          <w:b/>
          <w:sz w:val="24"/>
        </w:rPr>
      </w:pPr>
      <w:r w:rsidRPr="00C03199">
        <w:rPr>
          <w:rFonts w:ascii="Times New Roman" w:eastAsiaTheme="minorEastAsia" w:hAnsi="Times New Roman" w:cs="Times New Roman"/>
          <w:color w:val="222222"/>
          <w:sz w:val="24"/>
          <w:szCs w:val="20"/>
          <w:shd w:val="clear" w:color="auto" w:fill="FFFFFF"/>
        </w:rPr>
        <w:t xml:space="preserve">For the cross-sectional analysis CAR (0, +1) and CAR (-1, +5) are chosen as </w:t>
      </w:r>
      <w:r w:rsidR="009B48CB" w:rsidRPr="00C03199">
        <w:rPr>
          <w:rFonts w:ascii="Times New Roman" w:eastAsiaTheme="minorEastAsia" w:hAnsi="Times New Roman" w:cs="Times New Roman"/>
          <w:color w:val="222222"/>
          <w:sz w:val="24"/>
          <w:szCs w:val="20"/>
          <w:shd w:val="clear" w:color="auto" w:fill="FFFFFF"/>
        </w:rPr>
        <w:t xml:space="preserve">the dependent variables, as </w:t>
      </w:r>
      <w:r w:rsidRPr="00C03199">
        <w:rPr>
          <w:rFonts w:ascii="Times New Roman" w:eastAsiaTheme="minorEastAsia" w:hAnsi="Times New Roman" w:cs="Times New Roman"/>
          <w:color w:val="222222"/>
          <w:sz w:val="24"/>
          <w:szCs w:val="20"/>
          <w:shd w:val="clear" w:color="auto" w:fill="FFFFFF"/>
        </w:rPr>
        <w:t xml:space="preserve">they yield the highest significant difference in cumulative abnormal returns between target firms in </w:t>
      </w:r>
      <w:r w:rsidR="005D4A60">
        <w:rPr>
          <w:rFonts w:ascii="Times New Roman" w:eastAsiaTheme="minorEastAsia" w:hAnsi="Times New Roman" w:cs="Times New Roman"/>
          <w:color w:val="222222"/>
          <w:sz w:val="24"/>
          <w:szCs w:val="20"/>
          <w:shd w:val="clear" w:color="auto" w:fill="FFFFFF"/>
        </w:rPr>
        <w:t>cross-border and domestic bids</w:t>
      </w:r>
      <w:r w:rsidRPr="00C03199">
        <w:rPr>
          <w:rFonts w:ascii="Times New Roman" w:eastAsiaTheme="minorEastAsia" w:hAnsi="Times New Roman" w:cs="Times New Roman"/>
          <w:color w:val="222222"/>
          <w:sz w:val="24"/>
          <w:szCs w:val="20"/>
          <w:shd w:val="clear" w:color="auto" w:fill="FFFFFF"/>
        </w:rPr>
        <w:t xml:space="preserve">. </w:t>
      </w:r>
      <w:r w:rsidR="005D4A60" w:rsidRPr="005D4A60">
        <w:rPr>
          <w:rFonts w:ascii="Times New Roman" w:eastAsiaTheme="minorEastAsia" w:hAnsi="Times New Roman" w:cs="Times New Roman"/>
          <w:color w:val="222222"/>
          <w:sz w:val="24"/>
          <w:szCs w:val="20"/>
          <w:shd w:val="clear" w:color="auto" w:fill="FFFFFF"/>
        </w:rPr>
        <w:t>While a smaller window may not capture the transaction's complete impact</w:t>
      </w:r>
      <w:r w:rsidRPr="00C03199">
        <w:rPr>
          <w:rFonts w:ascii="Times New Roman" w:eastAsiaTheme="minorEastAsia" w:hAnsi="Times New Roman" w:cs="Times New Roman"/>
          <w:color w:val="222222"/>
          <w:sz w:val="24"/>
          <w:szCs w:val="20"/>
          <w:shd w:val="clear" w:color="auto" w:fill="FFFFFF"/>
        </w:rPr>
        <w:t xml:space="preserve">, a longer time period may introduce noise and has been criticized in previous studies (Danbolt, 2004). In addition to longer time windows producing noise to the analysis, the months’ average abnormal returns are not chosen, as the </w:t>
      </w:r>
      <w:r w:rsidR="009B48CB" w:rsidRPr="00C03199">
        <w:rPr>
          <w:rFonts w:ascii="Times New Roman" w:eastAsiaTheme="minorEastAsia" w:hAnsi="Times New Roman" w:cs="Times New Roman"/>
          <w:color w:val="222222"/>
          <w:sz w:val="24"/>
          <w:szCs w:val="20"/>
          <w:shd w:val="clear" w:color="auto" w:fill="FFFFFF"/>
        </w:rPr>
        <w:t>cross-border effect</w:t>
      </w:r>
      <w:r w:rsidRPr="00C03199">
        <w:rPr>
          <w:rFonts w:ascii="Times New Roman" w:eastAsiaTheme="minorEastAsia" w:hAnsi="Times New Roman" w:cs="Times New Roman"/>
          <w:color w:val="222222"/>
          <w:sz w:val="24"/>
          <w:szCs w:val="20"/>
          <w:shd w:val="clear" w:color="auto" w:fill="FFFFFF"/>
        </w:rPr>
        <w:t xml:space="preserve"> is </w:t>
      </w:r>
      <w:r w:rsidR="009B48CB" w:rsidRPr="00C03199">
        <w:rPr>
          <w:rFonts w:ascii="Times New Roman" w:eastAsiaTheme="minorEastAsia" w:hAnsi="Times New Roman" w:cs="Times New Roman"/>
          <w:color w:val="222222"/>
          <w:sz w:val="24"/>
          <w:szCs w:val="20"/>
          <w:shd w:val="clear" w:color="auto" w:fill="FFFFFF"/>
        </w:rPr>
        <w:t>statistically insignificant</w:t>
      </w:r>
      <w:r w:rsidRPr="00C03199">
        <w:rPr>
          <w:rFonts w:ascii="Times New Roman" w:eastAsiaTheme="minorEastAsia" w:hAnsi="Times New Roman" w:cs="Times New Roman"/>
          <w:color w:val="222222"/>
          <w:sz w:val="24"/>
          <w:szCs w:val="20"/>
          <w:shd w:val="clear" w:color="auto" w:fill="FFFFFF"/>
        </w:rPr>
        <w:t xml:space="preserve">. </w:t>
      </w:r>
      <w:r w:rsidR="009240D8" w:rsidRPr="00C03199">
        <w:rPr>
          <w:rFonts w:ascii="Times New Roman" w:eastAsiaTheme="minorEastAsia" w:hAnsi="Times New Roman" w:cs="Times New Roman"/>
          <w:color w:val="222222"/>
          <w:sz w:val="24"/>
          <w:szCs w:val="20"/>
          <w:shd w:val="clear" w:color="auto" w:fill="FFFFFF"/>
        </w:rPr>
        <w:t xml:space="preserve">Given that the levels of </w:t>
      </w:r>
      <w:r w:rsidR="005D4A60">
        <w:rPr>
          <w:rFonts w:ascii="Times New Roman" w:eastAsiaTheme="minorEastAsia" w:hAnsi="Times New Roman" w:cs="Times New Roman"/>
          <w:color w:val="222222"/>
          <w:sz w:val="24"/>
          <w:szCs w:val="20"/>
          <w:shd w:val="clear" w:color="auto" w:fill="FFFFFF"/>
        </w:rPr>
        <w:t>CARs</w:t>
      </w:r>
      <w:r w:rsidR="009240D8" w:rsidRPr="00C03199">
        <w:rPr>
          <w:rFonts w:ascii="Times New Roman" w:eastAsiaTheme="minorEastAsia" w:hAnsi="Times New Roman" w:cs="Times New Roman"/>
          <w:color w:val="222222"/>
          <w:sz w:val="24"/>
          <w:szCs w:val="20"/>
          <w:shd w:val="clear" w:color="auto" w:fill="FFFFFF"/>
        </w:rPr>
        <w:t xml:space="preserve"> are similar between the market model and </w:t>
      </w:r>
      <w:r w:rsidR="009240D8" w:rsidRPr="00C03199">
        <w:rPr>
          <w:rFonts w:ascii="Times New Roman" w:eastAsiaTheme="minorEastAsia" w:hAnsi="Times New Roman" w:cs="Times New Roman"/>
          <w:color w:val="222222"/>
          <w:sz w:val="24"/>
          <w:szCs w:val="20"/>
          <w:shd w:val="clear" w:color="auto" w:fill="FFFFFF"/>
        </w:rPr>
        <w:lastRenderedPageBreak/>
        <w:t xml:space="preserve">capital asset pricing model, the </w:t>
      </w:r>
      <w:r w:rsidR="005D4A60">
        <w:rPr>
          <w:rFonts w:ascii="Times New Roman" w:eastAsiaTheme="minorEastAsia" w:hAnsi="Times New Roman" w:cs="Times New Roman"/>
          <w:color w:val="222222"/>
          <w:sz w:val="24"/>
          <w:szCs w:val="20"/>
          <w:shd w:val="clear" w:color="auto" w:fill="FFFFFF"/>
        </w:rPr>
        <w:t>ones</w:t>
      </w:r>
      <w:r w:rsidR="009240D8" w:rsidRPr="00C03199">
        <w:rPr>
          <w:rFonts w:ascii="Times New Roman" w:eastAsiaTheme="minorEastAsia" w:hAnsi="Times New Roman" w:cs="Times New Roman"/>
          <w:color w:val="222222"/>
          <w:sz w:val="24"/>
          <w:szCs w:val="20"/>
          <w:shd w:val="clear" w:color="auto" w:fill="FFFFFF"/>
        </w:rPr>
        <w:t xml:space="preserve"> generated from the market model will be used in the cross-sectional regressions, as it is the most widely used model in previous studies. </w:t>
      </w:r>
    </w:p>
    <w:p w14:paraId="2A5099DC" w14:textId="77777777" w:rsidR="00E42A1D" w:rsidRDefault="00E42A1D" w:rsidP="00E42A1D">
      <w:pPr>
        <w:spacing w:after="0" w:line="360" w:lineRule="auto"/>
        <w:ind w:firstLine="284"/>
        <w:jc w:val="both"/>
        <w:rPr>
          <w:rFonts w:ascii="Times New Roman" w:hAnsi="Times New Roman" w:cs="Times New Roman"/>
          <w:b/>
          <w:sz w:val="24"/>
        </w:rPr>
      </w:pPr>
    </w:p>
    <w:p w14:paraId="086DB43D" w14:textId="63D4D5AA" w:rsidR="00257EAA" w:rsidRPr="00C03199" w:rsidRDefault="00257EAA" w:rsidP="00FA29AD">
      <w:pPr>
        <w:spacing w:after="120" w:line="360" w:lineRule="auto"/>
        <w:jc w:val="both"/>
        <w:rPr>
          <w:rFonts w:ascii="Times New Roman" w:hAnsi="Times New Roman" w:cs="Times New Roman"/>
          <w:i/>
          <w:sz w:val="24"/>
        </w:rPr>
      </w:pPr>
      <w:r w:rsidRPr="00C03199">
        <w:rPr>
          <w:rFonts w:ascii="Times New Roman" w:hAnsi="Times New Roman" w:cs="Times New Roman"/>
          <w:i/>
          <w:sz w:val="24"/>
        </w:rPr>
        <w:t xml:space="preserve">5.4 </w:t>
      </w:r>
      <w:r w:rsidR="005D4A60">
        <w:rPr>
          <w:rFonts w:ascii="Times New Roman" w:hAnsi="Times New Roman" w:cs="Times New Roman"/>
          <w:i/>
          <w:sz w:val="24"/>
        </w:rPr>
        <w:t>Cross-border target firms’ cross-sectional analysis</w:t>
      </w:r>
    </w:p>
    <w:p w14:paraId="5CDE923E" w14:textId="0D00B290" w:rsidR="00712BC1" w:rsidRPr="00C03199" w:rsidRDefault="005D4A60" w:rsidP="00712BC1">
      <w:pPr>
        <w:tabs>
          <w:tab w:val="left" w:pos="1052"/>
        </w:tabs>
        <w:spacing w:after="0" w:line="360" w:lineRule="auto"/>
        <w:jc w:val="both"/>
        <w:rPr>
          <w:rFonts w:ascii="Times New Roman" w:hAnsi="Times New Roman" w:cs="Times New Roman"/>
          <w:sz w:val="24"/>
        </w:rPr>
      </w:pPr>
      <w:r w:rsidRPr="005D4A60">
        <w:rPr>
          <w:rFonts w:ascii="Times New Roman" w:hAnsi="Times New Roman" w:cs="Times New Roman"/>
          <w:sz w:val="24"/>
        </w:rPr>
        <w:t>Four of the five hypotheses on what drives the cumulative abnormal returns of target companies ' shareholders in cross-border acquisitions are evaluated in this section</w:t>
      </w:r>
      <w:r>
        <w:rPr>
          <w:rFonts w:ascii="Times New Roman" w:hAnsi="Times New Roman" w:cs="Times New Roman"/>
          <w:sz w:val="24"/>
        </w:rPr>
        <w:t xml:space="preserve">: the </w:t>
      </w:r>
      <w:r w:rsidR="00FA29AD" w:rsidRPr="00C03199">
        <w:rPr>
          <w:rFonts w:ascii="Times New Roman" w:hAnsi="Times New Roman" w:cs="Times New Roman"/>
          <w:sz w:val="24"/>
        </w:rPr>
        <w:t xml:space="preserve">international risk diversification hypothesis, </w:t>
      </w:r>
      <w:r w:rsidR="000441FE" w:rsidRPr="00C03199">
        <w:rPr>
          <w:rFonts w:ascii="Times New Roman" w:hAnsi="Times New Roman" w:cs="Times New Roman"/>
          <w:sz w:val="24"/>
        </w:rPr>
        <w:t>market access</w:t>
      </w:r>
      <w:r w:rsidR="00FA29AD" w:rsidRPr="00C03199">
        <w:rPr>
          <w:rFonts w:ascii="Times New Roman" w:hAnsi="Times New Roman" w:cs="Times New Roman"/>
          <w:sz w:val="24"/>
        </w:rPr>
        <w:t xml:space="preserve"> hypothesis, </w:t>
      </w:r>
      <w:r w:rsidR="000441FE" w:rsidRPr="00C03199">
        <w:rPr>
          <w:rFonts w:ascii="Times New Roman" w:hAnsi="Times New Roman" w:cs="Times New Roman"/>
          <w:sz w:val="24"/>
        </w:rPr>
        <w:t>exchange rate</w:t>
      </w:r>
      <w:r w:rsidR="00FA29AD" w:rsidRPr="00C03199">
        <w:rPr>
          <w:rFonts w:ascii="Times New Roman" w:hAnsi="Times New Roman" w:cs="Times New Roman"/>
          <w:sz w:val="24"/>
        </w:rPr>
        <w:t xml:space="preserve"> hypothesis, and </w:t>
      </w:r>
      <w:r w:rsidR="00DD1014">
        <w:rPr>
          <w:rFonts w:ascii="Times New Roman" w:hAnsi="Times New Roman" w:cs="Times New Roman"/>
          <w:sz w:val="24"/>
        </w:rPr>
        <w:t xml:space="preserve">the </w:t>
      </w:r>
      <w:r w:rsidR="00FA29AD" w:rsidRPr="00C03199">
        <w:rPr>
          <w:rFonts w:ascii="Times New Roman" w:hAnsi="Times New Roman" w:cs="Times New Roman"/>
          <w:sz w:val="24"/>
        </w:rPr>
        <w:t xml:space="preserve">difference in </w:t>
      </w:r>
      <w:r w:rsidR="00C56B34" w:rsidRPr="00C03199">
        <w:rPr>
          <w:rFonts w:ascii="Times New Roman" w:hAnsi="Times New Roman" w:cs="Times New Roman"/>
          <w:sz w:val="24"/>
        </w:rPr>
        <w:t>characteristics</w:t>
      </w:r>
      <w:r w:rsidR="00FA29AD" w:rsidRPr="00C03199">
        <w:rPr>
          <w:rFonts w:ascii="Times New Roman" w:hAnsi="Times New Roman" w:cs="Times New Roman"/>
          <w:sz w:val="24"/>
        </w:rPr>
        <w:t xml:space="preserve"> hypothesis. To test these </w:t>
      </w:r>
      <w:r>
        <w:rPr>
          <w:rFonts w:ascii="Times New Roman" w:hAnsi="Times New Roman" w:cs="Times New Roman"/>
          <w:sz w:val="24"/>
        </w:rPr>
        <w:t>theories</w:t>
      </w:r>
      <w:r w:rsidR="00FA29AD" w:rsidRPr="00C03199">
        <w:rPr>
          <w:rFonts w:ascii="Times New Roman" w:hAnsi="Times New Roman" w:cs="Times New Roman"/>
          <w:sz w:val="24"/>
        </w:rPr>
        <w:t>, CARs</w:t>
      </w:r>
      <w:r w:rsidR="00677BCC" w:rsidRPr="00C03199">
        <w:rPr>
          <w:rFonts w:ascii="Times New Roman" w:hAnsi="Times New Roman" w:cs="Times New Roman"/>
          <w:sz w:val="24"/>
        </w:rPr>
        <w:t xml:space="preserve"> of target firms in </w:t>
      </w:r>
      <w:r>
        <w:rPr>
          <w:rFonts w:ascii="Times New Roman" w:hAnsi="Times New Roman" w:cs="Times New Roman"/>
          <w:sz w:val="24"/>
        </w:rPr>
        <w:t>international bids</w:t>
      </w:r>
      <w:r w:rsidR="00FA29AD" w:rsidRPr="00C03199">
        <w:rPr>
          <w:rFonts w:ascii="Times New Roman" w:hAnsi="Times New Roman" w:cs="Times New Roman"/>
          <w:sz w:val="24"/>
        </w:rPr>
        <w:t xml:space="preserve"> </w:t>
      </w:r>
      <w:r w:rsidR="0048254B" w:rsidRPr="00C03199">
        <w:rPr>
          <w:rFonts w:ascii="Times New Roman" w:hAnsi="Times New Roman" w:cs="Times New Roman"/>
          <w:sz w:val="24"/>
        </w:rPr>
        <w:t>for</w:t>
      </w:r>
      <w:r w:rsidR="00FA29AD" w:rsidRPr="00C03199">
        <w:rPr>
          <w:rFonts w:ascii="Times New Roman" w:hAnsi="Times New Roman" w:cs="Times New Roman"/>
          <w:sz w:val="24"/>
        </w:rPr>
        <w:t xml:space="preserve"> </w:t>
      </w:r>
      <w:r w:rsidR="00DD1014">
        <w:rPr>
          <w:rFonts w:ascii="Times New Roman" w:hAnsi="Times New Roman" w:cs="Times New Roman"/>
          <w:sz w:val="24"/>
        </w:rPr>
        <w:t xml:space="preserve">the </w:t>
      </w:r>
      <w:r w:rsidR="0048254B" w:rsidRPr="00C03199">
        <w:rPr>
          <w:rFonts w:ascii="Times New Roman" w:hAnsi="Times New Roman" w:cs="Times New Roman"/>
          <w:sz w:val="24"/>
        </w:rPr>
        <w:t>event windows</w:t>
      </w:r>
      <w:r w:rsidR="00FA29AD" w:rsidRPr="00C03199">
        <w:rPr>
          <w:rFonts w:ascii="Times New Roman" w:hAnsi="Times New Roman" w:cs="Times New Roman"/>
          <w:sz w:val="24"/>
        </w:rPr>
        <w:t xml:space="preserve"> t0 to t+1 and t-</w:t>
      </w:r>
      <w:r w:rsidR="00712BC1" w:rsidRPr="00C03199">
        <w:rPr>
          <w:rFonts w:ascii="Times New Roman" w:hAnsi="Times New Roman" w:cs="Times New Roman"/>
          <w:sz w:val="24"/>
        </w:rPr>
        <w:t>1 to t+5</w:t>
      </w:r>
      <w:r w:rsidR="00677BCC" w:rsidRPr="00C03199">
        <w:rPr>
          <w:rFonts w:ascii="Times New Roman" w:hAnsi="Times New Roman" w:cs="Times New Roman"/>
          <w:sz w:val="24"/>
        </w:rPr>
        <w:t xml:space="preserve">, where the </w:t>
      </w:r>
      <w:r w:rsidR="00C56B34" w:rsidRPr="00C03199">
        <w:rPr>
          <w:rFonts w:ascii="Times New Roman" w:hAnsi="Times New Roman" w:cs="Times New Roman"/>
          <w:sz w:val="24"/>
        </w:rPr>
        <w:t>announcement</w:t>
      </w:r>
      <w:r w:rsidR="00677BCC" w:rsidRPr="00C03199">
        <w:rPr>
          <w:rFonts w:ascii="Times New Roman" w:hAnsi="Times New Roman" w:cs="Times New Roman"/>
          <w:sz w:val="24"/>
        </w:rPr>
        <w:t xml:space="preserve"> of the deal is t0,</w:t>
      </w:r>
      <w:r w:rsidR="00712BC1" w:rsidRPr="00C03199">
        <w:rPr>
          <w:rFonts w:ascii="Times New Roman" w:hAnsi="Times New Roman" w:cs="Times New Roman"/>
          <w:sz w:val="24"/>
        </w:rPr>
        <w:t xml:space="preserve"> are regressed on independent and control </w:t>
      </w:r>
      <w:r w:rsidR="00C56B34" w:rsidRPr="00C03199">
        <w:rPr>
          <w:rFonts w:ascii="Times New Roman" w:hAnsi="Times New Roman" w:cs="Times New Roman"/>
          <w:sz w:val="24"/>
        </w:rPr>
        <w:t>variables</w:t>
      </w:r>
      <w:r w:rsidR="00712BC1" w:rsidRPr="00C03199">
        <w:rPr>
          <w:rFonts w:ascii="Times New Roman" w:hAnsi="Times New Roman" w:cs="Times New Roman"/>
          <w:sz w:val="24"/>
        </w:rPr>
        <w:t xml:space="preserve">, using OLS regressions, adjusted for heteroskedasticity, and the </w:t>
      </w:r>
      <w:r w:rsidR="00C56B34" w:rsidRPr="00C03199">
        <w:rPr>
          <w:rFonts w:ascii="Times New Roman" w:hAnsi="Times New Roman" w:cs="Times New Roman"/>
          <w:sz w:val="24"/>
        </w:rPr>
        <w:t>results</w:t>
      </w:r>
      <w:r w:rsidR="00712BC1" w:rsidRPr="00C03199">
        <w:rPr>
          <w:rFonts w:ascii="Times New Roman" w:hAnsi="Times New Roman" w:cs="Times New Roman"/>
          <w:sz w:val="24"/>
        </w:rPr>
        <w:t xml:space="preserve"> are reported in table 3, below. </w:t>
      </w:r>
      <w:r w:rsidR="004570D3" w:rsidRPr="00C03199">
        <w:rPr>
          <w:rFonts w:ascii="Times New Roman" w:hAnsi="Times New Roman" w:cs="Times New Roman"/>
          <w:sz w:val="24"/>
        </w:rPr>
        <w:t>V</w:t>
      </w:r>
      <w:r w:rsidR="00C56B34" w:rsidRPr="00C03199">
        <w:rPr>
          <w:rFonts w:ascii="Times New Roman" w:hAnsi="Times New Roman" w:cs="Times New Roman"/>
          <w:sz w:val="24"/>
        </w:rPr>
        <w:t>ariables</w:t>
      </w:r>
      <w:r w:rsidR="00DD1014">
        <w:rPr>
          <w:rFonts w:ascii="Times New Roman" w:hAnsi="Times New Roman" w:cs="Times New Roman"/>
          <w:sz w:val="24"/>
        </w:rPr>
        <w:t xml:space="preserve"> of</w:t>
      </w:r>
      <w:r w:rsidR="00712BC1" w:rsidRPr="00C03199">
        <w:rPr>
          <w:rFonts w:ascii="Times New Roman" w:hAnsi="Times New Roman" w:cs="Times New Roman"/>
          <w:sz w:val="24"/>
        </w:rPr>
        <w:t xml:space="preserve"> </w:t>
      </w:r>
      <w:r w:rsidR="004570D3" w:rsidRPr="00C03199">
        <w:rPr>
          <w:rFonts w:ascii="Times New Roman" w:hAnsi="Times New Roman" w:cs="Times New Roman"/>
          <w:sz w:val="24"/>
        </w:rPr>
        <w:t>different bid and target firm</w:t>
      </w:r>
      <w:r w:rsidR="00DB7ABB">
        <w:rPr>
          <w:rFonts w:ascii="Times New Roman" w:hAnsi="Times New Roman" w:cs="Times New Roman"/>
          <w:sz w:val="24"/>
        </w:rPr>
        <w:t>-specific</w:t>
      </w:r>
      <w:r w:rsidR="004570D3" w:rsidRPr="00C03199">
        <w:rPr>
          <w:rFonts w:ascii="Times New Roman" w:hAnsi="Times New Roman" w:cs="Times New Roman"/>
          <w:sz w:val="24"/>
        </w:rPr>
        <w:t xml:space="preserve"> characteristics</w:t>
      </w:r>
      <w:r w:rsidR="00712BC1" w:rsidRPr="00C03199">
        <w:rPr>
          <w:rFonts w:ascii="Times New Roman" w:hAnsi="Times New Roman" w:cs="Times New Roman"/>
          <w:sz w:val="24"/>
        </w:rPr>
        <w:t xml:space="preserve"> are used as control variables.</w:t>
      </w:r>
      <w:r w:rsidR="0098088B" w:rsidRPr="00C03199">
        <w:rPr>
          <w:rFonts w:ascii="Times New Roman" w:hAnsi="Times New Roman" w:cs="Times New Roman"/>
          <w:sz w:val="24"/>
        </w:rPr>
        <w:t xml:space="preserve"> The overall explanatory power of the regressions are low, with the adjusted </w:t>
      </w:r>
      <m:oMath>
        <m:sSup>
          <m:sSupPr>
            <m:ctrlPr>
              <w:rPr>
                <w:rFonts w:ascii="Cambria Math" w:hAnsi="Cambria Math" w:cs="Times New Roman"/>
                <w:sz w:val="24"/>
              </w:rPr>
            </m:ctrlPr>
          </m:sSupPr>
          <m:e>
            <m:r>
              <w:rPr>
                <w:rFonts w:ascii="Cambria Math" w:hAnsi="Cambria Math" w:cs="Times New Roman"/>
                <w:sz w:val="24"/>
              </w:rPr>
              <m:t>R</m:t>
            </m:r>
          </m:e>
          <m:sup>
            <m:r>
              <m:rPr>
                <m:sty m:val="p"/>
              </m:rPr>
              <w:rPr>
                <w:rFonts w:ascii="Cambria Math" w:hAnsi="Cambria Math" w:cs="Times New Roman"/>
                <w:sz w:val="24"/>
              </w:rPr>
              <m:t>2</m:t>
            </m:r>
          </m:sup>
        </m:sSup>
      </m:oMath>
      <w:r w:rsidR="0098088B" w:rsidRPr="00C03199">
        <w:rPr>
          <w:rFonts w:ascii="Times New Roman" w:hAnsi="Times New Roman" w:cs="Times New Roman"/>
          <w:sz w:val="24"/>
        </w:rPr>
        <w:t xml:space="preserve"> ranging from 3% to 5.9%, but all of the regressions are</w:t>
      </w:r>
      <w:r w:rsidR="00D844DC" w:rsidRPr="00C03199">
        <w:rPr>
          <w:rFonts w:ascii="Times New Roman" w:hAnsi="Times New Roman" w:cs="Times New Roman"/>
          <w:sz w:val="24"/>
        </w:rPr>
        <w:t xml:space="preserve"> statistically significant at either 1% or 5%</w:t>
      </w:r>
      <w:r w:rsidR="0098088B" w:rsidRPr="00C03199">
        <w:rPr>
          <w:rFonts w:ascii="Times New Roman" w:hAnsi="Times New Roman" w:cs="Times New Roman"/>
          <w:sz w:val="24"/>
        </w:rPr>
        <w:t xml:space="preserve"> statistical significance levels.</w:t>
      </w:r>
      <w:r w:rsidR="0098088B" w:rsidRPr="00C03199">
        <w:rPr>
          <w:rFonts w:ascii="Times New Roman" w:eastAsiaTheme="minorEastAsia" w:hAnsi="Times New Roman" w:cs="Times New Roman"/>
          <w:sz w:val="18"/>
          <w:szCs w:val="18"/>
        </w:rPr>
        <w:t xml:space="preserve"> </w:t>
      </w:r>
      <w:r w:rsidR="0098063D" w:rsidRPr="00C03199">
        <w:rPr>
          <w:rFonts w:ascii="Times New Roman" w:eastAsiaTheme="minorEastAsia" w:hAnsi="Times New Roman" w:cs="Times New Roman"/>
          <w:sz w:val="24"/>
          <w:szCs w:val="18"/>
        </w:rPr>
        <w:t xml:space="preserve">Table 5 in the appendix reports the results after UK target firms are removed from the analysis. </w:t>
      </w:r>
    </w:p>
    <w:p w14:paraId="7A8CC83E" w14:textId="77777777" w:rsidR="00712BC1" w:rsidRPr="00C03199" w:rsidRDefault="00712BC1" w:rsidP="00712BC1">
      <w:pPr>
        <w:tabs>
          <w:tab w:val="left" w:pos="1052"/>
        </w:tabs>
        <w:spacing w:after="0" w:line="360" w:lineRule="auto"/>
        <w:jc w:val="both"/>
        <w:rPr>
          <w:rFonts w:ascii="Times New Roman" w:hAnsi="Times New Roman" w:cs="Times New Roman"/>
          <w:sz w:val="24"/>
        </w:rPr>
      </w:pPr>
    </w:p>
    <w:p w14:paraId="6D09F50E" w14:textId="7D65F06B" w:rsidR="00677BCC" w:rsidRPr="00C03199" w:rsidRDefault="00677BCC" w:rsidP="00677BCC">
      <w:pPr>
        <w:tabs>
          <w:tab w:val="left" w:pos="1052"/>
        </w:tabs>
        <w:spacing w:after="120" w:line="360" w:lineRule="auto"/>
        <w:jc w:val="both"/>
        <w:rPr>
          <w:rFonts w:ascii="Times New Roman" w:hAnsi="Times New Roman" w:cs="Times New Roman"/>
          <w:i/>
          <w:sz w:val="24"/>
        </w:rPr>
      </w:pPr>
      <w:r w:rsidRPr="00C03199">
        <w:rPr>
          <w:rFonts w:ascii="Times New Roman" w:hAnsi="Times New Roman" w:cs="Times New Roman"/>
          <w:i/>
          <w:sz w:val="24"/>
        </w:rPr>
        <w:t xml:space="preserve">5.4.1 </w:t>
      </w:r>
      <w:r w:rsidR="00712BC1" w:rsidRPr="00C03199">
        <w:rPr>
          <w:rFonts w:ascii="Times New Roman" w:hAnsi="Times New Roman" w:cs="Times New Roman"/>
          <w:i/>
          <w:sz w:val="24"/>
        </w:rPr>
        <w:t>Int</w:t>
      </w:r>
      <w:r w:rsidRPr="00C03199">
        <w:rPr>
          <w:rFonts w:ascii="Times New Roman" w:hAnsi="Times New Roman" w:cs="Times New Roman"/>
          <w:i/>
          <w:sz w:val="24"/>
        </w:rPr>
        <w:t>ernational risk diversification hypothesis</w:t>
      </w:r>
    </w:p>
    <w:p w14:paraId="46F7EA98" w14:textId="1F6F7CA5" w:rsidR="000441FE" w:rsidRPr="00C03199" w:rsidRDefault="006C0D68" w:rsidP="000441FE">
      <w:pPr>
        <w:tabs>
          <w:tab w:val="left" w:pos="1052"/>
        </w:tabs>
        <w:spacing w:after="0" w:line="360" w:lineRule="auto"/>
        <w:jc w:val="both"/>
        <w:rPr>
          <w:rFonts w:ascii="Times New Roman" w:hAnsi="Times New Roman" w:cs="Times New Roman"/>
          <w:sz w:val="24"/>
        </w:rPr>
      </w:pPr>
      <w:r w:rsidRPr="00C03199">
        <w:rPr>
          <w:rFonts w:ascii="Times New Roman" w:hAnsi="Times New Roman" w:cs="Times New Roman"/>
          <w:sz w:val="24"/>
        </w:rPr>
        <w:t xml:space="preserve">The second hypothesis of this paper is inspired by the international risk diversification hypothesis, discussed in section 2.1.1. Based on the international risk diversification hypothesis, it can be </w:t>
      </w:r>
      <w:r w:rsidR="00C56B34" w:rsidRPr="00C03199">
        <w:rPr>
          <w:rFonts w:ascii="Times New Roman" w:hAnsi="Times New Roman" w:cs="Times New Roman"/>
          <w:sz w:val="24"/>
        </w:rPr>
        <w:t>hypothesized</w:t>
      </w:r>
      <w:r w:rsidRPr="00C03199">
        <w:rPr>
          <w:rFonts w:ascii="Times New Roman" w:hAnsi="Times New Roman" w:cs="Times New Roman"/>
          <w:sz w:val="24"/>
        </w:rPr>
        <w:t xml:space="preserve"> that the further</w:t>
      </w:r>
      <w:r w:rsidR="00AD5A1C" w:rsidRPr="00C03199">
        <w:rPr>
          <w:rFonts w:ascii="Times New Roman" w:hAnsi="Times New Roman" w:cs="Times New Roman"/>
          <w:sz w:val="24"/>
        </w:rPr>
        <w:t>, geographically,</w:t>
      </w:r>
      <w:r w:rsidRPr="00C03199">
        <w:rPr>
          <w:rFonts w:ascii="Times New Roman" w:hAnsi="Times New Roman" w:cs="Times New Roman"/>
          <w:sz w:val="24"/>
        </w:rPr>
        <w:t xml:space="preserve"> the foreign bidder is from the target, the higher the international diversification benefits will be.</w:t>
      </w:r>
      <w:r w:rsidR="000441FE" w:rsidRPr="00C03199">
        <w:rPr>
          <w:rFonts w:ascii="Times New Roman" w:hAnsi="Times New Roman" w:cs="Times New Roman"/>
          <w:sz w:val="24"/>
        </w:rPr>
        <w:t xml:space="preserve"> </w:t>
      </w:r>
      <w:r w:rsidRPr="00C03199">
        <w:rPr>
          <w:rFonts w:ascii="Times New Roman" w:hAnsi="Times New Roman" w:cs="Times New Roman"/>
          <w:sz w:val="24"/>
        </w:rPr>
        <w:t xml:space="preserve">Since foreign bidders are willing to pay </w:t>
      </w:r>
      <w:r w:rsidR="00DB7ABB">
        <w:rPr>
          <w:rFonts w:ascii="Times New Roman" w:hAnsi="Times New Roman" w:cs="Times New Roman"/>
          <w:sz w:val="24"/>
        </w:rPr>
        <w:t xml:space="preserve">a </w:t>
      </w:r>
      <w:r w:rsidRPr="00C03199">
        <w:rPr>
          <w:rFonts w:ascii="Times New Roman" w:hAnsi="Times New Roman" w:cs="Times New Roman"/>
          <w:sz w:val="24"/>
        </w:rPr>
        <w:t xml:space="preserve">higher premium for target firms because of international diversification benefits, target firms acquired by bidders from outside Europe will gain more in </w:t>
      </w:r>
      <w:r w:rsidR="00C56B34" w:rsidRPr="00C03199">
        <w:rPr>
          <w:rFonts w:ascii="Times New Roman" w:hAnsi="Times New Roman" w:cs="Times New Roman"/>
          <w:sz w:val="24"/>
        </w:rPr>
        <w:t>acquisitions</w:t>
      </w:r>
      <w:r w:rsidRPr="00C03199">
        <w:rPr>
          <w:rFonts w:ascii="Times New Roman" w:hAnsi="Times New Roman" w:cs="Times New Roman"/>
          <w:sz w:val="24"/>
        </w:rPr>
        <w:t xml:space="preserve"> than those acquired by European bidders (Danbolt, 2004). </w:t>
      </w:r>
      <w:r w:rsidR="00AD5A1C" w:rsidRPr="00C03199">
        <w:rPr>
          <w:rFonts w:ascii="Times New Roman" w:hAnsi="Times New Roman" w:cs="Times New Roman"/>
          <w:sz w:val="24"/>
        </w:rPr>
        <w:t xml:space="preserve">To test this hypothesis, the acquirers were divided and grouped by their region; following, </w:t>
      </w:r>
      <w:r w:rsidR="004570D3" w:rsidRPr="00C03199">
        <w:rPr>
          <w:rFonts w:ascii="Times New Roman" w:hAnsi="Times New Roman" w:cs="Times New Roman"/>
          <w:sz w:val="24"/>
        </w:rPr>
        <w:t>the</w:t>
      </w:r>
      <w:r w:rsidR="00837620" w:rsidRPr="00C03199">
        <w:rPr>
          <w:rFonts w:ascii="Times New Roman" w:hAnsi="Times New Roman" w:cs="Times New Roman"/>
          <w:sz w:val="24"/>
        </w:rPr>
        <w:t xml:space="preserve"> </w:t>
      </w:r>
      <w:r w:rsidR="005D4A60">
        <w:rPr>
          <w:rFonts w:ascii="Times New Roman" w:hAnsi="Times New Roman" w:cs="Times New Roman"/>
          <w:sz w:val="24"/>
        </w:rPr>
        <w:t>CAR</w:t>
      </w:r>
      <w:r w:rsidR="004570D3" w:rsidRPr="00C03199">
        <w:rPr>
          <w:rFonts w:ascii="Times New Roman" w:hAnsi="Times New Roman" w:cs="Times New Roman"/>
          <w:sz w:val="24"/>
        </w:rPr>
        <w:t xml:space="preserve"> of target firms in cross-border </w:t>
      </w:r>
      <w:r w:rsidR="007F2FC0">
        <w:rPr>
          <w:rFonts w:ascii="Times New Roman" w:hAnsi="Times New Roman" w:cs="Times New Roman"/>
          <w:sz w:val="24"/>
        </w:rPr>
        <w:t>bids</w:t>
      </w:r>
      <w:r w:rsidR="00837620" w:rsidRPr="00C03199">
        <w:rPr>
          <w:rFonts w:ascii="Times New Roman" w:hAnsi="Times New Roman" w:cs="Times New Roman"/>
          <w:sz w:val="24"/>
        </w:rPr>
        <w:t xml:space="preserve"> are regressed on the different locations of the acquirer.  </w:t>
      </w:r>
    </w:p>
    <w:p w14:paraId="51D80F6C" w14:textId="6BCBF97D" w:rsidR="00D97EDB" w:rsidRPr="00C03199" w:rsidRDefault="00837620" w:rsidP="00E72EAE">
      <w:pPr>
        <w:tabs>
          <w:tab w:val="left" w:pos="1052"/>
        </w:tabs>
        <w:spacing w:after="0" w:line="360" w:lineRule="auto"/>
        <w:ind w:firstLine="284"/>
        <w:jc w:val="both"/>
        <w:rPr>
          <w:rFonts w:ascii="Times New Roman" w:hAnsi="Times New Roman" w:cs="Times New Roman"/>
          <w:sz w:val="24"/>
        </w:rPr>
      </w:pPr>
      <w:r w:rsidRPr="00C03199">
        <w:rPr>
          <w:rFonts w:ascii="Times New Roman" w:eastAsiaTheme="minorEastAsia" w:hAnsi="Times New Roman" w:cs="Times New Roman"/>
          <w:color w:val="222222"/>
          <w:sz w:val="24"/>
          <w:szCs w:val="20"/>
          <w:shd w:val="clear" w:color="auto" w:fill="FFFFFF"/>
        </w:rPr>
        <w:t xml:space="preserve">The coefficients for the dummy variables </w:t>
      </w:r>
      <w:r w:rsidR="00B35879">
        <w:rPr>
          <w:rFonts w:ascii="Times New Roman" w:eastAsiaTheme="minorEastAsia" w:hAnsi="Times New Roman" w:cs="Times New Roman"/>
          <w:color w:val="222222"/>
          <w:sz w:val="24"/>
          <w:szCs w:val="20"/>
          <w:shd w:val="clear" w:color="auto" w:fill="FFFFFF"/>
        </w:rPr>
        <w:t xml:space="preserve"> ‘EU’</w:t>
      </w:r>
      <w:r w:rsidR="007F2FC0">
        <w:rPr>
          <w:rFonts w:ascii="Times New Roman" w:eastAsiaTheme="minorEastAsia" w:hAnsi="Times New Roman" w:cs="Times New Roman"/>
          <w:color w:val="222222"/>
          <w:sz w:val="24"/>
          <w:szCs w:val="20"/>
          <w:shd w:val="clear" w:color="auto" w:fill="FFFFFF"/>
        </w:rPr>
        <w:t>,</w:t>
      </w:r>
      <w:r w:rsidR="00B35879">
        <w:rPr>
          <w:rFonts w:ascii="Times New Roman" w:eastAsiaTheme="minorEastAsia" w:hAnsi="Times New Roman" w:cs="Times New Roman"/>
          <w:color w:val="222222"/>
          <w:sz w:val="24"/>
          <w:szCs w:val="20"/>
          <w:shd w:val="clear" w:color="auto" w:fill="FFFFFF"/>
        </w:rPr>
        <w:t xml:space="preserve"> </w:t>
      </w:r>
      <w:r w:rsidRPr="00C03199">
        <w:rPr>
          <w:rFonts w:ascii="Times New Roman" w:eastAsiaTheme="minorEastAsia" w:hAnsi="Times New Roman" w:cs="Times New Roman"/>
          <w:color w:val="222222"/>
          <w:sz w:val="24"/>
          <w:szCs w:val="20"/>
          <w:shd w:val="clear" w:color="auto" w:fill="FFFFFF"/>
        </w:rPr>
        <w:t xml:space="preserve">‘US’, ‘Asia’, and ‘Rest of the World’ are all reported, in table 3. </w:t>
      </w:r>
      <w:r w:rsidR="006C0D68" w:rsidRPr="00C03199">
        <w:rPr>
          <w:rFonts w:ascii="Times New Roman" w:eastAsiaTheme="minorEastAsia" w:hAnsi="Times New Roman" w:cs="Times New Roman"/>
          <w:color w:val="222222"/>
          <w:sz w:val="24"/>
          <w:szCs w:val="20"/>
          <w:shd w:val="clear" w:color="auto" w:fill="FFFFFF"/>
        </w:rPr>
        <w:t xml:space="preserve">As can be seen in table 3, </w:t>
      </w:r>
      <w:r w:rsidR="00B35879">
        <w:rPr>
          <w:rFonts w:ascii="Times New Roman" w:eastAsiaTheme="minorEastAsia" w:hAnsi="Times New Roman" w:cs="Times New Roman"/>
          <w:color w:val="222222"/>
          <w:sz w:val="24"/>
          <w:szCs w:val="20"/>
          <w:shd w:val="clear" w:color="auto" w:fill="FFFFFF"/>
        </w:rPr>
        <w:t xml:space="preserve">the cumulative abnormal returns (in the second event window) of target firms in cross-border </w:t>
      </w:r>
      <w:r w:rsidR="007F2FC0">
        <w:rPr>
          <w:rFonts w:ascii="Times New Roman" w:eastAsiaTheme="minorEastAsia" w:hAnsi="Times New Roman" w:cs="Times New Roman"/>
          <w:color w:val="222222"/>
          <w:sz w:val="24"/>
          <w:szCs w:val="20"/>
          <w:shd w:val="clear" w:color="auto" w:fill="FFFFFF"/>
        </w:rPr>
        <w:t>deals</w:t>
      </w:r>
      <w:r w:rsidR="00B35879">
        <w:rPr>
          <w:rFonts w:ascii="Times New Roman" w:eastAsiaTheme="minorEastAsia" w:hAnsi="Times New Roman" w:cs="Times New Roman"/>
          <w:color w:val="222222"/>
          <w:sz w:val="24"/>
          <w:szCs w:val="20"/>
          <w:shd w:val="clear" w:color="auto" w:fill="FFFFFF"/>
        </w:rPr>
        <w:t xml:space="preserve"> are </w:t>
      </w:r>
      <w:r w:rsidR="00B35879">
        <w:rPr>
          <w:rFonts w:ascii="Times New Roman" w:hAnsi="Times New Roman" w:cs="Times New Roman"/>
          <w:sz w:val="24"/>
        </w:rPr>
        <w:t>significantly, at a 5% statistical significance level, 17.1% higher when acquired by EU bidders</w:t>
      </w:r>
      <w:r w:rsidR="0095564E">
        <w:rPr>
          <w:rFonts w:ascii="Times New Roman" w:hAnsi="Times New Roman" w:cs="Times New Roman"/>
          <w:sz w:val="24"/>
        </w:rPr>
        <w:t>. A</w:t>
      </w:r>
      <w:r w:rsidR="00B35879">
        <w:rPr>
          <w:rFonts w:ascii="Times New Roman" w:hAnsi="Times New Roman" w:cs="Times New Roman"/>
          <w:sz w:val="24"/>
        </w:rPr>
        <w:t xml:space="preserve">fter controlling for target nation and industry effect the </w:t>
      </w:r>
      <w:r w:rsidR="0095564E">
        <w:rPr>
          <w:rFonts w:ascii="Times New Roman" w:hAnsi="Times New Roman" w:cs="Times New Roman"/>
          <w:sz w:val="24"/>
        </w:rPr>
        <w:t xml:space="preserve">coefficient for they are found to earn significantly, at a 1% statistical significance level, </w:t>
      </w:r>
      <w:r w:rsidR="0095564E">
        <w:rPr>
          <w:rFonts w:ascii="Times New Roman" w:hAnsi="Times New Roman" w:cs="Times New Roman"/>
          <w:sz w:val="24"/>
        </w:rPr>
        <w:lastRenderedPageBreak/>
        <w:t xml:space="preserve">5.2% higher cumulative abnormal returns. </w:t>
      </w:r>
      <w:r w:rsidR="00E72EAE">
        <w:rPr>
          <w:rFonts w:ascii="Times New Roman" w:hAnsi="Times New Roman" w:cs="Times New Roman"/>
          <w:sz w:val="24"/>
        </w:rPr>
        <w:t xml:space="preserve">Non-EU bidders are not found to have a significant </w:t>
      </w:r>
      <w:r w:rsidR="007F2FC0">
        <w:rPr>
          <w:rFonts w:ascii="Times New Roman" w:hAnsi="Times New Roman" w:cs="Times New Roman"/>
          <w:sz w:val="24"/>
        </w:rPr>
        <w:t>effect</w:t>
      </w:r>
      <w:r w:rsidR="00E72EAE">
        <w:rPr>
          <w:rFonts w:ascii="Times New Roman" w:hAnsi="Times New Roman" w:cs="Times New Roman"/>
          <w:sz w:val="24"/>
        </w:rPr>
        <w:t xml:space="preserve"> on the level of cumulative abnormal returns to target firms’ shareholders in cross-border bids. </w:t>
      </w:r>
      <w:r w:rsidR="006C0D68" w:rsidRPr="00C03199">
        <w:rPr>
          <w:rFonts w:ascii="Times New Roman" w:hAnsi="Times New Roman" w:cs="Times New Roman"/>
          <w:sz w:val="24"/>
        </w:rPr>
        <w:t xml:space="preserve">Although they are </w:t>
      </w:r>
      <w:r w:rsidR="00C56B34" w:rsidRPr="00C03199">
        <w:rPr>
          <w:rFonts w:ascii="Times New Roman" w:hAnsi="Times New Roman" w:cs="Times New Roman"/>
          <w:sz w:val="24"/>
        </w:rPr>
        <w:t>statistically</w:t>
      </w:r>
      <w:r w:rsidR="006C0D68" w:rsidRPr="00C03199">
        <w:rPr>
          <w:rFonts w:ascii="Times New Roman" w:hAnsi="Times New Roman" w:cs="Times New Roman"/>
          <w:sz w:val="24"/>
        </w:rPr>
        <w:t xml:space="preserve"> </w:t>
      </w:r>
      <w:r w:rsidR="0048254B" w:rsidRPr="00C03199">
        <w:rPr>
          <w:rFonts w:ascii="Times New Roman" w:hAnsi="Times New Roman" w:cs="Times New Roman"/>
          <w:sz w:val="24"/>
        </w:rPr>
        <w:t>in</w:t>
      </w:r>
      <w:r w:rsidR="00C56B34" w:rsidRPr="00C03199">
        <w:rPr>
          <w:rFonts w:ascii="Times New Roman" w:hAnsi="Times New Roman" w:cs="Times New Roman"/>
          <w:sz w:val="24"/>
        </w:rPr>
        <w:t>significant</w:t>
      </w:r>
      <w:r w:rsidR="006C0D68" w:rsidRPr="00C03199">
        <w:rPr>
          <w:rFonts w:ascii="Times New Roman" w:hAnsi="Times New Roman" w:cs="Times New Roman"/>
          <w:sz w:val="24"/>
        </w:rPr>
        <w:t>, the coefficients for ‘</w:t>
      </w:r>
      <w:r w:rsidR="0095564E">
        <w:rPr>
          <w:rFonts w:ascii="Times New Roman" w:hAnsi="Times New Roman" w:cs="Times New Roman"/>
          <w:sz w:val="24"/>
        </w:rPr>
        <w:t>Asia</w:t>
      </w:r>
      <w:r w:rsidR="006C0D68" w:rsidRPr="00C03199">
        <w:rPr>
          <w:rFonts w:ascii="Times New Roman" w:hAnsi="Times New Roman" w:cs="Times New Roman"/>
          <w:sz w:val="24"/>
        </w:rPr>
        <w:t>’ and ‘US’</w:t>
      </w:r>
      <w:r w:rsidR="0095564E">
        <w:rPr>
          <w:rFonts w:ascii="Times New Roman" w:hAnsi="Times New Roman" w:cs="Times New Roman"/>
          <w:sz w:val="24"/>
        </w:rPr>
        <w:t xml:space="preserve"> (‘rest of the world’)</w:t>
      </w:r>
      <w:r w:rsidR="006C0D68" w:rsidRPr="00C03199">
        <w:rPr>
          <w:rFonts w:ascii="Times New Roman" w:hAnsi="Times New Roman" w:cs="Times New Roman"/>
          <w:sz w:val="24"/>
        </w:rPr>
        <w:t xml:space="preserve"> are </w:t>
      </w:r>
      <w:r w:rsidR="0095564E">
        <w:rPr>
          <w:rFonts w:ascii="Times New Roman" w:hAnsi="Times New Roman" w:cs="Times New Roman"/>
          <w:sz w:val="24"/>
        </w:rPr>
        <w:t>positive (negative)</w:t>
      </w:r>
      <w:r w:rsidR="00A3457F" w:rsidRPr="00C03199">
        <w:rPr>
          <w:rFonts w:ascii="Times New Roman" w:hAnsi="Times New Roman" w:cs="Times New Roman"/>
          <w:sz w:val="24"/>
        </w:rPr>
        <w:t xml:space="preserve"> for both event windows</w:t>
      </w:r>
      <w:r w:rsidR="006C0D68" w:rsidRPr="00C03199">
        <w:rPr>
          <w:rFonts w:ascii="Times New Roman" w:hAnsi="Times New Roman" w:cs="Times New Roman"/>
          <w:sz w:val="24"/>
        </w:rPr>
        <w:t xml:space="preserve">, indicating that target firms’ cumulative abnormal returns are </w:t>
      </w:r>
      <w:r w:rsidR="006A7510">
        <w:rPr>
          <w:rFonts w:ascii="Times New Roman" w:hAnsi="Times New Roman" w:cs="Times New Roman"/>
          <w:sz w:val="24"/>
        </w:rPr>
        <w:t xml:space="preserve">higher </w:t>
      </w:r>
      <w:r w:rsidR="0095564E">
        <w:rPr>
          <w:rFonts w:ascii="Times New Roman" w:hAnsi="Times New Roman" w:cs="Times New Roman"/>
          <w:sz w:val="24"/>
        </w:rPr>
        <w:t>(</w:t>
      </w:r>
      <w:r w:rsidR="006C0D68" w:rsidRPr="00C03199">
        <w:rPr>
          <w:rFonts w:ascii="Times New Roman" w:hAnsi="Times New Roman" w:cs="Times New Roman"/>
          <w:sz w:val="24"/>
        </w:rPr>
        <w:t>lower</w:t>
      </w:r>
      <w:r w:rsidR="0095564E">
        <w:rPr>
          <w:rFonts w:ascii="Times New Roman" w:hAnsi="Times New Roman" w:cs="Times New Roman"/>
          <w:sz w:val="24"/>
        </w:rPr>
        <w:t>)</w:t>
      </w:r>
      <w:r w:rsidR="006C0D68" w:rsidRPr="00C03199">
        <w:rPr>
          <w:rFonts w:ascii="Times New Roman" w:hAnsi="Times New Roman" w:cs="Times New Roman"/>
          <w:sz w:val="24"/>
        </w:rPr>
        <w:t xml:space="preserve"> in </w:t>
      </w:r>
      <w:r w:rsidR="00F47CF2">
        <w:rPr>
          <w:rFonts w:ascii="Times New Roman" w:hAnsi="Times New Roman" w:cs="Times New Roman"/>
          <w:sz w:val="24"/>
        </w:rPr>
        <w:t>takeovers</w:t>
      </w:r>
      <w:r w:rsidR="006A7510">
        <w:rPr>
          <w:rFonts w:ascii="Times New Roman" w:hAnsi="Times New Roman" w:cs="Times New Roman"/>
          <w:sz w:val="24"/>
        </w:rPr>
        <w:t xml:space="preserve"> by bidders from the US</w:t>
      </w:r>
      <w:r w:rsidR="00E72EAE">
        <w:rPr>
          <w:rFonts w:ascii="Times New Roman" w:hAnsi="Times New Roman" w:cs="Times New Roman"/>
          <w:sz w:val="24"/>
        </w:rPr>
        <w:t>, Asia, (or rest of the world).</w:t>
      </w:r>
      <w:r w:rsidR="006A7510">
        <w:rPr>
          <w:rFonts w:ascii="Times New Roman" w:hAnsi="Times New Roman" w:cs="Times New Roman"/>
          <w:sz w:val="24"/>
        </w:rPr>
        <w:t xml:space="preserve"> </w:t>
      </w:r>
      <w:r w:rsidR="006C0D68" w:rsidRPr="00C03199">
        <w:rPr>
          <w:rFonts w:ascii="Times New Roman" w:hAnsi="Times New Roman" w:cs="Times New Roman"/>
          <w:sz w:val="24"/>
        </w:rPr>
        <w:t xml:space="preserve"> </w:t>
      </w:r>
      <w:r w:rsidRPr="00C03199">
        <w:rPr>
          <w:rFonts w:ascii="Times New Roman" w:hAnsi="Times New Roman" w:cs="Times New Roman"/>
          <w:sz w:val="24"/>
        </w:rPr>
        <w:t xml:space="preserve">The results observed are contradicting to the international </w:t>
      </w:r>
      <w:r w:rsidR="0013678E" w:rsidRPr="00C03199">
        <w:rPr>
          <w:rFonts w:ascii="Times New Roman" w:hAnsi="Times New Roman" w:cs="Times New Roman"/>
          <w:sz w:val="24"/>
        </w:rPr>
        <w:t>risk diversification hypothesis;</w:t>
      </w:r>
      <w:r w:rsidRPr="00C03199">
        <w:rPr>
          <w:rFonts w:ascii="Times New Roman" w:hAnsi="Times New Roman" w:cs="Times New Roman"/>
          <w:sz w:val="24"/>
        </w:rPr>
        <w:t xml:space="preserve"> </w:t>
      </w:r>
      <w:r w:rsidR="0013678E" w:rsidRPr="00C03199">
        <w:rPr>
          <w:rFonts w:ascii="Times New Roman" w:hAnsi="Times New Roman" w:cs="Times New Roman"/>
          <w:sz w:val="24"/>
        </w:rPr>
        <w:t>t</w:t>
      </w:r>
      <w:r w:rsidR="006C0D68" w:rsidRPr="00C03199">
        <w:rPr>
          <w:rFonts w:ascii="Times New Roman" w:hAnsi="Times New Roman" w:cs="Times New Roman"/>
          <w:sz w:val="24"/>
        </w:rPr>
        <w:t xml:space="preserve">herefore, the international risk diversification hypothesis and the second hypothesis of this paper are rejected, as </w:t>
      </w:r>
      <w:r w:rsidR="00E72EAE">
        <w:rPr>
          <w:rFonts w:ascii="Times New Roman" w:hAnsi="Times New Roman" w:cs="Times New Roman"/>
          <w:sz w:val="24"/>
        </w:rPr>
        <w:t>Non-EU</w:t>
      </w:r>
      <w:r w:rsidR="0048254B" w:rsidRPr="00C03199">
        <w:rPr>
          <w:rFonts w:ascii="Times New Roman" w:hAnsi="Times New Roman" w:cs="Times New Roman"/>
          <w:sz w:val="24"/>
        </w:rPr>
        <w:t xml:space="preserve"> bidder</w:t>
      </w:r>
      <w:r w:rsidR="00E72EAE">
        <w:rPr>
          <w:rFonts w:ascii="Times New Roman" w:hAnsi="Times New Roman" w:cs="Times New Roman"/>
          <w:sz w:val="24"/>
        </w:rPr>
        <w:t>s</w:t>
      </w:r>
      <w:r w:rsidR="0048254B" w:rsidRPr="00C03199">
        <w:rPr>
          <w:rFonts w:ascii="Times New Roman" w:hAnsi="Times New Roman" w:cs="Times New Roman"/>
          <w:sz w:val="24"/>
        </w:rPr>
        <w:t xml:space="preserve"> </w:t>
      </w:r>
      <w:r w:rsidR="00E72EAE">
        <w:rPr>
          <w:rFonts w:ascii="Times New Roman" w:hAnsi="Times New Roman" w:cs="Times New Roman"/>
          <w:sz w:val="24"/>
        </w:rPr>
        <w:t>have</w:t>
      </w:r>
      <w:r w:rsidR="0048254B" w:rsidRPr="00C03199">
        <w:rPr>
          <w:rFonts w:ascii="Times New Roman" w:hAnsi="Times New Roman" w:cs="Times New Roman"/>
          <w:sz w:val="24"/>
        </w:rPr>
        <w:t xml:space="preserve"> no significant impact on the </w:t>
      </w:r>
      <w:r w:rsidR="00F47CF2">
        <w:rPr>
          <w:rFonts w:ascii="Times New Roman" w:hAnsi="Times New Roman" w:cs="Times New Roman"/>
          <w:sz w:val="24"/>
        </w:rPr>
        <w:t>rate</w:t>
      </w:r>
      <w:r w:rsidR="0048254B" w:rsidRPr="00C03199">
        <w:rPr>
          <w:rFonts w:ascii="Times New Roman" w:hAnsi="Times New Roman" w:cs="Times New Roman"/>
          <w:sz w:val="24"/>
        </w:rPr>
        <w:t xml:space="preserve"> of </w:t>
      </w:r>
      <w:r w:rsidR="00F47CF2">
        <w:rPr>
          <w:rFonts w:ascii="Times New Roman" w:hAnsi="Times New Roman" w:cs="Times New Roman"/>
          <w:sz w:val="24"/>
        </w:rPr>
        <w:t>CAR</w:t>
      </w:r>
      <w:r w:rsidR="0048254B" w:rsidRPr="00C03199">
        <w:rPr>
          <w:rFonts w:ascii="Times New Roman" w:hAnsi="Times New Roman" w:cs="Times New Roman"/>
          <w:sz w:val="24"/>
        </w:rPr>
        <w:t xml:space="preserve"> to target firms’ shareholders in </w:t>
      </w:r>
      <w:r w:rsidR="00F47CF2">
        <w:rPr>
          <w:rFonts w:ascii="Times New Roman" w:hAnsi="Times New Roman" w:cs="Times New Roman"/>
          <w:sz w:val="24"/>
        </w:rPr>
        <w:t>international acquisitions</w:t>
      </w:r>
      <w:r w:rsidR="001614FA" w:rsidRPr="00C03199">
        <w:rPr>
          <w:rFonts w:ascii="Times New Roman" w:hAnsi="Times New Roman" w:cs="Times New Roman"/>
          <w:sz w:val="24"/>
        </w:rPr>
        <w:t>.</w:t>
      </w:r>
      <w:r w:rsidR="00C56B34" w:rsidRPr="00C03199">
        <w:rPr>
          <w:rFonts w:ascii="Times New Roman" w:hAnsi="Times New Roman" w:cs="Times New Roman"/>
          <w:sz w:val="24"/>
        </w:rPr>
        <w:t xml:space="preserve"> </w:t>
      </w:r>
    </w:p>
    <w:p w14:paraId="6C449D60" w14:textId="77777777" w:rsidR="00652B10" w:rsidRPr="00C03199" w:rsidRDefault="00652B10" w:rsidP="00270088">
      <w:pPr>
        <w:tabs>
          <w:tab w:val="left" w:pos="1052"/>
        </w:tabs>
        <w:spacing w:after="0" w:line="360" w:lineRule="auto"/>
        <w:jc w:val="both"/>
        <w:rPr>
          <w:rFonts w:ascii="Times New Roman" w:hAnsi="Times New Roman" w:cs="Times New Roman"/>
          <w:i/>
          <w:sz w:val="24"/>
        </w:rPr>
      </w:pPr>
    </w:p>
    <w:p w14:paraId="571AD3DC" w14:textId="486E4EFB" w:rsidR="003A1311" w:rsidRPr="00C03199" w:rsidRDefault="00270088" w:rsidP="003A1311">
      <w:pPr>
        <w:tabs>
          <w:tab w:val="left" w:pos="1052"/>
        </w:tabs>
        <w:spacing w:after="120" w:line="360" w:lineRule="auto"/>
        <w:jc w:val="both"/>
        <w:rPr>
          <w:rFonts w:ascii="Times New Roman" w:hAnsi="Times New Roman" w:cs="Times New Roman"/>
          <w:sz w:val="24"/>
        </w:rPr>
      </w:pPr>
      <w:r w:rsidRPr="00C03199">
        <w:rPr>
          <w:rFonts w:ascii="Times New Roman" w:hAnsi="Times New Roman" w:cs="Times New Roman"/>
          <w:i/>
          <w:sz w:val="24"/>
        </w:rPr>
        <w:t xml:space="preserve">Robustness Checks. </w:t>
      </w:r>
      <w:r w:rsidR="00F47CF2">
        <w:rPr>
          <w:rFonts w:ascii="Times New Roman" w:hAnsi="Times New Roman" w:cs="Times New Roman"/>
          <w:sz w:val="24"/>
        </w:rPr>
        <w:t>Besides</w:t>
      </w:r>
      <w:r w:rsidR="00C56B34" w:rsidRPr="00C03199">
        <w:rPr>
          <w:rFonts w:ascii="Times New Roman" w:hAnsi="Times New Roman" w:cs="Times New Roman"/>
          <w:sz w:val="24"/>
        </w:rPr>
        <w:t xml:space="preserve"> controlling for industry and target nation industry effects, </w:t>
      </w:r>
      <w:r w:rsidR="0098063D" w:rsidRPr="00C03199">
        <w:rPr>
          <w:rFonts w:ascii="Times New Roman" w:hAnsi="Times New Roman" w:cs="Times New Roman"/>
          <w:sz w:val="24"/>
        </w:rPr>
        <w:t xml:space="preserve">the cross-sectional analysis </w:t>
      </w:r>
      <w:r w:rsidR="00DB7ABB">
        <w:rPr>
          <w:rFonts w:ascii="Times New Roman" w:hAnsi="Times New Roman" w:cs="Times New Roman"/>
          <w:sz w:val="24"/>
        </w:rPr>
        <w:t>is</w:t>
      </w:r>
      <w:r w:rsidR="0098063D" w:rsidRPr="00C03199">
        <w:rPr>
          <w:rFonts w:ascii="Times New Roman" w:hAnsi="Times New Roman" w:cs="Times New Roman"/>
          <w:sz w:val="24"/>
        </w:rPr>
        <w:t xml:space="preserve"> performed with the exclusion of UK target firms, and the results are </w:t>
      </w:r>
      <w:r w:rsidR="00F47CF2">
        <w:rPr>
          <w:rFonts w:ascii="Times New Roman" w:hAnsi="Times New Roman" w:cs="Times New Roman"/>
          <w:sz w:val="24"/>
        </w:rPr>
        <w:t>displayed</w:t>
      </w:r>
      <w:r w:rsidR="0098063D" w:rsidRPr="00C03199">
        <w:rPr>
          <w:rFonts w:ascii="Times New Roman" w:hAnsi="Times New Roman" w:cs="Times New Roman"/>
          <w:sz w:val="24"/>
        </w:rPr>
        <w:t xml:space="preserve"> in table 5 in the appendix. </w:t>
      </w:r>
      <w:r w:rsidR="008C1090" w:rsidRPr="00C03199">
        <w:rPr>
          <w:rFonts w:ascii="Times New Roman" w:hAnsi="Times New Roman" w:cs="Times New Roman"/>
          <w:sz w:val="24"/>
        </w:rPr>
        <w:t xml:space="preserve">When UK target firms </w:t>
      </w:r>
      <w:r w:rsidR="00651D1A" w:rsidRPr="00C03199">
        <w:rPr>
          <w:rFonts w:ascii="Times New Roman" w:hAnsi="Times New Roman" w:cs="Times New Roman"/>
          <w:sz w:val="24"/>
        </w:rPr>
        <w:t>are</w:t>
      </w:r>
      <w:r w:rsidR="008C1090" w:rsidRPr="00C03199">
        <w:rPr>
          <w:rFonts w:ascii="Times New Roman" w:hAnsi="Times New Roman" w:cs="Times New Roman"/>
          <w:sz w:val="24"/>
        </w:rPr>
        <w:t xml:space="preserve"> removed from the data, </w:t>
      </w:r>
      <w:r w:rsidR="0098063D" w:rsidRPr="00C03199">
        <w:rPr>
          <w:rFonts w:ascii="Times New Roman" w:hAnsi="Times New Roman" w:cs="Times New Roman"/>
          <w:sz w:val="24"/>
        </w:rPr>
        <w:t xml:space="preserve">the dummy variable ‘Rest of the World’ is removed as there are no acquirers from that region. </w:t>
      </w:r>
      <w:r w:rsidR="00651D1A" w:rsidRPr="00C03199">
        <w:rPr>
          <w:rFonts w:ascii="Times New Roman" w:hAnsi="Times New Roman" w:cs="Times New Roman"/>
          <w:sz w:val="24"/>
        </w:rPr>
        <w:t>The coefficient for ‘US’</w:t>
      </w:r>
      <w:r w:rsidR="00C73B74">
        <w:rPr>
          <w:rFonts w:ascii="Times New Roman" w:hAnsi="Times New Roman" w:cs="Times New Roman"/>
          <w:sz w:val="24"/>
        </w:rPr>
        <w:t xml:space="preserve"> and ‘Asia’ are</w:t>
      </w:r>
      <w:r w:rsidR="00651D1A" w:rsidRPr="00C03199">
        <w:rPr>
          <w:rFonts w:ascii="Times New Roman" w:hAnsi="Times New Roman" w:cs="Times New Roman"/>
          <w:sz w:val="24"/>
        </w:rPr>
        <w:t xml:space="preserve"> still insignificant but changed to positive</w:t>
      </w:r>
      <w:r w:rsidR="00C73B74">
        <w:rPr>
          <w:rFonts w:ascii="Times New Roman" w:hAnsi="Times New Roman" w:cs="Times New Roman"/>
          <w:sz w:val="24"/>
        </w:rPr>
        <w:t xml:space="preserve">, implying that non-EU bidders have no impact on the </w:t>
      </w:r>
      <w:r w:rsidR="00F47CF2">
        <w:rPr>
          <w:rFonts w:ascii="Times New Roman" w:hAnsi="Times New Roman" w:cs="Times New Roman"/>
          <w:sz w:val="24"/>
        </w:rPr>
        <w:t>rate</w:t>
      </w:r>
      <w:r w:rsidR="00C73B74">
        <w:rPr>
          <w:rFonts w:ascii="Times New Roman" w:hAnsi="Times New Roman" w:cs="Times New Roman"/>
          <w:sz w:val="24"/>
        </w:rPr>
        <w:t xml:space="preserve"> of </w:t>
      </w:r>
      <w:r w:rsidR="00F47CF2">
        <w:rPr>
          <w:rFonts w:ascii="Times New Roman" w:hAnsi="Times New Roman" w:cs="Times New Roman"/>
          <w:sz w:val="24"/>
        </w:rPr>
        <w:t>CAR</w:t>
      </w:r>
      <w:r w:rsidR="00C73B74">
        <w:rPr>
          <w:rFonts w:ascii="Times New Roman" w:hAnsi="Times New Roman" w:cs="Times New Roman"/>
          <w:sz w:val="24"/>
        </w:rPr>
        <w:t xml:space="preserve"> to </w:t>
      </w:r>
      <w:r w:rsidR="00F47CF2">
        <w:rPr>
          <w:rFonts w:ascii="Times New Roman" w:hAnsi="Times New Roman" w:cs="Times New Roman"/>
          <w:sz w:val="24"/>
        </w:rPr>
        <w:t>target firms in cross-border bids</w:t>
      </w:r>
      <w:r w:rsidR="00C73B74">
        <w:rPr>
          <w:rFonts w:ascii="Times New Roman" w:hAnsi="Times New Roman" w:cs="Times New Roman"/>
          <w:sz w:val="24"/>
        </w:rPr>
        <w:t>. The coefficient for ‘EU’ (in the second event window) is not found to be significant</w:t>
      </w:r>
      <w:r w:rsidR="00FA6651">
        <w:rPr>
          <w:rFonts w:ascii="Times New Roman" w:hAnsi="Times New Roman" w:cs="Times New Roman"/>
          <w:sz w:val="24"/>
        </w:rPr>
        <w:t>,</w:t>
      </w:r>
      <w:r w:rsidR="00C73B74">
        <w:rPr>
          <w:rFonts w:ascii="Times New Roman" w:hAnsi="Times New Roman" w:cs="Times New Roman"/>
          <w:sz w:val="24"/>
        </w:rPr>
        <w:t xml:space="preserve"> </w:t>
      </w:r>
      <w:r w:rsidR="00FA6651">
        <w:rPr>
          <w:rFonts w:ascii="Times New Roman" w:hAnsi="Times New Roman" w:cs="Times New Roman"/>
          <w:sz w:val="24"/>
        </w:rPr>
        <w:t xml:space="preserve">but still positive, </w:t>
      </w:r>
      <w:r w:rsidR="00C73B74">
        <w:rPr>
          <w:rFonts w:ascii="Times New Roman" w:hAnsi="Times New Roman" w:cs="Times New Roman"/>
          <w:sz w:val="24"/>
        </w:rPr>
        <w:t xml:space="preserve">after controlling for target nation and industry effects. </w:t>
      </w:r>
      <w:r w:rsidR="003E4000" w:rsidRPr="00C03199">
        <w:rPr>
          <w:rFonts w:ascii="Times New Roman" w:hAnsi="Times New Roman" w:cs="Times New Roman"/>
          <w:sz w:val="24"/>
        </w:rPr>
        <w:t xml:space="preserve">Although the positive results are aligned with the international risk diversification hypothesis, there is limited support to accept the hypothesis. </w:t>
      </w:r>
    </w:p>
    <w:p w14:paraId="231AC6B4" w14:textId="77777777" w:rsidR="00A16680" w:rsidRPr="00C03199" w:rsidRDefault="00A16680" w:rsidP="00A16680">
      <w:pPr>
        <w:tabs>
          <w:tab w:val="left" w:pos="1052"/>
        </w:tabs>
        <w:spacing w:after="0" w:line="360" w:lineRule="auto"/>
        <w:jc w:val="both"/>
        <w:rPr>
          <w:rFonts w:ascii="Times New Roman" w:hAnsi="Times New Roman" w:cs="Times New Roman"/>
          <w:sz w:val="24"/>
        </w:rPr>
      </w:pPr>
    </w:p>
    <w:p w14:paraId="15187328" w14:textId="3B3E7816" w:rsidR="003A1311" w:rsidRPr="00C03199" w:rsidRDefault="003A1311" w:rsidP="003A1311">
      <w:pPr>
        <w:tabs>
          <w:tab w:val="left" w:pos="1052"/>
        </w:tabs>
        <w:spacing w:after="120" w:line="360" w:lineRule="auto"/>
        <w:jc w:val="both"/>
        <w:rPr>
          <w:rFonts w:ascii="Times New Roman" w:hAnsi="Times New Roman" w:cs="Times New Roman"/>
          <w:i/>
          <w:sz w:val="24"/>
        </w:rPr>
      </w:pPr>
      <w:r w:rsidRPr="00C03199">
        <w:rPr>
          <w:rFonts w:ascii="Times New Roman" w:hAnsi="Times New Roman" w:cs="Times New Roman"/>
          <w:i/>
          <w:sz w:val="24"/>
        </w:rPr>
        <w:t>5.4.2 Market access hypothesis</w:t>
      </w:r>
    </w:p>
    <w:p w14:paraId="66068A8A" w14:textId="2290048F" w:rsidR="003A1311" w:rsidRPr="00C03199" w:rsidRDefault="003A1311" w:rsidP="003A1311">
      <w:pPr>
        <w:tabs>
          <w:tab w:val="left" w:pos="1052"/>
        </w:tabs>
        <w:spacing w:after="0" w:line="360" w:lineRule="auto"/>
        <w:jc w:val="both"/>
        <w:rPr>
          <w:rFonts w:ascii="Times New Roman" w:hAnsi="Times New Roman" w:cs="Times New Roman"/>
          <w:sz w:val="24"/>
        </w:rPr>
      </w:pPr>
      <w:r w:rsidRPr="00C03199">
        <w:rPr>
          <w:rFonts w:ascii="Times New Roman" w:hAnsi="Times New Roman" w:cs="Times New Roman"/>
          <w:sz w:val="24"/>
        </w:rPr>
        <w:t xml:space="preserve">The third hypothesis of this paper is inspired by the market access hypothesis, discussed in section 2.1.2. Based on the market access hypothesis, it can be </w:t>
      </w:r>
      <w:r w:rsidR="00F47CF2">
        <w:rPr>
          <w:rFonts w:ascii="Times New Roman" w:hAnsi="Times New Roman" w:cs="Times New Roman"/>
          <w:sz w:val="24"/>
        </w:rPr>
        <w:t>expected</w:t>
      </w:r>
      <w:r w:rsidRPr="00C03199">
        <w:rPr>
          <w:rFonts w:ascii="Times New Roman" w:hAnsi="Times New Roman" w:cs="Times New Roman"/>
          <w:sz w:val="24"/>
        </w:rPr>
        <w:t xml:space="preserve"> that </w:t>
      </w:r>
      <w:r w:rsidR="00F47CF2">
        <w:rPr>
          <w:rFonts w:ascii="Times New Roman" w:hAnsi="Times New Roman" w:cs="Times New Roman"/>
          <w:sz w:val="24"/>
        </w:rPr>
        <w:t>the CAR of target firms in international bids</w:t>
      </w:r>
      <w:r w:rsidRPr="00C03199">
        <w:rPr>
          <w:rFonts w:ascii="Times New Roman" w:hAnsi="Times New Roman" w:cs="Times New Roman"/>
          <w:sz w:val="24"/>
        </w:rPr>
        <w:t xml:space="preserve"> </w:t>
      </w:r>
      <w:r w:rsidR="00B323BB">
        <w:rPr>
          <w:rFonts w:ascii="Times New Roman" w:hAnsi="Times New Roman" w:cs="Times New Roman"/>
          <w:sz w:val="24"/>
        </w:rPr>
        <w:t>are</w:t>
      </w:r>
      <w:r w:rsidRPr="00C03199">
        <w:rPr>
          <w:rFonts w:ascii="Times New Roman" w:hAnsi="Times New Roman" w:cs="Times New Roman"/>
          <w:sz w:val="24"/>
        </w:rPr>
        <w:t xml:space="preserve"> affected by whether the bidder had prior European </w:t>
      </w:r>
      <w:r w:rsidR="00B323BB">
        <w:rPr>
          <w:rFonts w:ascii="Times New Roman" w:hAnsi="Times New Roman" w:cs="Times New Roman"/>
          <w:sz w:val="24"/>
        </w:rPr>
        <w:t>activities</w:t>
      </w:r>
      <w:r w:rsidRPr="00C03199">
        <w:rPr>
          <w:rFonts w:ascii="Times New Roman" w:hAnsi="Times New Roman" w:cs="Times New Roman"/>
          <w:sz w:val="24"/>
        </w:rPr>
        <w:t xml:space="preserve"> </w:t>
      </w:r>
      <w:r w:rsidR="00B323BB" w:rsidRPr="00C03199">
        <w:rPr>
          <w:rFonts w:ascii="Times New Roman" w:hAnsi="Times New Roman" w:cs="Times New Roman"/>
          <w:sz w:val="24"/>
        </w:rPr>
        <w:t xml:space="preserve">or not </w:t>
      </w:r>
      <w:r w:rsidRPr="00C03199">
        <w:rPr>
          <w:rFonts w:ascii="Times New Roman" w:hAnsi="Times New Roman" w:cs="Times New Roman"/>
          <w:sz w:val="24"/>
        </w:rPr>
        <w:t xml:space="preserve">before the announcement of the bid.  </w:t>
      </w:r>
      <w:r w:rsidR="00B323BB">
        <w:rPr>
          <w:rFonts w:ascii="Times New Roman" w:hAnsi="Times New Roman" w:cs="Times New Roman"/>
          <w:sz w:val="24"/>
        </w:rPr>
        <w:t>In the cross-sectional analysis, t</w:t>
      </w:r>
      <w:r w:rsidRPr="00C03199">
        <w:rPr>
          <w:rFonts w:ascii="Times New Roman" w:hAnsi="Times New Roman" w:cs="Times New Roman"/>
          <w:sz w:val="24"/>
        </w:rPr>
        <w:t xml:space="preserve">he dummy variable ‘No prior EU operations’ is used to </w:t>
      </w:r>
      <w:r w:rsidR="00B323BB">
        <w:rPr>
          <w:rFonts w:ascii="Times New Roman" w:hAnsi="Times New Roman" w:cs="Times New Roman"/>
          <w:sz w:val="24"/>
        </w:rPr>
        <w:t>assess</w:t>
      </w:r>
      <w:r w:rsidRPr="00C03199">
        <w:rPr>
          <w:rFonts w:ascii="Times New Roman" w:hAnsi="Times New Roman" w:cs="Times New Roman"/>
          <w:sz w:val="24"/>
        </w:rPr>
        <w:t xml:space="preserve"> </w:t>
      </w:r>
      <w:r w:rsidR="00B323BB">
        <w:rPr>
          <w:rFonts w:ascii="Times New Roman" w:hAnsi="Times New Roman" w:cs="Times New Roman"/>
          <w:sz w:val="24"/>
        </w:rPr>
        <w:t>whether</w:t>
      </w:r>
      <w:r w:rsidRPr="00C03199">
        <w:rPr>
          <w:rFonts w:ascii="Times New Roman" w:hAnsi="Times New Roman" w:cs="Times New Roman"/>
          <w:sz w:val="24"/>
        </w:rPr>
        <w:t xml:space="preserve"> target firms</w:t>
      </w:r>
      <w:r w:rsidR="004570D3" w:rsidRPr="00C03199">
        <w:rPr>
          <w:rFonts w:ascii="Times New Roman" w:hAnsi="Times New Roman" w:cs="Times New Roman"/>
          <w:sz w:val="24"/>
        </w:rPr>
        <w:t>, in cross-border deals,</w:t>
      </w:r>
      <w:r w:rsidRPr="00C03199">
        <w:rPr>
          <w:rFonts w:ascii="Times New Roman" w:hAnsi="Times New Roman" w:cs="Times New Roman"/>
          <w:sz w:val="24"/>
        </w:rPr>
        <w:t xml:space="preserve"> will earn higher </w:t>
      </w:r>
      <w:r w:rsidR="00B323BB">
        <w:rPr>
          <w:rFonts w:ascii="Times New Roman" w:hAnsi="Times New Roman" w:cs="Times New Roman"/>
          <w:sz w:val="24"/>
        </w:rPr>
        <w:t xml:space="preserve">cumulative </w:t>
      </w:r>
      <w:r w:rsidR="004570D3" w:rsidRPr="00C03199">
        <w:rPr>
          <w:rFonts w:ascii="Times New Roman" w:hAnsi="Times New Roman" w:cs="Times New Roman"/>
          <w:sz w:val="24"/>
        </w:rPr>
        <w:t xml:space="preserve">abnormal </w:t>
      </w:r>
      <w:r w:rsidRPr="00C03199">
        <w:rPr>
          <w:rFonts w:ascii="Times New Roman" w:hAnsi="Times New Roman" w:cs="Times New Roman"/>
          <w:sz w:val="24"/>
        </w:rPr>
        <w:t>returns</w:t>
      </w:r>
      <w:r w:rsidR="00B323BB">
        <w:rPr>
          <w:rFonts w:ascii="Times New Roman" w:hAnsi="Times New Roman" w:cs="Times New Roman"/>
          <w:sz w:val="24"/>
        </w:rPr>
        <w:t>,</w:t>
      </w:r>
      <w:r w:rsidRPr="00C03199">
        <w:rPr>
          <w:rFonts w:ascii="Times New Roman" w:hAnsi="Times New Roman" w:cs="Times New Roman"/>
          <w:sz w:val="24"/>
        </w:rPr>
        <w:t xml:space="preserve"> around the announcement day of the bid</w:t>
      </w:r>
      <w:r w:rsidR="00B323BB">
        <w:rPr>
          <w:rFonts w:ascii="Times New Roman" w:hAnsi="Times New Roman" w:cs="Times New Roman"/>
          <w:sz w:val="24"/>
        </w:rPr>
        <w:t>,</w:t>
      </w:r>
      <w:r w:rsidRPr="00C03199">
        <w:rPr>
          <w:rFonts w:ascii="Times New Roman" w:hAnsi="Times New Roman" w:cs="Times New Roman"/>
          <w:sz w:val="24"/>
        </w:rPr>
        <w:t xml:space="preserve"> </w:t>
      </w:r>
      <w:r w:rsidR="009C2124" w:rsidRPr="00C03199">
        <w:rPr>
          <w:rFonts w:ascii="Times New Roman" w:hAnsi="Times New Roman" w:cs="Times New Roman"/>
          <w:sz w:val="24"/>
        </w:rPr>
        <w:t>if</w:t>
      </w:r>
      <w:r w:rsidRPr="00C03199">
        <w:rPr>
          <w:rFonts w:ascii="Times New Roman" w:hAnsi="Times New Roman" w:cs="Times New Roman"/>
          <w:sz w:val="24"/>
        </w:rPr>
        <w:t xml:space="preserve"> the bidder had </w:t>
      </w:r>
      <w:r w:rsidR="004570D3" w:rsidRPr="00C03199">
        <w:rPr>
          <w:rFonts w:ascii="Times New Roman" w:hAnsi="Times New Roman" w:cs="Times New Roman"/>
          <w:sz w:val="24"/>
        </w:rPr>
        <w:t>no access to the European market</w:t>
      </w:r>
      <w:r w:rsidRPr="00C03199">
        <w:rPr>
          <w:rFonts w:ascii="Times New Roman" w:hAnsi="Times New Roman" w:cs="Times New Roman"/>
          <w:sz w:val="24"/>
        </w:rPr>
        <w:t xml:space="preserve">. The dummy variable is expected to be positive as foreign </w:t>
      </w:r>
      <w:r w:rsidR="00B323BB">
        <w:rPr>
          <w:rFonts w:ascii="Times New Roman" w:hAnsi="Times New Roman" w:cs="Times New Roman"/>
          <w:sz w:val="24"/>
        </w:rPr>
        <w:t>acquirers</w:t>
      </w:r>
      <w:r w:rsidRPr="00C03199">
        <w:rPr>
          <w:rFonts w:ascii="Times New Roman" w:hAnsi="Times New Roman" w:cs="Times New Roman"/>
          <w:sz w:val="24"/>
        </w:rPr>
        <w:t xml:space="preserve"> with no access to the European market are willing to pay </w:t>
      </w:r>
      <w:r w:rsidR="00DB7ABB">
        <w:rPr>
          <w:rFonts w:ascii="Times New Roman" w:hAnsi="Times New Roman" w:cs="Times New Roman"/>
          <w:sz w:val="24"/>
        </w:rPr>
        <w:t xml:space="preserve">a </w:t>
      </w:r>
      <w:r w:rsidRPr="00C03199">
        <w:rPr>
          <w:rFonts w:ascii="Times New Roman" w:hAnsi="Times New Roman" w:cs="Times New Roman"/>
          <w:sz w:val="24"/>
        </w:rPr>
        <w:t xml:space="preserve">higher premium for market access. </w:t>
      </w:r>
    </w:p>
    <w:p w14:paraId="5F9BD0D1" w14:textId="09CAB912" w:rsidR="0024206F" w:rsidRDefault="003A1311" w:rsidP="0024206F">
      <w:pPr>
        <w:tabs>
          <w:tab w:val="left" w:pos="1052"/>
        </w:tabs>
        <w:spacing w:after="0" w:line="360" w:lineRule="auto"/>
        <w:ind w:firstLine="284"/>
        <w:jc w:val="both"/>
        <w:rPr>
          <w:rFonts w:ascii="Times New Roman" w:hAnsi="Times New Roman" w:cs="Times New Roman"/>
          <w:sz w:val="24"/>
        </w:rPr>
      </w:pPr>
      <w:r w:rsidRPr="00C03199">
        <w:rPr>
          <w:rFonts w:ascii="Times New Roman" w:hAnsi="Times New Roman" w:cs="Times New Roman"/>
          <w:sz w:val="24"/>
        </w:rPr>
        <w:t xml:space="preserve">As </w:t>
      </w:r>
      <w:r w:rsidR="00B323BB">
        <w:rPr>
          <w:rFonts w:ascii="Times New Roman" w:hAnsi="Times New Roman" w:cs="Times New Roman"/>
          <w:sz w:val="24"/>
        </w:rPr>
        <w:t>shown</w:t>
      </w:r>
      <w:r w:rsidRPr="00C03199">
        <w:rPr>
          <w:rFonts w:ascii="Times New Roman" w:hAnsi="Times New Roman" w:cs="Times New Roman"/>
          <w:sz w:val="24"/>
        </w:rPr>
        <w:t xml:space="preserve"> in table 3, the coefficient for the dummy variable ‘No prior EU operations’ is positive and significant, at 5% statistical significance levels, for the CAR between day </w:t>
      </w:r>
      <w:r w:rsidR="004570D3" w:rsidRPr="00C03199">
        <w:rPr>
          <w:rFonts w:ascii="Times New Roman" w:hAnsi="Times New Roman" w:cs="Times New Roman"/>
          <w:sz w:val="24"/>
        </w:rPr>
        <w:t>t</w:t>
      </w:r>
      <w:r w:rsidRPr="00C03199">
        <w:rPr>
          <w:rFonts w:ascii="Times New Roman" w:hAnsi="Times New Roman" w:cs="Times New Roman"/>
          <w:sz w:val="24"/>
        </w:rPr>
        <w:t xml:space="preserve">0 and </w:t>
      </w:r>
      <w:r w:rsidR="004570D3" w:rsidRPr="00C03199">
        <w:rPr>
          <w:rFonts w:ascii="Times New Roman" w:hAnsi="Times New Roman" w:cs="Times New Roman"/>
          <w:sz w:val="24"/>
        </w:rPr>
        <w:t>t</w:t>
      </w:r>
      <w:r w:rsidRPr="00C03199">
        <w:rPr>
          <w:rFonts w:ascii="Times New Roman" w:hAnsi="Times New Roman" w:cs="Times New Roman"/>
          <w:sz w:val="24"/>
        </w:rPr>
        <w:t xml:space="preserve">+1; however, </w:t>
      </w:r>
      <w:r w:rsidRPr="00C03199">
        <w:rPr>
          <w:rFonts w:ascii="Times New Roman" w:hAnsi="Times New Roman" w:cs="Times New Roman"/>
          <w:sz w:val="24"/>
        </w:rPr>
        <w:lastRenderedPageBreak/>
        <w:t>it is positive but insignificant for the second event window. The output suggest</w:t>
      </w:r>
      <w:r w:rsidR="004F0A10">
        <w:rPr>
          <w:rFonts w:ascii="Times New Roman" w:hAnsi="Times New Roman" w:cs="Times New Roman"/>
          <w:sz w:val="24"/>
        </w:rPr>
        <w:t>s</w:t>
      </w:r>
      <w:r w:rsidRPr="00C03199">
        <w:rPr>
          <w:rFonts w:ascii="Times New Roman" w:hAnsi="Times New Roman" w:cs="Times New Roman"/>
          <w:sz w:val="24"/>
        </w:rPr>
        <w:t xml:space="preserve"> that </w:t>
      </w:r>
      <w:r w:rsidR="0013678E" w:rsidRPr="00C03199">
        <w:rPr>
          <w:rFonts w:ascii="Times New Roman" w:hAnsi="Times New Roman" w:cs="Times New Roman"/>
          <w:sz w:val="24"/>
        </w:rPr>
        <w:t xml:space="preserve">Western European target </w:t>
      </w:r>
      <w:r w:rsidR="00B323BB">
        <w:rPr>
          <w:rFonts w:ascii="Times New Roman" w:hAnsi="Times New Roman" w:cs="Times New Roman"/>
          <w:sz w:val="24"/>
        </w:rPr>
        <w:t>companies</w:t>
      </w:r>
      <w:r w:rsidR="009C2124" w:rsidRPr="00C03199">
        <w:rPr>
          <w:rFonts w:ascii="Times New Roman" w:hAnsi="Times New Roman" w:cs="Times New Roman"/>
          <w:sz w:val="24"/>
        </w:rPr>
        <w:t xml:space="preserve">, in cross-border </w:t>
      </w:r>
      <w:r w:rsidR="00B323BB">
        <w:rPr>
          <w:rFonts w:ascii="Times New Roman" w:hAnsi="Times New Roman" w:cs="Times New Roman"/>
          <w:sz w:val="24"/>
        </w:rPr>
        <w:t>deals</w:t>
      </w:r>
      <w:r w:rsidR="009C2124" w:rsidRPr="00C03199">
        <w:rPr>
          <w:rFonts w:ascii="Times New Roman" w:hAnsi="Times New Roman" w:cs="Times New Roman"/>
          <w:sz w:val="24"/>
        </w:rPr>
        <w:t>,</w:t>
      </w:r>
      <w:r w:rsidR="0013678E" w:rsidRPr="00C03199">
        <w:rPr>
          <w:rFonts w:ascii="Times New Roman" w:hAnsi="Times New Roman" w:cs="Times New Roman"/>
          <w:sz w:val="24"/>
        </w:rPr>
        <w:t xml:space="preserve"> will </w:t>
      </w:r>
      <w:r w:rsidR="00B323BB">
        <w:rPr>
          <w:rFonts w:ascii="Times New Roman" w:hAnsi="Times New Roman" w:cs="Times New Roman"/>
          <w:sz w:val="24"/>
        </w:rPr>
        <w:t>reap</w:t>
      </w:r>
      <w:r w:rsidR="0013678E" w:rsidRPr="00C03199">
        <w:rPr>
          <w:rFonts w:ascii="Times New Roman" w:hAnsi="Times New Roman" w:cs="Times New Roman"/>
          <w:sz w:val="24"/>
        </w:rPr>
        <w:t xml:space="preserve"> 15.10% higher </w:t>
      </w:r>
      <w:r w:rsidR="00B323BB">
        <w:rPr>
          <w:rFonts w:ascii="Times New Roman" w:hAnsi="Times New Roman" w:cs="Times New Roman"/>
          <w:sz w:val="24"/>
        </w:rPr>
        <w:t>CAR</w:t>
      </w:r>
      <w:r w:rsidR="0013678E" w:rsidRPr="00C03199">
        <w:rPr>
          <w:rFonts w:ascii="Times New Roman" w:hAnsi="Times New Roman" w:cs="Times New Roman"/>
          <w:sz w:val="24"/>
        </w:rPr>
        <w:t>, in the day of and post to the bid announcement, when ac</w:t>
      </w:r>
      <w:r w:rsidR="00FA6651">
        <w:rPr>
          <w:rFonts w:ascii="Times New Roman" w:hAnsi="Times New Roman" w:cs="Times New Roman"/>
          <w:sz w:val="24"/>
        </w:rPr>
        <w:t xml:space="preserve">quired by bidders with no than with prior </w:t>
      </w:r>
      <w:r w:rsidR="0013678E" w:rsidRPr="00C03199">
        <w:rPr>
          <w:rFonts w:ascii="Times New Roman" w:hAnsi="Times New Roman" w:cs="Times New Roman"/>
          <w:sz w:val="24"/>
        </w:rPr>
        <w:t>EU operations. After controlling for industry and target nation effects</w:t>
      </w:r>
      <w:r w:rsidR="00BB611C" w:rsidRPr="00C03199">
        <w:rPr>
          <w:rFonts w:ascii="Times New Roman" w:hAnsi="Times New Roman" w:cs="Times New Roman"/>
          <w:sz w:val="24"/>
        </w:rPr>
        <w:t xml:space="preserve"> (in the first event window)</w:t>
      </w:r>
      <w:r w:rsidR="0013678E" w:rsidRPr="00C03199">
        <w:rPr>
          <w:rFonts w:ascii="Times New Roman" w:hAnsi="Times New Roman" w:cs="Times New Roman"/>
          <w:sz w:val="24"/>
        </w:rPr>
        <w:t xml:space="preserve">, the coefficient is significant not at </w:t>
      </w:r>
      <w:r w:rsidR="004F0A10">
        <w:rPr>
          <w:rFonts w:ascii="Times New Roman" w:hAnsi="Times New Roman" w:cs="Times New Roman"/>
          <w:sz w:val="24"/>
        </w:rPr>
        <w:t xml:space="preserve">a </w:t>
      </w:r>
      <w:r w:rsidR="0013678E" w:rsidRPr="00C03199">
        <w:rPr>
          <w:rFonts w:ascii="Times New Roman" w:hAnsi="Times New Roman" w:cs="Times New Roman"/>
          <w:sz w:val="24"/>
        </w:rPr>
        <w:t xml:space="preserve">5% but at </w:t>
      </w:r>
      <w:r w:rsidR="004F0A10">
        <w:rPr>
          <w:rFonts w:ascii="Times New Roman" w:hAnsi="Times New Roman" w:cs="Times New Roman"/>
          <w:sz w:val="24"/>
        </w:rPr>
        <w:t xml:space="preserve">a </w:t>
      </w:r>
      <w:r w:rsidR="0013678E" w:rsidRPr="00C03199">
        <w:rPr>
          <w:rFonts w:ascii="Times New Roman" w:hAnsi="Times New Roman" w:cs="Times New Roman"/>
          <w:sz w:val="24"/>
        </w:rPr>
        <w:t>10% statistical significance level and slightly lower in</w:t>
      </w:r>
      <w:r w:rsidR="0024206F">
        <w:rPr>
          <w:rFonts w:ascii="Times New Roman" w:hAnsi="Times New Roman" w:cs="Times New Roman"/>
          <w:sz w:val="24"/>
        </w:rPr>
        <w:t xml:space="preserve"> magnitude</w:t>
      </w:r>
      <w:r w:rsidR="00FA6651">
        <w:rPr>
          <w:rFonts w:ascii="Times New Roman" w:hAnsi="Times New Roman" w:cs="Times New Roman"/>
          <w:sz w:val="24"/>
        </w:rPr>
        <w:t>, 14.5%</w:t>
      </w:r>
      <w:r w:rsidR="0024206F">
        <w:rPr>
          <w:rFonts w:ascii="Times New Roman" w:hAnsi="Times New Roman" w:cs="Times New Roman"/>
          <w:sz w:val="24"/>
        </w:rPr>
        <w:t xml:space="preserve">. Based on the output </w:t>
      </w:r>
      <w:r w:rsidR="0024206F" w:rsidRPr="00C03199">
        <w:rPr>
          <w:rFonts w:ascii="Times New Roman" w:hAnsi="Times New Roman" w:cs="Times New Roman"/>
          <w:sz w:val="24"/>
        </w:rPr>
        <w:t xml:space="preserve">in table 3, the null hypothesis of the third hypothesis is rejected, and the regression output </w:t>
      </w:r>
      <w:r w:rsidR="00B323BB">
        <w:rPr>
          <w:rFonts w:ascii="Times New Roman" w:hAnsi="Times New Roman" w:cs="Times New Roman"/>
          <w:sz w:val="24"/>
        </w:rPr>
        <w:t>implies</w:t>
      </w:r>
      <w:r w:rsidR="0024206F" w:rsidRPr="00C03199">
        <w:rPr>
          <w:rFonts w:ascii="Times New Roman" w:hAnsi="Times New Roman" w:cs="Times New Roman"/>
          <w:sz w:val="24"/>
        </w:rPr>
        <w:t xml:space="preserve"> that </w:t>
      </w:r>
      <w:r w:rsidR="0024206F">
        <w:rPr>
          <w:rFonts w:ascii="Times New Roman" w:hAnsi="Times New Roman" w:cs="Times New Roman"/>
          <w:sz w:val="24"/>
        </w:rPr>
        <w:t xml:space="preserve">the </w:t>
      </w:r>
      <w:r w:rsidR="0024206F" w:rsidRPr="00C03199">
        <w:rPr>
          <w:rFonts w:ascii="Times New Roman" w:hAnsi="Times New Roman" w:cs="Times New Roman"/>
          <w:sz w:val="24"/>
        </w:rPr>
        <w:t xml:space="preserve">market access hypothesis is a possible driver for the target firm cross-border effect. </w:t>
      </w:r>
    </w:p>
    <w:p w14:paraId="37DA167C" w14:textId="77777777" w:rsidR="0024206F" w:rsidRDefault="0024206F" w:rsidP="0024206F">
      <w:pPr>
        <w:tabs>
          <w:tab w:val="left" w:pos="1052"/>
        </w:tabs>
        <w:spacing w:after="0" w:line="360" w:lineRule="auto"/>
        <w:jc w:val="both"/>
        <w:rPr>
          <w:rFonts w:ascii="Times New Roman" w:hAnsi="Times New Roman" w:cs="Times New Roman"/>
          <w:sz w:val="24"/>
        </w:rPr>
      </w:pPr>
    </w:p>
    <w:p w14:paraId="0E546D26" w14:textId="0CD613B7" w:rsidR="00CC6B17" w:rsidRDefault="0024206F" w:rsidP="00CC6B17">
      <w:pPr>
        <w:tabs>
          <w:tab w:val="left" w:pos="1052"/>
        </w:tabs>
        <w:spacing w:after="0" w:line="360" w:lineRule="auto"/>
        <w:jc w:val="both"/>
        <w:rPr>
          <w:rFonts w:ascii="Times New Roman" w:hAnsi="Times New Roman" w:cs="Times New Roman"/>
          <w:sz w:val="24"/>
        </w:rPr>
      </w:pPr>
      <w:r w:rsidRPr="00C03199">
        <w:rPr>
          <w:rFonts w:ascii="Times New Roman" w:hAnsi="Times New Roman" w:cs="Times New Roman"/>
          <w:i/>
          <w:sz w:val="24"/>
        </w:rPr>
        <w:t xml:space="preserve">Robustness checks. </w:t>
      </w:r>
      <w:r w:rsidRPr="00C03199">
        <w:rPr>
          <w:rFonts w:ascii="Times New Roman" w:hAnsi="Times New Roman" w:cs="Times New Roman"/>
          <w:sz w:val="24"/>
        </w:rPr>
        <w:t xml:space="preserve">Table 5 in the appendix reports the output when UK target firms are </w:t>
      </w:r>
      <w:r w:rsidR="00B323BB">
        <w:rPr>
          <w:rFonts w:ascii="Times New Roman" w:hAnsi="Times New Roman" w:cs="Times New Roman"/>
          <w:sz w:val="24"/>
        </w:rPr>
        <w:t>extracted</w:t>
      </w:r>
      <w:r w:rsidRPr="00C03199">
        <w:rPr>
          <w:rFonts w:ascii="Times New Roman" w:hAnsi="Times New Roman" w:cs="Times New Roman"/>
          <w:sz w:val="24"/>
        </w:rPr>
        <w:t xml:space="preserve"> from the </w:t>
      </w:r>
      <w:r w:rsidR="00B323BB">
        <w:rPr>
          <w:rFonts w:ascii="Times New Roman" w:hAnsi="Times New Roman" w:cs="Times New Roman"/>
          <w:sz w:val="24"/>
        </w:rPr>
        <w:t>data</w:t>
      </w:r>
      <w:r w:rsidRPr="00C03199">
        <w:rPr>
          <w:rFonts w:ascii="Times New Roman" w:hAnsi="Times New Roman" w:cs="Times New Roman"/>
          <w:sz w:val="24"/>
        </w:rPr>
        <w:t>. As can be seen, the coefficient for ‘No prior EU operation’ is insignificant yet still positive; however, for the first event window, it decreased significantly from 15.1% to 2.3%.</w:t>
      </w:r>
      <w:r w:rsidR="00FA6651">
        <w:rPr>
          <w:rFonts w:ascii="Times New Roman" w:hAnsi="Times New Roman" w:cs="Times New Roman"/>
          <w:sz w:val="24"/>
        </w:rPr>
        <w:t xml:space="preserve"> Possible explanations are either that only UK target firms gain a market access premium or the sample is too small, 213 observations, to draw any significant results from. </w:t>
      </w:r>
      <w:r w:rsidR="00CC6B17" w:rsidRPr="00C03199">
        <w:rPr>
          <w:rFonts w:ascii="Times New Roman" w:hAnsi="Times New Roman" w:cs="Times New Roman"/>
          <w:sz w:val="24"/>
        </w:rPr>
        <w:t xml:space="preserve">A possible explanation for the insignificance and lower magnitude of the coefficient is that UK target firms are the driving force for the market access hypothesis. Another possible explanation is that the remaining sample, which is just 213 target firms, is too small to draw </w:t>
      </w:r>
      <w:r w:rsidR="00CC6B17">
        <w:rPr>
          <w:rFonts w:ascii="Times New Roman" w:hAnsi="Times New Roman" w:cs="Times New Roman"/>
          <w:sz w:val="24"/>
        </w:rPr>
        <w:t xml:space="preserve">a </w:t>
      </w:r>
      <w:r w:rsidR="00CC6B17" w:rsidRPr="00C03199">
        <w:rPr>
          <w:rFonts w:ascii="Times New Roman" w:hAnsi="Times New Roman" w:cs="Times New Roman"/>
          <w:sz w:val="24"/>
        </w:rPr>
        <w:t>significant conclusion.</w:t>
      </w:r>
    </w:p>
    <w:p w14:paraId="16B17D5C" w14:textId="77777777" w:rsidR="00CC6B17" w:rsidRDefault="00CC6B17" w:rsidP="00CC6B17">
      <w:pPr>
        <w:tabs>
          <w:tab w:val="left" w:pos="1052"/>
        </w:tabs>
        <w:spacing w:after="0" w:line="360" w:lineRule="auto"/>
        <w:jc w:val="both"/>
        <w:rPr>
          <w:rFonts w:ascii="Times New Roman" w:hAnsi="Times New Roman" w:cs="Times New Roman"/>
          <w:sz w:val="24"/>
        </w:rPr>
      </w:pPr>
    </w:p>
    <w:p w14:paraId="32230093" w14:textId="77777777" w:rsidR="00CC6B17" w:rsidRPr="00C03199" w:rsidRDefault="00CC6B17" w:rsidP="00CC6B17">
      <w:pPr>
        <w:tabs>
          <w:tab w:val="left" w:pos="1052"/>
        </w:tabs>
        <w:spacing w:after="120" w:line="360" w:lineRule="auto"/>
        <w:jc w:val="both"/>
        <w:rPr>
          <w:rFonts w:ascii="Times New Roman" w:hAnsi="Times New Roman" w:cs="Times New Roman"/>
          <w:i/>
          <w:sz w:val="24"/>
        </w:rPr>
      </w:pPr>
      <w:r w:rsidRPr="00C03199">
        <w:rPr>
          <w:rFonts w:ascii="Times New Roman" w:hAnsi="Times New Roman" w:cs="Times New Roman"/>
          <w:i/>
          <w:sz w:val="24"/>
        </w:rPr>
        <w:t>5.4.3 Exchange rate hypothesis</w:t>
      </w:r>
    </w:p>
    <w:p w14:paraId="1406DC64" w14:textId="52F932F9" w:rsidR="00B85E24" w:rsidRPr="00CC6B17" w:rsidRDefault="00CC6B17" w:rsidP="00CC6B17">
      <w:pPr>
        <w:tabs>
          <w:tab w:val="left" w:pos="1052"/>
        </w:tabs>
        <w:spacing w:after="0" w:line="360" w:lineRule="auto"/>
        <w:jc w:val="both"/>
        <w:rPr>
          <w:rFonts w:ascii="Times New Roman" w:hAnsi="Times New Roman" w:cs="Times New Roman"/>
          <w:sz w:val="24"/>
        </w:rPr>
      </w:pPr>
      <w:r w:rsidRPr="00C03199">
        <w:rPr>
          <w:rFonts w:ascii="Times New Roman" w:hAnsi="Times New Roman" w:cs="Times New Roman"/>
          <w:sz w:val="24"/>
        </w:rPr>
        <w:t xml:space="preserve"> The fourth hypothesis of this paper is inspired by the exchange rate hypothesis, which implies that target firms in </w:t>
      </w:r>
      <w:r w:rsidR="0064429A">
        <w:rPr>
          <w:rFonts w:ascii="Times New Roman" w:hAnsi="Times New Roman" w:cs="Times New Roman"/>
          <w:sz w:val="24"/>
        </w:rPr>
        <w:t>international bids</w:t>
      </w:r>
      <w:r w:rsidRPr="00C03199">
        <w:rPr>
          <w:rFonts w:ascii="Times New Roman" w:hAnsi="Times New Roman" w:cs="Times New Roman"/>
          <w:sz w:val="24"/>
        </w:rPr>
        <w:t xml:space="preserve"> will reap higher </w:t>
      </w:r>
      <w:r w:rsidR="0064429A">
        <w:rPr>
          <w:rFonts w:ascii="Times New Roman" w:hAnsi="Times New Roman" w:cs="Times New Roman"/>
          <w:sz w:val="24"/>
        </w:rPr>
        <w:t>CAR</w:t>
      </w:r>
      <w:r w:rsidRPr="00C03199">
        <w:rPr>
          <w:rFonts w:ascii="Times New Roman" w:hAnsi="Times New Roman" w:cs="Times New Roman"/>
          <w:sz w:val="24"/>
        </w:rPr>
        <w:t xml:space="preserve"> the lower their currency </w:t>
      </w:r>
      <w:r w:rsidR="0064429A">
        <w:rPr>
          <w:rFonts w:ascii="Times New Roman" w:hAnsi="Times New Roman" w:cs="Times New Roman"/>
          <w:sz w:val="24"/>
        </w:rPr>
        <w:t xml:space="preserve">is </w:t>
      </w:r>
      <w:r w:rsidRPr="00C03199">
        <w:rPr>
          <w:rFonts w:ascii="Times New Roman" w:hAnsi="Times New Roman" w:cs="Times New Roman"/>
          <w:sz w:val="24"/>
        </w:rPr>
        <w:t xml:space="preserve">relative to </w:t>
      </w:r>
      <w:r w:rsidR="0064429A">
        <w:rPr>
          <w:rFonts w:ascii="Times New Roman" w:hAnsi="Times New Roman" w:cs="Times New Roman"/>
          <w:sz w:val="24"/>
        </w:rPr>
        <w:t>that</w:t>
      </w:r>
      <w:r w:rsidRPr="00C03199">
        <w:rPr>
          <w:rFonts w:ascii="Times New Roman" w:hAnsi="Times New Roman" w:cs="Times New Roman"/>
          <w:sz w:val="24"/>
        </w:rPr>
        <w:t xml:space="preserve"> of the </w:t>
      </w:r>
      <w:r w:rsidR="0064429A">
        <w:rPr>
          <w:rFonts w:ascii="Times New Roman" w:hAnsi="Times New Roman" w:cs="Times New Roman"/>
          <w:sz w:val="24"/>
        </w:rPr>
        <w:t>acquirer</w:t>
      </w:r>
      <w:r w:rsidRPr="00C03199">
        <w:rPr>
          <w:rFonts w:ascii="Times New Roman" w:hAnsi="Times New Roman" w:cs="Times New Roman"/>
          <w:sz w:val="24"/>
        </w:rPr>
        <w:t xml:space="preserve">. It can be </w:t>
      </w:r>
      <w:r w:rsidR="0064429A">
        <w:rPr>
          <w:rFonts w:ascii="Times New Roman" w:hAnsi="Times New Roman" w:cs="Times New Roman"/>
          <w:sz w:val="24"/>
        </w:rPr>
        <w:t>expected</w:t>
      </w:r>
      <w:r w:rsidRPr="00C03199">
        <w:rPr>
          <w:rFonts w:ascii="Times New Roman" w:hAnsi="Times New Roman" w:cs="Times New Roman"/>
          <w:sz w:val="24"/>
        </w:rPr>
        <w:t xml:space="preserve"> that Western European target firms will reap higher returns the lower the Euro (Sterling for UK target firms) relative to acquirer’s currency; to test this hypothesis a continuous variable ‘Exchange Rate’, which reports the two-year, prior to the bid, average exchange rate of </w:t>
      </w:r>
      <w:r w:rsidR="0064429A">
        <w:rPr>
          <w:rFonts w:ascii="Times New Roman" w:hAnsi="Times New Roman" w:cs="Times New Roman"/>
          <w:sz w:val="24"/>
        </w:rPr>
        <w:t>bidder’s</w:t>
      </w:r>
      <w:r w:rsidRPr="00C03199">
        <w:rPr>
          <w:rFonts w:ascii="Times New Roman" w:hAnsi="Times New Roman" w:cs="Times New Roman"/>
          <w:sz w:val="24"/>
        </w:rPr>
        <w:t xml:space="preserve"> currency to target’s currency, is </w:t>
      </w:r>
      <w:r w:rsidR="008031A4">
        <w:rPr>
          <w:rFonts w:ascii="Times New Roman" w:hAnsi="Times New Roman" w:cs="Times New Roman"/>
          <w:sz w:val="24"/>
        </w:rPr>
        <w:t>adopted</w:t>
      </w:r>
      <w:r w:rsidRPr="00C03199">
        <w:rPr>
          <w:rFonts w:ascii="Times New Roman" w:hAnsi="Times New Roman" w:cs="Times New Roman"/>
          <w:sz w:val="24"/>
        </w:rPr>
        <w:t xml:space="preserve"> to explain the cumulative abnormal returns target firms reap around the announcement day. </w:t>
      </w:r>
      <w:r w:rsidR="008031A4" w:rsidRPr="008031A4">
        <w:rPr>
          <w:rFonts w:ascii="Times New Roman" w:hAnsi="Times New Roman" w:cs="Times New Roman"/>
          <w:sz w:val="24"/>
        </w:rPr>
        <w:t>The coefficient for the variable ' Exchange Rate ' is somewhat puzzling, as displayed in table 3.</w:t>
      </w:r>
      <w:r w:rsidRPr="00C03199">
        <w:rPr>
          <w:rFonts w:ascii="Times New Roman" w:hAnsi="Times New Roman" w:cs="Times New Roman"/>
          <w:sz w:val="24"/>
        </w:rPr>
        <w:t xml:space="preserve"> It is found to be positive for CAR (0, +1) but negative for CAR (-1, +5); in addition, it is only statistically</w:t>
      </w:r>
      <w:r w:rsidRPr="00CC6B17">
        <w:rPr>
          <w:rFonts w:ascii="Times New Roman" w:hAnsi="Times New Roman" w:cs="Times New Roman"/>
          <w:sz w:val="24"/>
        </w:rPr>
        <w:t xml:space="preserve"> </w:t>
      </w:r>
      <w:r w:rsidRPr="00C03199">
        <w:rPr>
          <w:rFonts w:ascii="Times New Roman" w:hAnsi="Times New Roman" w:cs="Times New Roman"/>
          <w:sz w:val="24"/>
        </w:rPr>
        <w:t xml:space="preserve">significant, at </w:t>
      </w:r>
      <w:r>
        <w:rPr>
          <w:rFonts w:ascii="Times New Roman" w:hAnsi="Times New Roman" w:cs="Times New Roman"/>
          <w:sz w:val="24"/>
        </w:rPr>
        <w:t xml:space="preserve">a </w:t>
      </w:r>
      <w:r w:rsidRPr="00C03199">
        <w:rPr>
          <w:rFonts w:ascii="Times New Roman" w:hAnsi="Times New Roman" w:cs="Times New Roman"/>
          <w:sz w:val="24"/>
        </w:rPr>
        <w:t>10% statistical significance level, for CAR (0, +1);</w:t>
      </w:r>
      <w:r w:rsidRPr="00CC6B17">
        <w:rPr>
          <w:rFonts w:ascii="Times New Roman" w:hAnsi="Times New Roman" w:cs="Times New Roman"/>
          <w:sz w:val="24"/>
        </w:rPr>
        <w:t xml:space="preserve"> </w:t>
      </w:r>
      <w:r w:rsidRPr="00C03199">
        <w:rPr>
          <w:rFonts w:ascii="Times New Roman" w:hAnsi="Times New Roman" w:cs="Times New Roman"/>
          <w:sz w:val="24"/>
        </w:rPr>
        <w:t>however, after</w:t>
      </w:r>
      <w:r w:rsidR="00B85E24" w:rsidRPr="00B85E24">
        <w:rPr>
          <w:rFonts w:ascii="Times New Roman" w:hAnsi="Times New Roman" w:cs="Times New Roman"/>
          <w:sz w:val="24"/>
        </w:rPr>
        <w:t xml:space="preserve"> </w:t>
      </w:r>
      <w:r w:rsidR="00B85E24" w:rsidRPr="00C03199">
        <w:rPr>
          <w:rFonts w:ascii="Times New Roman" w:hAnsi="Times New Roman" w:cs="Times New Roman"/>
          <w:sz w:val="24"/>
        </w:rPr>
        <w:t xml:space="preserve">controlling for target industry and nation effects, it is no longer statistically significant from zero.  The positive (negative) coefficient implies that Western European target firms will gain slightly higher (lower) cumulative abnormal </w:t>
      </w:r>
    </w:p>
    <w:p w14:paraId="1EE0853B" w14:textId="49B2D09E" w:rsidR="006C0D68" w:rsidRPr="00C03199" w:rsidRDefault="00CC6B17" w:rsidP="0024206F">
      <w:pPr>
        <w:tabs>
          <w:tab w:val="left" w:pos="1052"/>
        </w:tabs>
        <w:spacing w:after="120" w:line="276" w:lineRule="auto"/>
        <w:jc w:val="center"/>
        <w:rPr>
          <w:rFonts w:ascii="Times New Roman" w:hAnsi="Times New Roman" w:cs="Times New Roman"/>
          <w:i/>
          <w:sz w:val="24"/>
        </w:rPr>
      </w:pPr>
      <w:r>
        <w:rPr>
          <w:rFonts w:ascii="Times New Roman" w:hAnsi="Times New Roman" w:cs="Times New Roman"/>
        </w:rPr>
        <w:lastRenderedPageBreak/>
        <w:t>T</w:t>
      </w:r>
      <w:r w:rsidR="006C0D68" w:rsidRPr="00C03199">
        <w:rPr>
          <w:rFonts w:ascii="Times New Roman" w:hAnsi="Times New Roman" w:cs="Times New Roman"/>
        </w:rPr>
        <w:t>able 3</w:t>
      </w:r>
    </w:p>
    <w:p w14:paraId="2663E846" w14:textId="79B037AE" w:rsidR="006C0D68" w:rsidRPr="00C03199" w:rsidRDefault="008031A4" w:rsidP="008031A4">
      <w:pPr>
        <w:tabs>
          <w:tab w:val="left" w:pos="1052"/>
        </w:tabs>
        <w:spacing w:after="120" w:line="276" w:lineRule="auto"/>
        <w:jc w:val="center"/>
        <w:rPr>
          <w:rFonts w:ascii="Times New Roman" w:hAnsi="Times New Roman" w:cs="Times New Roman"/>
        </w:rPr>
      </w:pPr>
      <w:r w:rsidRPr="008031A4">
        <w:rPr>
          <w:rFonts w:ascii="Times New Roman" w:hAnsi="Times New Roman" w:cs="Times New Roman"/>
        </w:rPr>
        <w:t>Cross-border target firms’ cross-sectional analysis</w:t>
      </w:r>
    </w:p>
    <w:p w14:paraId="23A4DEF4" w14:textId="42FE6B5A" w:rsidR="006C0D68" w:rsidRPr="00C03199" w:rsidRDefault="008031A4" w:rsidP="00D34A27">
      <w:pPr>
        <w:widowControl w:val="0"/>
        <w:autoSpaceDE w:val="0"/>
        <w:autoSpaceDN w:val="0"/>
        <w:adjustRightInd w:val="0"/>
        <w:spacing w:after="0" w:line="276" w:lineRule="auto"/>
        <w:jc w:val="both"/>
        <w:rPr>
          <w:rFonts w:ascii="Times New Roman" w:hAnsi="Times New Roman" w:cs="Times New Roman"/>
        </w:rPr>
      </w:pPr>
      <w:r w:rsidRPr="008031A4">
        <w:rPr>
          <w:rFonts w:ascii="Times New Roman" w:hAnsi="Times New Roman" w:cs="Times New Roman"/>
        </w:rPr>
        <w:t xml:space="preserve">This table presents the </w:t>
      </w:r>
      <w:r w:rsidR="00173656">
        <w:rPr>
          <w:rFonts w:ascii="Times New Roman" w:hAnsi="Times New Roman" w:cs="Times New Roman"/>
        </w:rPr>
        <w:t>results of the regressions</w:t>
      </w:r>
      <w:r w:rsidRPr="008031A4">
        <w:rPr>
          <w:rFonts w:ascii="Times New Roman" w:hAnsi="Times New Roman" w:cs="Times New Roman"/>
        </w:rPr>
        <w:t xml:space="preserve"> </w:t>
      </w:r>
      <w:r w:rsidR="00CD59B8">
        <w:rPr>
          <w:rFonts w:ascii="Times New Roman" w:hAnsi="Times New Roman" w:cs="Times New Roman"/>
        </w:rPr>
        <w:t>for</w:t>
      </w:r>
      <w:r w:rsidRPr="008031A4">
        <w:rPr>
          <w:rFonts w:ascii="Times New Roman" w:hAnsi="Times New Roman" w:cs="Times New Roman"/>
        </w:rPr>
        <w:t xml:space="preserve"> </w:t>
      </w:r>
      <w:r w:rsidR="00173656">
        <w:rPr>
          <w:rFonts w:ascii="Times New Roman" w:hAnsi="Times New Roman" w:cs="Times New Roman"/>
        </w:rPr>
        <w:t xml:space="preserve">the </w:t>
      </w:r>
      <w:r w:rsidRPr="008031A4">
        <w:rPr>
          <w:rFonts w:ascii="Times New Roman" w:hAnsi="Times New Roman" w:cs="Times New Roman"/>
        </w:rPr>
        <w:t xml:space="preserve">cumulative abnormal returns to </w:t>
      </w:r>
      <w:r w:rsidR="00173656">
        <w:rPr>
          <w:rFonts w:ascii="Times New Roman" w:hAnsi="Times New Roman" w:cs="Times New Roman"/>
        </w:rPr>
        <w:t>the shareholders of target firms in cross-border deals</w:t>
      </w:r>
      <w:r w:rsidRPr="008031A4">
        <w:rPr>
          <w:rFonts w:ascii="Times New Roman" w:hAnsi="Times New Roman" w:cs="Times New Roman"/>
        </w:rPr>
        <w:t xml:space="preserve"> in ten distinct European countries</w:t>
      </w:r>
      <w:r w:rsidR="006C0D68" w:rsidRPr="00C03199">
        <w:rPr>
          <w:rFonts w:ascii="Times New Roman" w:hAnsi="Times New Roman" w:cs="Times New Roman"/>
        </w:rPr>
        <w:t xml:space="preserve">. OLS regressions, adjusted for heteroskedasticity, are used to generate the following output. </w:t>
      </w:r>
      <w:r w:rsidR="00CD59B8">
        <w:rPr>
          <w:rFonts w:ascii="Times New Roman" w:hAnsi="Times New Roman" w:cs="Times New Roman"/>
        </w:rPr>
        <w:t>All details of the variables’</w:t>
      </w:r>
      <w:r w:rsidRPr="008031A4">
        <w:rPr>
          <w:rFonts w:ascii="Times New Roman" w:hAnsi="Times New Roman" w:cs="Times New Roman"/>
        </w:rPr>
        <w:t xml:space="preserve"> definition, type, calculation, and source are desc</w:t>
      </w:r>
      <w:r>
        <w:rPr>
          <w:rFonts w:ascii="Times New Roman" w:hAnsi="Times New Roman" w:cs="Times New Roman"/>
        </w:rPr>
        <w:t>ribed in the appendix, section “A”</w:t>
      </w:r>
      <w:r w:rsidRPr="008031A4">
        <w:rPr>
          <w:rFonts w:ascii="Times New Roman" w:hAnsi="Times New Roman" w:cs="Times New Roman"/>
        </w:rPr>
        <w:t xml:space="preserve">. </w:t>
      </w:r>
      <w:r w:rsidR="000024A9">
        <w:rPr>
          <w:rFonts w:ascii="Times New Roman" w:hAnsi="Times New Roman" w:cs="Times New Roman"/>
        </w:rPr>
        <w:t xml:space="preserve"> The constant of the regressions is removed to adjust for collinearity</w:t>
      </w:r>
      <w:r w:rsidR="0058652C" w:rsidRPr="00C03199">
        <w:rPr>
          <w:rFonts w:ascii="Times New Roman" w:hAnsi="Times New Roman" w:cs="Times New Roman"/>
        </w:rPr>
        <w:t>.</w:t>
      </w:r>
      <w:r w:rsidR="00D559FE">
        <w:rPr>
          <w:rFonts w:ascii="Times New Roman" w:hAnsi="Times New Roman" w:cs="Times New Roman"/>
        </w:rPr>
        <w:t xml:space="preserve"> The cumulative abnormal returns are positively depended on whether the acquirer has prior EU operations or not. Target firms in cross-border acquisitions are found to earn a significant 17.1% higher CAR (in the second event window) when acquired by bidders from EU. The CARs of target firms in </w:t>
      </w:r>
      <w:r>
        <w:rPr>
          <w:rFonts w:ascii="Times New Roman" w:hAnsi="Times New Roman" w:cs="Times New Roman"/>
        </w:rPr>
        <w:t>multinational</w:t>
      </w:r>
      <w:r w:rsidR="00D559FE">
        <w:rPr>
          <w:rFonts w:ascii="Times New Roman" w:hAnsi="Times New Roman" w:cs="Times New Roman"/>
        </w:rPr>
        <w:t xml:space="preserve"> acquisitions are not </w:t>
      </w:r>
      <w:r>
        <w:rPr>
          <w:rFonts w:ascii="Times New Roman" w:hAnsi="Times New Roman" w:cs="Times New Roman"/>
        </w:rPr>
        <w:t>observed</w:t>
      </w:r>
      <w:r w:rsidR="00D559FE">
        <w:rPr>
          <w:rFonts w:ascii="Times New Roman" w:hAnsi="Times New Roman" w:cs="Times New Roman"/>
        </w:rPr>
        <w:t xml:space="preserve"> to be dependent on whether the bidder is from the US, Asia, or rest of the world. </w:t>
      </w:r>
      <w:r>
        <w:rPr>
          <w:rFonts w:ascii="Times New Roman" w:hAnsi="Times New Roman" w:cs="Times New Roman"/>
        </w:rPr>
        <w:t>F</w:t>
      </w:r>
      <w:r w:rsidR="006C0D68" w:rsidRPr="00C03199">
        <w:rPr>
          <w:rFonts w:ascii="Times New Roman" w:hAnsi="Times New Roman" w:cs="Times New Roman"/>
        </w:rPr>
        <w:t>rom day</w:t>
      </w:r>
      <w:r>
        <w:rPr>
          <w:rFonts w:ascii="Times New Roman" w:hAnsi="Times New Roman" w:cs="Times New Roman"/>
        </w:rPr>
        <w:t>s</w:t>
      </w:r>
      <w:r w:rsidR="006C0D68" w:rsidRPr="00C03199">
        <w:rPr>
          <w:rFonts w:ascii="Times New Roman" w:hAnsi="Times New Roman" w:cs="Times New Roman"/>
        </w:rPr>
        <w:t xml:space="preserve"> t0 to t+1, the coefficients on ‘STOCK’ and ‘CASH’ a</w:t>
      </w:r>
      <w:r w:rsidR="0058652C" w:rsidRPr="00C03199">
        <w:rPr>
          <w:rFonts w:ascii="Times New Roman" w:hAnsi="Times New Roman" w:cs="Times New Roman"/>
        </w:rPr>
        <w:t>re found to be significant</w:t>
      </w:r>
      <w:r w:rsidR="000024A9">
        <w:rPr>
          <w:rFonts w:ascii="Times New Roman" w:hAnsi="Times New Roman" w:cs="Times New Roman"/>
        </w:rPr>
        <w:t>ly negative and positive</w:t>
      </w:r>
      <w:r w:rsidR="00D559FE">
        <w:rPr>
          <w:rFonts w:ascii="Times New Roman" w:hAnsi="Times New Roman" w:cs="Times New Roman"/>
        </w:rPr>
        <w:t xml:space="preserve">, </w:t>
      </w:r>
      <w:r w:rsidR="0058652C" w:rsidRPr="00C03199">
        <w:rPr>
          <w:rFonts w:ascii="Times New Roman" w:hAnsi="Times New Roman" w:cs="Times New Roman"/>
        </w:rPr>
        <w:t>at 1</w:t>
      </w:r>
      <w:r w:rsidR="006C0D68" w:rsidRPr="00C03199">
        <w:rPr>
          <w:rFonts w:ascii="Times New Roman" w:hAnsi="Times New Roman" w:cs="Times New Roman"/>
        </w:rPr>
        <w:t>%</w:t>
      </w:r>
      <w:r w:rsidR="0058652C" w:rsidRPr="00C03199">
        <w:rPr>
          <w:rFonts w:ascii="Times New Roman" w:hAnsi="Times New Roman" w:cs="Times New Roman"/>
        </w:rPr>
        <w:t xml:space="preserve"> and 5%</w:t>
      </w:r>
      <w:r w:rsidR="006C0D68" w:rsidRPr="00C03199">
        <w:rPr>
          <w:rFonts w:ascii="Times New Roman" w:hAnsi="Times New Roman" w:cs="Times New Roman"/>
        </w:rPr>
        <w:t xml:space="preserve"> statistical significance level</w:t>
      </w:r>
      <w:r w:rsidR="0058652C" w:rsidRPr="00C03199">
        <w:rPr>
          <w:rFonts w:ascii="Times New Roman" w:hAnsi="Times New Roman" w:cs="Times New Roman"/>
        </w:rPr>
        <w:t>, respectively</w:t>
      </w:r>
      <w:r w:rsidR="006C0D68" w:rsidRPr="00C03199">
        <w:rPr>
          <w:rFonts w:ascii="Times New Roman" w:hAnsi="Times New Roman" w:cs="Times New Roman"/>
        </w:rPr>
        <w:t xml:space="preserve">. For the event window from day t-1 to t+5, the coefficients on ‘CASH’ and ‘STOCK’ are no longer significant. </w:t>
      </w:r>
      <w:r w:rsidR="00D559FE" w:rsidRPr="00C03199">
        <w:rPr>
          <w:rFonts w:ascii="Times New Roman" w:hAnsi="Times New Roman" w:cs="Times New Roman"/>
        </w:rPr>
        <w:t>The coefficient for ‘EV to EBITDA’ was found to be significant</w:t>
      </w:r>
      <w:r w:rsidR="00D559FE">
        <w:rPr>
          <w:rFonts w:ascii="Times New Roman" w:hAnsi="Times New Roman" w:cs="Times New Roman"/>
        </w:rPr>
        <w:t>,</w:t>
      </w:r>
      <w:r w:rsidR="00D559FE" w:rsidRPr="00C03199">
        <w:rPr>
          <w:rFonts w:ascii="Times New Roman" w:hAnsi="Times New Roman" w:cs="Times New Roman"/>
        </w:rPr>
        <w:t xml:space="preserve"> at 10% statistical significance level</w:t>
      </w:r>
      <w:r w:rsidR="00D559FE">
        <w:rPr>
          <w:rFonts w:ascii="Times New Roman" w:hAnsi="Times New Roman" w:cs="Times New Roman"/>
        </w:rPr>
        <w:t xml:space="preserve"> (for the first event window).</w:t>
      </w:r>
      <w:r w:rsidR="006C0D68" w:rsidRPr="00C03199">
        <w:rPr>
          <w:rFonts w:ascii="Times New Roman" w:hAnsi="Times New Roman" w:cs="Times New Roman"/>
        </w:rPr>
        <w:t xml:space="preserve"> The coefficient </w:t>
      </w:r>
      <w:r w:rsidR="00703A2B" w:rsidRPr="00C03199">
        <w:rPr>
          <w:rFonts w:ascii="Times New Roman" w:hAnsi="Times New Roman" w:cs="Times New Roman"/>
        </w:rPr>
        <w:t>for</w:t>
      </w:r>
      <w:r w:rsidR="006C0D68" w:rsidRPr="00C03199">
        <w:rPr>
          <w:rFonts w:ascii="Times New Roman" w:hAnsi="Times New Roman" w:cs="Times New Roman"/>
        </w:rPr>
        <w:t xml:space="preserve"> ‘Target EPS’ is significant at 5% statistical significance level; however, after controlling for target nation and industry effects, it is only significant at 10% statistical significance level; it </w:t>
      </w:r>
      <w:r>
        <w:rPr>
          <w:rFonts w:ascii="Times New Roman" w:hAnsi="Times New Roman" w:cs="Times New Roman"/>
        </w:rPr>
        <w:t>parades</w:t>
      </w:r>
      <w:r w:rsidR="006C0D68" w:rsidRPr="00C03199">
        <w:rPr>
          <w:rFonts w:ascii="Times New Roman" w:hAnsi="Times New Roman" w:cs="Times New Roman"/>
        </w:rPr>
        <w:t xml:space="preserve"> that if the one-year, prior to the bid, average EPS of target firm increase by $1, the cumulative abnormal returns will increase by 0.24% during the corresponding </w:t>
      </w:r>
      <w:r w:rsidR="00D34A27" w:rsidRPr="00C03199">
        <w:rPr>
          <w:rFonts w:ascii="Times New Roman" w:hAnsi="Times New Roman" w:cs="Times New Roman"/>
        </w:rPr>
        <w:t>event</w:t>
      </w:r>
      <w:r w:rsidR="006C0D68" w:rsidRPr="00C03199">
        <w:rPr>
          <w:rFonts w:ascii="Times New Roman" w:hAnsi="Times New Roman" w:cs="Times New Roman"/>
        </w:rPr>
        <w:t xml:space="preserve"> window. </w:t>
      </w:r>
      <w:r w:rsidR="00D559FE">
        <w:rPr>
          <w:rFonts w:ascii="Times New Roman" w:hAnsi="Times New Roman" w:cs="Times New Roman"/>
        </w:rPr>
        <w:t>None of the coefficients for the different target firms’ industries and nations are found to be significant</w:t>
      </w:r>
      <w:r w:rsidR="006C0D68" w:rsidRPr="00C03199">
        <w:rPr>
          <w:rFonts w:ascii="Times New Roman" w:hAnsi="Times New Roman" w:cs="Times New Roman"/>
        </w:rPr>
        <w:t xml:space="preserve">. </w:t>
      </w:r>
      <w:r w:rsidR="005B1E9A" w:rsidRPr="00C03199">
        <w:rPr>
          <w:rFonts w:ascii="Times New Roman" w:hAnsi="Times New Roman" w:cs="Times New Roman"/>
        </w:rPr>
        <w:t>After controlling for industry effect in the first event window</w:t>
      </w:r>
      <w:r w:rsidR="005B1E9A">
        <w:rPr>
          <w:rFonts w:ascii="Times New Roman" w:hAnsi="Times New Roman" w:cs="Times New Roman"/>
        </w:rPr>
        <w:t xml:space="preserve"> (second event window)</w:t>
      </w:r>
      <w:r w:rsidR="005B1E9A" w:rsidRPr="00C03199">
        <w:rPr>
          <w:rFonts w:ascii="Times New Roman" w:hAnsi="Times New Roman" w:cs="Times New Roman"/>
        </w:rPr>
        <w:t xml:space="preserve">, the adjusted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oMath>
      <w:r w:rsidR="005B1E9A" w:rsidRPr="00C03199">
        <w:rPr>
          <w:rFonts w:ascii="Times New Roman" w:eastAsiaTheme="minorEastAsia" w:hAnsi="Times New Roman" w:cs="Times New Roman"/>
        </w:rPr>
        <w:t xml:space="preserve"> increased</w:t>
      </w:r>
      <w:r w:rsidR="005B1E9A">
        <w:rPr>
          <w:rFonts w:ascii="Times New Roman" w:eastAsiaTheme="minorEastAsia" w:hAnsi="Times New Roman" w:cs="Times New Roman"/>
        </w:rPr>
        <w:t xml:space="preserve"> (decreased)</w:t>
      </w:r>
      <w:r w:rsidR="005B1E9A" w:rsidRPr="00C03199">
        <w:rPr>
          <w:rFonts w:ascii="Times New Roman" w:eastAsiaTheme="minorEastAsia" w:hAnsi="Times New Roman" w:cs="Times New Roman"/>
        </w:rPr>
        <w:t xml:space="preserve"> from 4.5%</w:t>
      </w:r>
      <w:r w:rsidR="005B1E9A">
        <w:rPr>
          <w:rFonts w:ascii="Times New Roman" w:eastAsiaTheme="minorEastAsia" w:hAnsi="Times New Roman" w:cs="Times New Roman"/>
        </w:rPr>
        <w:t xml:space="preserve"> (3.1%)</w:t>
      </w:r>
      <w:r w:rsidR="005B1E9A" w:rsidRPr="00C03199">
        <w:rPr>
          <w:rFonts w:ascii="Times New Roman" w:eastAsiaTheme="minorEastAsia" w:hAnsi="Times New Roman" w:cs="Times New Roman"/>
        </w:rPr>
        <w:t xml:space="preserve"> to 5.9%</w:t>
      </w:r>
      <w:r w:rsidR="005B1E9A">
        <w:rPr>
          <w:rFonts w:ascii="Times New Roman" w:eastAsiaTheme="minorEastAsia" w:hAnsi="Times New Roman" w:cs="Times New Roman"/>
        </w:rPr>
        <w:t xml:space="preserve"> (3%)</w:t>
      </w:r>
      <w:r w:rsidR="005B1E9A" w:rsidRPr="00C03199">
        <w:rPr>
          <w:rFonts w:ascii="Times New Roman" w:eastAsiaTheme="minorEastAsia" w:hAnsi="Times New Roman" w:cs="Times New Roman"/>
        </w:rPr>
        <w:t>; however, after controlling for industry and target nation effects it decreased</w:t>
      </w:r>
      <w:r w:rsidR="005B1E9A">
        <w:rPr>
          <w:rFonts w:ascii="Times New Roman" w:eastAsiaTheme="minorEastAsia" w:hAnsi="Times New Roman" w:cs="Times New Roman"/>
        </w:rPr>
        <w:t xml:space="preserve"> (increased)</w:t>
      </w:r>
      <w:r w:rsidR="005B1E9A" w:rsidRPr="00C03199">
        <w:rPr>
          <w:rFonts w:ascii="Times New Roman" w:eastAsiaTheme="minorEastAsia" w:hAnsi="Times New Roman" w:cs="Times New Roman"/>
        </w:rPr>
        <w:t xml:space="preserve"> to 5.7%</w:t>
      </w:r>
      <w:r w:rsidR="005B1E9A">
        <w:rPr>
          <w:rFonts w:ascii="Times New Roman" w:eastAsiaTheme="minorEastAsia" w:hAnsi="Times New Roman" w:cs="Times New Roman"/>
        </w:rPr>
        <w:t xml:space="preserve"> (5.2%)</w:t>
      </w:r>
      <w:r w:rsidR="005B1E9A" w:rsidRPr="00C03199">
        <w:rPr>
          <w:rFonts w:ascii="Times New Roman" w:eastAsiaTheme="minorEastAsia" w:hAnsi="Times New Roman" w:cs="Times New Roman"/>
        </w:rPr>
        <w:t>.</w:t>
      </w:r>
      <w:r w:rsidR="005B1E9A">
        <w:rPr>
          <w:rFonts w:ascii="Times New Roman" w:eastAsiaTheme="minorEastAsia" w:hAnsi="Times New Roman" w:cs="Times New Roman"/>
        </w:rPr>
        <w:t xml:space="preserve"> </w:t>
      </w:r>
      <w:r w:rsidR="00D559FE" w:rsidRPr="00C03199">
        <w:rPr>
          <w:rFonts w:ascii="Times New Roman" w:eastAsiaTheme="minorEastAsia" w:hAnsi="Times New Roman" w:cs="Times New Roman"/>
        </w:rPr>
        <w:t>The overall regressions are significant at 5% statistical significance level; however, after controlling for just the industry effect, the overall regression is only significant at 10% statistical significance level.</w:t>
      </w:r>
    </w:p>
    <w:p w14:paraId="2487FDE6" w14:textId="0562BB05" w:rsidR="00B771C2" w:rsidRPr="00C03199" w:rsidRDefault="00270088" w:rsidP="00D97EDB">
      <w:pPr>
        <w:widowControl w:val="0"/>
        <w:autoSpaceDE w:val="0"/>
        <w:autoSpaceDN w:val="0"/>
        <w:adjustRightInd w:val="0"/>
        <w:spacing w:after="0" w:line="240" w:lineRule="auto"/>
        <w:jc w:val="both"/>
        <w:rPr>
          <w:rFonts w:ascii="Times New Roman" w:hAnsi="Times New Roman" w:cs="Times New Roman"/>
        </w:rPr>
      </w:pPr>
      <w:r w:rsidRPr="00C03199">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78BEDDB5" wp14:editId="3624CDDE">
                <wp:simplePos x="0" y="0"/>
                <wp:positionH relativeFrom="margin">
                  <wp:posOffset>23543</wp:posOffset>
                </wp:positionH>
                <wp:positionV relativeFrom="paragraph">
                  <wp:posOffset>91811</wp:posOffset>
                </wp:positionV>
                <wp:extent cx="5790023"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5790023"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1FDAF7" id="Straight Connector 2"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1.85pt,7.25pt" to="45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XIuwEAAL4DAAAOAAAAZHJzL2Uyb0RvYy54bWysU01v1DAQvSPxHyzf2WRTUWi02R62ggsq&#10;K9r+ANcZbyz8pbHZZP89Y2c3RYB6QFwcz8d7M2882dxO1rAjYNTedXy9qjkDJ32v3aHjT4+f3n3k&#10;LCbhemG8g46fIPLb7ds3mzG00PjBmx6QEYmL7Rg6PqQU2qqKcgAr4soHcBRUHq1IZOKh6lGMxG5N&#10;1dT1dTV67AN6CTGS924O8m3hVwpk+qpUhMRMx6m3VE4s53M+q+1GtAcUYdDy3Ib4hy6s0I6KLlR3&#10;Ign2A/UfVFZL9NGrtJLeVl4pLaFoIDXr+jc1D4MIULTQcGJYxhT/H628P+6R6b7jDWdOWHqih4RC&#10;H4bEdt45GqBH1uQ5jSG2lL5zezxbMewxi54U2vwlOWwqsz0ts4UpMUnO9x9u6rq54kxeYtULMGBM&#10;n8Fbli8dN9pl2aIVxy8xUTFKvaRkt3HZl/uZOyi3dDIwB7+BIkVU86qQlF2CnUF2FLQF/fd1VkOU&#10;xlFmhihtzAKqXwedczMMyn4twOZ14JJdKnqXFqDVzuPfwGm6tKrm/IvqWWuW/ez7U3mPMg5akqLs&#10;vNB5C3+1C/zlt9v+BAAA//8DAFBLAwQUAAYACAAAACEAXVVg+tsAAAAHAQAADwAAAGRycy9kb3du&#10;cmV2LnhtbEyOTUvDQBCG74L/YRnBi9hNtbEasykieIhQwVY8T7PTJJqdDdltGv+9Ix70Nu8H7zz5&#10;anKdGmkIrWcD81kCirjytuXawNv26fIWVIjIFjvPZOCLAqyK05McM+uP/ErjJtZKRjhkaKCJsc+0&#10;DlVDDsPM98SS7f3gMIocam0HPMq46/RVktxohy3LhwZ7emyo+twcnIGP8r2s04tlu39ZpM+4HdM1&#10;j6Ux52fTwz2oSFP8K8MPvqBDIUw7f2AbVGfgeilFsRcpKInv5qkcu19DF7n+z198AwAA//8DAFBL&#10;AQItABQABgAIAAAAIQC2gziS/gAAAOEBAAATAAAAAAAAAAAAAAAAAAAAAABbQ29udGVudF9UeXBl&#10;c10ueG1sUEsBAi0AFAAGAAgAAAAhADj9If/WAAAAlAEAAAsAAAAAAAAAAAAAAAAALwEAAF9yZWxz&#10;Ly5yZWxzUEsBAi0AFAAGAAgAAAAhADFGhci7AQAAvgMAAA4AAAAAAAAAAAAAAAAALgIAAGRycy9l&#10;Mm9Eb2MueG1sUEsBAi0AFAAGAAgAAAAhAF1VYPrbAAAABwEAAA8AAAAAAAAAAAAAAAAAFQQAAGRy&#10;cy9kb3ducmV2LnhtbFBLBQYAAAAABAAEAPMAAAAdBQAAAAA=&#10;" strokecolor="black [3200]" strokeweight="1.5pt">
                <v:stroke joinstyle="miter"/>
                <w10:wrap anchorx="margin"/>
              </v:line>
            </w:pict>
          </mc:Fallback>
        </mc:AlternateContent>
      </w:r>
    </w:p>
    <w:tbl>
      <w:tblPr>
        <w:tblW w:w="9112" w:type="dxa"/>
        <w:tblLayout w:type="fixed"/>
        <w:tblCellMar>
          <w:left w:w="75" w:type="dxa"/>
          <w:right w:w="75" w:type="dxa"/>
        </w:tblCellMar>
        <w:tblLook w:val="0000" w:firstRow="0" w:lastRow="0" w:firstColumn="0" w:lastColumn="0" w:noHBand="0" w:noVBand="0"/>
      </w:tblPr>
      <w:tblGrid>
        <w:gridCol w:w="1912"/>
        <w:gridCol w:w="1200"/>
        <w:gridCol w:w="1200"/>
        <w:gridCol w:w="1200"/>
        <w:gridCol w:w="1200"/>
        <w:gridCol w:w="1200"/>
        <w:gridCol w:w="1200"/>
      </w:tblGrid>
      <w:tr w:rsidR="006C0D68" w:rsidRPr="00C03199" w14:paraId="57E8E859" w14:textId="77777777" w:rsidTr="00D97EDB">
        <w:trPr>
          <w:trHeight w:val="273"/>
        </w:trPr>
        <w:tc>
          <w:tcPr>
            <w:tcW w:w="1912" w:type="dxa"/>
            <w:tcBorders>
              <w:top w:val="nil"/>
              <w:left w:val="nil"/>
              <w:bottom w:val="nil"/>
              <w:right w:val="nil"/>
            </w:tcBorders>
          </w:tcPr>
          <w:p w14:paraId="4AC7066A" w14:textId="5A799555"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Event window</w:t>
            </w:r>
          </w:p>
        </w:tc>
        <w:tc>
          <w:tcPr>
            <w:tcW w:w="1200" w:type="dxa"/>
            <w:tcBorders>
              <w:top w:val="nil"/>
              <w:left w:val="nil"/>
              <w:bottom w:val="nil"/>
              <w:right w:val="nil"/>
            </w:tcBorders>
          </w:tcPr>
          <w:p w14:paraId="504E0060"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5B7143FB"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2349DD9C"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63C772F3"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 +5</w:t>
            </w:r>
          </w:p>
        </w:tc>
        <w:tc>
          <w:tcPr>
            <w:tcW w:w="1200" w:type="dxa"/>
            <w:tcBorders>
              <w:top w:val="nil"/>
              <w:left w:val="nil"/>
              <w:bottom w:val="nil"/>
              <w:right w:val="nil"/>
            </w:tcBorders>
          </w:tcPr>
          <w:p w14:paraId="7591C6D7"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c>
          <w:tcPr>
            <w:tcW w:w="1200" w:type="dxa"/>
            <w:tcBorders>
              <w:top w:val="nil"/>
              <w:left w:val="nil"/>
              <w:bottom w:val="nil"/>
              <w:right w:val="nil"/>
            </w:tcBorders>
          </w:tcPr>
          <w:p w14:paraId="74861BE4"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r>
      <w:tr w:rsidR="006C0D68" w:rsidRPr="00C03199" w14:paraId="04BA9818" w14:textId="77777777" w:rsidTr="00D97EDB">
        <w:trPr>
          <w:trHeight w:val="273"/>
        </w:trPr>
        <w:tc>
          <w:tcPr>
            <w:tcW w:w="1912" w:type="dxa"/>
            <w:tcBorders>
              <w:top w:val="nil"/>
              <w:left w:val="nil"/>
              <w:bottom w:val="single" w:sz="6" w:space="0" w:color="auto"/>
              <w:right w:val="nil"/>
            </w:tcBorders>
          </w:tcPr>
          <w:p w14:paraId="1D26752D" w14:textId="6401B31A"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24"/>
              </w:rPr>
            </w:pPr>
          </w:p>
        </w:tc>
        <w:tc>
          <w:tcPr>
            <w:tcW w:w="1200" w:type="dxa"/>
            <w:tcBorders>
              <w:top w:val="nil"/>
              <w:left w:val="nil"/>
              <w:bottom w:val="single" w:sz="6" w:space="0" w:color="auto"/>
              <w:right w:val="nil"/>
            </w:tcBorders>
          </w:tcPr>
          <w:p w14:paraId="676A06D4"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6994D7CB"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0E276C5A"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c>
          <w:tcPr>
            <w:tcW w:w="1200" w:type="dxa"/>
            <w:tcBorders>
              <w:top w:val="nil"/>
              <w:left w:val="nil"/>
              <w:bottom w:val="single" w:sz="6" w:space="0" w:color="auto"/>
              <w:right w:val="nil"/>
            </w:tcBorders>
          </w:tcPr>
          <w:p w14:paraId="197477DD"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2427117C"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09D67E5E"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r>
      <w:tr w:rsidR="006C0D68" w:rsidRPr="00C03199" w14:paraId="603546F2" w14:textId="77777777" w:rsidTr="00D97EDB">
        <w:trPr>
          <w:trHeight w:val="273"/>
        </w:trPr>
        <w:tc>
          <w:tcPr>
            <w:tcW w:w="1912" w:type="dxa"/>
            <w:tcBorders>
              <w:top w:val="nil"/>
              <w:left w:val="nil"/>
              <w:bottom w:val="nil"/>
              <w:right w:val="nil"/>
            </w:tcBorders>
          </w:tcPr>
          <w:p w14:paraId="05699030" w14:textId="6DAA9BDB" w:rsidR="006C0D68" w:rsidRPr="00C03199" w:rsidRDefault="006C0D68" w:rsidP="00D97EDB">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3DCD2F25"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20"/>
                <w:szCs w:val="20"/>
              </w:rPr>
            </w:pPr>
          </w:p>
        </w:tc>
        <w:tc>
          <w:tcPr>
            <w:tcW w:w="1200" w:type="dxa"/>
            <w:tcBorders>
              <w:top w:val="nil"/>
              <w:left w:val="nil"/>
              <w:bottom w:val="nil"/>
              <w:right w:val="nil"/>
            </w:tcBorders>
          </w:tcPr>
          <w:p w14:paraId="039670A4"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20"/>
                <w:szCs w:val="20"/>
              </w:rPr>
            </w:pPr>
          </w:p>
        </w:tc>
        <w:tc>
          <w:tcPr>
            <w:tcW w:w="1200" w:type="dxa"/>
            <w:tcBorders>
              <w:top w:val="nil"/>
              <w:left w:val="nil"/>
              <w:bottom w:val="nil"/>
              <w:right w:val="nil"/>
            </w:tcBorders>
          </w:tcPr>
          <w:p w14:paraId="3D6C0105"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20"/>
                <w:szCs w:val="20"/>
              </w:rPr>
            </w:pPr>
          </w:p>
        </w:tc>
        <w:tc>
          <w:tcPr>
            <w:tcW w:w="1200" w:type="dxa"/>
            <w:tcBorders>
              <w:top w:val="nil"/>
              <w:left w:val="nil"/>
              <w:bottom w:val="nil"/>
              <w:right w:val="nil"/>
            </w:tcBorders>
          </w:tcPr>
          <w:p w14:paraId="736FF48E"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20"/>
                <w:szCs w:val="20"/>
              </w:rPr>
            </w:pPr>
          </w:p>
        </w:tc>
        <w:tc>
          <w:tcPr>
            <w:tcW w:w="1200" w:type="dxa"/>
            <w:tcBorders>
              <w:top w:val="nil"/>
              <w:left w:val="nil"/>
              <w:bottom w:val="nil"/>
              <w:right w:val="nil"/>
            </w:tcBorders>
          </w:tcPr>
          <w:p w14:paraId="2905E053"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20"/>
                <w:szCs w:val="20"/>
              </w:rPr>
            </w:pPr>
          </w:p>
        </w:tc>
        <w:tc>
          <w:tcPr>
            <w:tcW w:w="1200" w:type="dxa"/>
            <w:tcBorders>
              <w:top w:val="nil"/>
              <w:left w:val="nil"/>
              <w:bottom w:val="nil"/>
              <w:right w:val="nil"/>
            </w:tcBorders>
          </w:tcPr>
          <w:p w14:paraId="617BA9FD"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20"/>
                <w:szCs w:val="20"/>
              </w:rPr>
            </w:pPr>
          </w:p>
        </w:tc>
      </w:tr>
      <w:tr w:rsidR="006C0D68" w:rsidRPr="00C03199" w14:paraId="7D1F8F96" w14:textId="77777777" w:rsidTr="00D97EDB">
        <w:trPr>
          <w:trHeight w:val="273"/>
        </w:trPr>
        <w:tc>
          <w:tcPr>
            <w:tcW w:w="1912" w:type="dxa"/>
            <w:tcBorders>
              <w:top w:val="nil"/>
              <w:left w:val="nil"/>
              <w:bottom w:val="nil"/>
              <w:right w:val="nil"/>
            </w:tcBorders>
          </w:tcPr>
          <w:p w14:paraId="76EF8B4D" w14:textId="5C6F06AD" w:rsidR="006C0D68" w:rsidRPr="00C03199" w:rsidRDefault="00672705"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No p</w:t>
            </w:r>
            <w:r w:rsidR="006C0D68" w:rsidRPr="00C03199">
              <w:rPr>
                <w:rFonts w:ascii="Times New Roman" w:hAnsi="Times New Roman" w:cs="Times New Roman"/>
                <w:sz w:val="18"/>
                <w:szCs w:val="18"/>
              </w:rPr>
              <w:t>rior EU operation</w:t>
            </w:r>
          </w:p>
        </w:tc>
        <w:tc>
          <w:tcPr>
            <w:tcW w:w="1200" w:type="dxa"/>
            <w:tcBorders>
              <w:top w:val="nil"/>
              <w:left w:val="nil"/>
              <w:bottom w:val="nil"/>
              <w:right w:val="nil"/>
            </w:tcBorders>
          </w:tcPr>
          <w:p w14:paraId="5EBFFD8F" w14:textId="08CFB1CC" w:rsidR="006C0D68" w:rsidRPr="00C03199" w:rsidRDefault="009C2124"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 xml:space="preserve">    </w:t>
            </w:r>
            <w:r w:rsidR="006C0D68" w:rsidRPr="00C03199">
              <w:rPr>
                <w:rFonts w:ascii="Times New Roman" w:hAnsi="Times New Roman" w:cs="Times New Roman"/>
                <w:sz w:val="18"/>
                <w:szCs w:val="18"/>
              </w:rPr>
              <w:t>0.1510**</w:t>
            </w:r>
          </w:p>
        </w:tc>
        <w:tc>
          <w:tcPr>
            <w:tcW w:w="1200" w:type="dxa"/>
            <w:tcBorders>
              <w:top w:val="nil"/>
              <w:left w:val="nil"/>
              <w:bottom w:val="nil"/>
              <w:right w:val="nil"/>
            </w:tcBorders>
          </w:tcPr>
          <w:p w14:paraId="066F4912" w14:textId="42E3BFF0"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0.1390*</w:t>
            </w:r>
          </w:p>
        </w:tc>
        <w:tc>
          <w:tcPr>
            <w:tcW w:w="1200" w:type="dxa"/>
            <w:tcBorders>
              <w:top w:val="nil"/>
              <w:left w:val="nil"/>
              <w:bottom w:val="nil"/>
              <w:right w:val="nil"/>
            </w:tcBorders>
          </w:tcPr>
          <w:p w14:paraId="7652DD26" w14:textId="364743B0"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0.1450*</w:t>
            </w:r>
          </w:p>
        </w:tc>
        <w:tc>
          <w:tcPr>
            <w:tcW w:w="1200" w:type="dxa"/>
            <w:tcBorders>
              <w:top w:val="nil"/>
              <w:left w:val="nil"/>
              <w:bottom w:val="nil"/>
              <w:right w:val="nil"/>
            </w:tcBorders>
          </w:tcPr>
          <w:p w14:paraId="63FB020C" w14:textId="66FC872F"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0.0330</w:t>
            </w:r>
          </w:p>
        </w:tc>
        <w:tc>
          <w:tcPr>
            <w:tcW w:w="1200" w:type="dxa"/>
            <w:tcBorders>
              <w:top w:val="nil"/>
              <w:left w:val="nil"/>
              <w:bottom w:val="nil"/>
              <w:right w:val="nil"/>
            </w:tcBorders>
          </w:tcPr>
          <w:p w14:paraId="2F8A8151" w14:textId="00DB0486"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0.0427</w:t>
            </w:r>
          </w:p>
        </w:tc>
        <w:tc>
          <w:tcPr>
            <w:tcW w:w="1200" w:type="dxa"/>
            <w:tcBorders>
              <w:top w:val="nil"/>
              <w:left w:val="nil"/>
              <w:bottom w:val="nil"/>
              <w:right w:val="nil"/>
            </w:tcBorders>
          </w:tcPr>
          <w:p w14:paraId="6F8FDD09" w14:textId="53CCAACE" w:rsidR="00FA6651" w:rsidRPr="00C03199" w:rsidRDefault="006C0D68" w:rsidP="00FA6651">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0.0724</w:t>
            </w:r>
          </w:p>
        </w:tc>
      </w:tr>
      <w:tr w:rsidR="000024A9" w:rsidRPr="00C03199" w14:paraId="71CFA803" w14:textId="77777777" w:rsidTr="00D97EDB">
        <w:trPr>
          <w:trHeight w:val="273"/>
        </w:trPr>
        <w:tc>
          <w:tcPr>
            <w:tcW w:w="1912" w:type="dxa"/>
            <w:tcBorders>
              <w:top w:val="nil"/>
              <w:left w:val="nil"/>
              <w:bottom w:val="nil"/>
              <w:right w:val="nil"/>
            </w:tcBorders>
          </w:tcPr>
          <w:p w14:paraId="2A6DCC80" w14:textId="466D5DEC" w:rsidR="000024A9" w:rsidRPr="00C03199" w:rsidRDefault="000024A9" w:rsidP="00D97EDB">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EU</w:t>
            </w:r>
          </w:p>
        </w:tc>
        <w:tc>
          <w:tcPr>
            <w:tcW w:w="1200" w:type="dxa"/>
            <w:tcBorders>
              <w:top w:val="nil"/>
              <w:left w:val="nil"/>
              <w:bottom w:val="nil"/>
              <w:right w:val="nil"/>
            </w:tcBorders>
          </w:tcPr>
          <w:p w14:paraId="514B1667" w14:textId="6CB8F0B0" w:rsidR="000024A9" w:rsidRPr="00C03199" w:rsidRDefault="000024A9" w:rsidP="000024A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0.0798</w:t>
            </w:r>
          </w:p>
        </w:tc>
        <w:tc>
          <w:tcPr>
            <w:tcW w:w="1200" w:type="dxa"/>
            <w:tcBorders>
              <w:top w:val="nil"/>
              <w:left w:val="nil"/>
              <w:bottom w:val="nil"/>
              <w:right w:val="nil"/>
            </w:tcBorders>
          </w:tcPr>
          <w:p w14:paraId="48A74755" w14:textId="0DF6747F" w:rsidR="000024A9" w:rsidRPr="00C03199" w:rsidRDefault="000024A9" w:rsidP="000024A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0.0702*</w:t>
            </w:r>
          </w:p>
        </w:tc>
        <w:tc>
          <w:tcPr>
            <w:tcW w:w="1200" w:type="dxa"/>
            <w:tcBorders>
              <w:top w:val="nil"/>
              <w:left w:val="nil"/>
              <w:bottom w:val="nil"/>
              <w:right w:val="nil"/>
            </w:tcBorders>
          </w:tcPr>
          <w:p w14:paraId="54686085" w14:textId="42DFD69F" w:rsidR="000024A9" w:rsidRPr="00C03199" w:rsidRDefault="000024A9" w:rsidP="000024A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0.0699*</w:t>
            </w:r>
          </w:p>
        </w:tc>
        <w:tc>
          <w:tcPr>
            <w:tcW w:w="1200" w:type="dxa"/>
            <w:tcBorders>
              <w:top w:val="nil"/>
              <w:left w:val="nil"/>
              <w:bottom w:val="nil"/>
              <w:right w:val="nil"/>
            </w:tcBorders>
          </w:tcPr>
          <w:p w14:paraId="434BA396" w14:textId="20396B3A" w:rsidR="000024A9" w:rsidRPr="00C03199" w:rsidRDefault="000024A9" w:rsidP="000024A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0.171**</w:t>
            </w:r>
          </w:p>
        </w:tc>
        <w:tc>
          <w:tcPr>
            <w:tcW w:w="1200" w:type="dxa"/>
            <w:tcBorders>
              <w:top w:val="nil"/>
              <w:left w:val="nil"/>
              <w:bottom w:val="nil"/>
              <w:right w:val="nil"/>
            </w:tcBorders>
          </w:tcPr>
          <w:p w14:paraId="47CF8018" w14:textId="55D36543" w:rsidR="000024A9" w:rsidRPr="00C03199" w:rsidRDefault="000024A9" w:rsidP="000024A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0.0524***</w:t>
            </w:r>
          </w:p>
        </w:tc>
        <w:tc>
          <w:tcPr>
            <w:tcW w:w="1200" w:type="dxa"/>
            <w:tcBorders>
              <w:top w:val="nil"/>
              <w:left w:val="nil"/>
              <w:bottom w:val="nil"/>
              <w:right w:val="nil"/>
            </w:tcBorders>
          </w:tcPr>
          <w:p w14:paraId="7E71E0F2" w14:textId="29E0A956" w:rsidR="000024A9" w:rsidRPr="00C03199" w:rsidRDefault="000024A9" w:rsidP="000024A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0.0524***</w:t>
            </w:r>
          </w:p>
        </w:tc>
      </w:tr>
      <w:tr w:rsidR="006C0D68" w:rsidRPr="00C03199" w14:paraId="4B0AF149" w14:textId="77777777" w:rsidTr="00D97EDB">
        <w:trPr>
          <w:trHeight w:val="273"/>
        </w:trPr>
        <w:tc>
          <w:tcPr>
            <w:tcW w:w="1912" w:type="dxa"/>
            <w:tcBorders>
              <w:top w:val="nil"/>
              <w:left w:val="nil"/>
              <w:bottom w:val="nil"/>
              <w:right w:val="nil"/>
            </w:tcBorders>
          </w:tcPr>
          <w:p w14:paraId="3ED46E4B"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US</w:t>
            </w:r>
          </w:p>
        </w:tc>
        <w:tc>
          <w:tcPr>
            <w:tcW w:w="1200" w:type="dxa"/>
            <w:tcBorders>
              <w:top w:val="nil"/>
              <w:left w:val="nil"/>
              <w:bottom w:val="nil"/>
              <w:right w:val="nil"/>
            </w:tcBorders>
          </w:tcPr>
          <w:p w14:paraId="76981660" w14:textId="30365C0B"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0.0270</w:t>
            </w:r>
          </w:p>
        </w:tc>
        <w:tc>
          <w:tcPr>
            <w:tcW w:w="1200" w:type="dxa"/>
            <w:tcBorders>
              <w:top w:val="nil"/>
              <w:left w:val="nil"/>
              <w:bottom w:val="nil"/>
              <w:right w:val="nil"/>
            </w:tcBorders>
          </w:tcPr>
          <w:p w14:paraId="439F46A1" w14:textId="39AAE34A"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0.0045</w:t>
            </w:r>
          </w:p>
        </w:tc>
        <w:tc>
          <w:tcPr>
            <w:tcW w:w="1200" w:type="dxa"/>
            <w:tcBorders>
              <w:top w:val="nil"/>
              <w:left w:val="nil"/>
              <w:bottom w:val="nil"/>
              <w:right w:val="nil"/>
            </w:tcBorders>
          </w:tcPr>
          <w:p w14:paraId="50655BBD" w14:textId="30CA5806"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0.0046</w:t>
            </w:r>
          </w:p>
        </w:tc>
        <w:tc>
          <w:tcPr>
            <w:tcW w:w="1200" w:type="dxa"/>
            <w:tcBorders>
              <w:top w:val="nil"/>
              <w:left w:val="nil"/>
              <w:bottom w:val="nil"/>
              <w:right w:val="nil"/>
            </w:tcBorders>
          </w:tcPr>
          <w:p w14:paraId="5B7D45EA" w14:textId="59F4BC23"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w:t>
            </w:r>
            <w:r w:rsidR="00D559FE">
              <w:rPr>
                <w:rFonts w:ascii="Times New Roman" w:hAnsi="Times New Roman" w:cs="Times New Roman"/>
                <w:sz w:val="18"/>
                <w:szCs w:val="18"/>
              </w:rPr>
              <w:t>.1540</w:t>
            </w:r>
          </w:p>
        </w:tc>
        <w:tc>
          <w:tcPr>
            <w:tcW w:w="1200" w:type="dxa"/>
            <w:tcBorders>
              <w:top w:val="nil"/>
              <w:left w:val="nil"/>
              <w:bottom w:val="nil"/>
              <w:right w:val="nil"/>
            </w:tcBorders>
          </w:tcPr>
          <w:p w14:paraId="6FEFFD31" w14:textId="6240D271"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0.0210</w:t>
            </w:r>
          </w:p>
        </w:tc>
        <w:tc>
          <w:tcPr>
            <w:tcW w:w="1200" w:type="dxa"/>
            <w:tcBorders>
              <w:top w:val="nil"/>
              <w:left w:val="nil"/>
              <w:bottom w:val="nil"/>
              <w:right w:val="nil"/>
            </w:tcBorders>
          </w:tcPr>
          <w:p w14:paraId="64D1432D" w14:textId="00716DA1"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0.00248</w:t>
            </w:r>
          </w:p>
        </w:tc>
      </w:tr>
      <w:tr w:rsidR="006C0D68" w:rsidRPr="00C03199" w14:paraId="47706F06" w14:textId="77777777" w:rsidTr="00D97EDB">
        <w:trPr>
          <w:trHeight w:val="273"/>
        </w:trPr>
        <w:tc>
          <w:tcPr>
            <w:tcW w:w="1912" w:type="dxa"/>
            <w:tcBorders>
              <w:top w:val="nil"/>
              <w:left w:val="nil"/>
              <w:bottom w:val="nil"/>
              <w:right w:val="nil"/>
            </w:tcBorders>
          </w:tcPr>
          <w:p w14:paraId="7DD7527C"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Asia</w:t>
            </w:r>
          </w:p>
        </w:tc>
        <w:tc>
          <w:tcPr>
            <w:tcW w:w="1200" w:type="dxa"/>
            <w:tcBorders>
              <w:top w:val="nil"/>
              <w:left w:val="nil"/>
              <w:bottom w:val="nil"/>
              <w:right w:val="nil"/>
            </w:tcBorders>
          </w:tcPr>
          <w:p w14:paraId="48845E80" w14:textId="5253DADD"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0.0811</w:t>
            </w:r>
          </w:p>
        </w:tc>
        <w:tc>
          <w:tcPr>
            <w:tcW w:w="1200" w:type="dxa"/>
            <w:tcBorders>
              <w:top w:val="nil"/>
              <w:left w:val="nil"/>
              <w:bottom w:val="nil"/>
              <w:right w:val="nil"/>
            </w:tcBorders>
          </w:tcPr>
          <w:p w14:paraId="192A2D4B" w14:textId="0D74FB6F"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0.0535</w:t>
            </w:r>
          </w:p>
        </w:tc>
        <w:tc>
          <w:tcPr>
            <w:tcW w:w="1200" w:type="dxa"/>
            <w:tcBorders>
              <w:top w:val="nil"/>
              <w:left w:val="nil"/>
              <w:bottom w:val="nil"/>
              <w:right w:val="nil"/>
            </w:tcBorders>
          </w:tcPr>
          <w:p w14:paraId="02185318" w14:textId="12326050"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0.0413</w:t>
            </w:r>
          </w:p>
        </w:tc>
        <w:tc>
          <w:tcPr>
            <w:tcW w:w="1200" w:type="dxa"/>
            <w:tcBorders>
              <w:top w:val="nil"/>
              <w:left w:val="nil"/>
              <w:bottom w:val="nil"/>
              <w:right w:val="nil"/>
            </w:tcBorders>
          </w:tcPr>
          <w:p w14:paraId="7A385FB6" w14:textId="66834984"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0.1270</w:t>
            </w:r>
          </w:p>
        </w:tc>
        <w:tc>
          <w:tcPr>
            <w:tcW w:w="1200" w:type="dxa"/>
            <w:tcBorders>
              <w:top w:val="nil"/>
              <w:left w:val="nil"/>
              <w:bottom w:val="nil"/>
              <w:right w:val="nil"/>
            </w:tcBorders>
          </w:tcPr>
          <w:p w14:paraId="5FBCB876" w14:textId="72E93538"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0.0180</w:t>
            </w:r>
          </w:p>
        </w:tc>
        <w:tc>
          <w:tcPr>
            <w:tcW w:w="1200" w:type="dxa"/>
            <w:tcBorders>
              <w:top w:val="nil"/>
              <w:left w:val="nil"/>
              <w:bottom w:val="nil"/>
              <w:right w:val="nil"/>
            </w:tcBorders>
          </w:tcPr>
          <w:p w14:paraId="65FD74A3" w14:textId="77AB9057" w:rsidR="006C0D68" w:rsidRPr="00C03199" w:rsidRDefault="000024A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0.0189</w:t>
            </w:r>
          </w:p>
        </w:tc>
      </w:tr>
      <w:tr w:rsidR="006C0D68" w:rsidRPr="00C03199" w14:paraId="2B2B7B84" w14:textId="77777777" w:rsidTr="00D97EDB">
        <w:trPr>
          <w:trHeight w:val="273"/>
        </w:trPr>
        <w:tc>
          <w:tcPr>
            <w:tcW w:w="1912" w:type="dxa"/>
            <w:tcBorders>
              <w:top w:val="nil"/>
              <w:left w:val="nil"/>
              <w:bottom w:val="nil"/>
              <w:right w:val="nil"/>
            </w:tcBorders>
          </w:tcPr>
          <w:p w14:paraId="3F6022E7"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Rest of the world</w:t>
            </w:r>
          </w:p>
        </w:tc>
        <w:tc>
          <w:tcPr>
            <w:tcW w:w="1200" w:type="dxa"/>
            <w:tcBorders>
              <w:top w:val="nil"/>
              <w:left w:val="nil"/>
              <w:bottom w:val="nil"/>
              <w:right w:val="nil"/>
            </w:tcBorders>
          </w:tcPr>
          <w:p w14:paraId="6627DD12"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-0.0852</w:t>
            </w:r>
          </w:p>
        </w:tc>
        <w:tc>
          <w:tcPr>
            <w:tcW w:w="1200" w:type="dxa"/>
            <w:tcBorders>
              <w:top w:val="nil"/>
              <w:left w:val="nil"/>
              <w:bottom w:val="nil"/>
              <w:right w:val="nil"/>
            </w:tcBorders>
          </w:tcPr>
          <w:p w14:paraId="2258DD9F"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-0.0702</w:t>
            </w:r>
          </w:p>
        </w:tc>
        <w:tc>
          <w:tcPr>
            <w:tcW w:w="1200" w:type="dxa"/>
            <w:tcBorders>
              <w:top w:val="nil"/>
              <w:left w:val="nil"/>
              <w:bottom w:val="nil"/>
              <w:right w:val="nil"/>
            </w:tcBorders>
          </w:tcPr>
          <w:p w14:paraId="463AEDAF"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-0.0699</w:t>
            </w:r>
          </w:p>
        </w:tc>
        <w:tc>
          <w:tcPr>
            <w:tcW w:w="1200" w:type="dxa"/>
            <w:tcBorders>
              <w:top w:val="nil"/>
              <w:left w:val="nil"/>
              <w:bottom w:val="nil"/>
              <w:right w:val="nil"/>
            </w:tcBorders>
          </w:tcPr>
          <w:p w14:paraId="5DBD3301"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-0.0398</w:t>
            </w:r>
          </w:p>
        </w:tc>
        <w:tc>
          <w:tcPr>
            <w:tcW w:w="1200" w:type="dxa"/>
            <w:tcBorders>
              <w:top w:val="nil"/>
              <w:left w:val="nil"/>
              <w:bottom w:val="nil"/>
              <w:right w:val="nil"/>
            </w:tcBorders>
          </w:tcPr>
          <w:p w14:paraId="3E5AA4CD"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-0.0524</w:t>
            </w:r>
          </w:p>
        </w:tc>
        <w:tc>
          <w:tcPr>
            <w:tcW w:w="1200" w:type="dxa"/>
            <w:tcBorders>
              <w:top w:val="nil"/>
              <w:left w:val="nil"/>
              <w:bottom w:val="nil"/>
              <w:right w:val="nil"/>
            </w:tcBorders>
          </w:tcPr>
          <w:p w14:paraId="3671147B"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-0.0524</w:t>
            </w:r>
          </w:p>
        </w:tc>
      </w:tr>
      <w:tr w:rsidR="006C0D68" w:rsidRPr="00C03199" w14:paraId="4D3570AA" w14:textId="77777777" w:rsidTr="00D97EDB">
        <w:trPr>
          <w:trHeight w:val="273"/>
        </w:trPr>
        <w:tc>
          <w:tcPr>
            <w:tcW w:w="1912" w:type="dxa"/>
            <w:tcBorders>
              <w:top w:val="nil"/>
              <w:left w:val="nil"/>
              <w:bottom w:val="nil"/>
              <w:right w:val="nil"/>
            </w:tcBorders>
          </w:tcPr>
          <w:p w14:paraId="3E2E3FB5"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Exchange Rate</w:t>
            </w:r>
          </w:p>
        </w:tc>
        <w:tc>
          <w:tcPr>
            <w:tcW w:w="1200" w:type="dxa"/>
            <w:tcBorders>
              <w:top w:val="nil"/>
              <w:left w:val="nil"/>
              <w:bottom w:val="nil"/>
              <w:right w:val="nil"/>
            </w:tcBorders>
          </w:tcPr>
          <w:p w14:paraId="0F4EEAE8" w14:textId="154C08AB"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0.0382</w:t>
            </w:r>
            <w:r w:rsidR="00E143F8" w:rsidRPr="00C03199">
              <w:rPr>
                <w:rFonts w:ascii="Times New Roman" w:hAnsi="Times New Roman" w:cs="Times New Roman"/>
                <w:sz w:val="18"/>
                <w:szCs w:val="18"/>
              </w:rPr>
              <w:t>*</w:t>
            </w:r>
          </w:p>
        </w:tc>
        <w:tc>
          <w:tcPr>
            <w:tcW w:w="1200" w:type="dxa"/>
            <w:tcBorders>
              <w:top w:val="nil"/>
              <w:left w:val="nil"/>
              <w:bottom w:val="nil"/>
              <w:right w:val="nil"/>
            </w:tcBorders>
          </w:tcPr>
          <w:p w14:paraId="61968C30"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0.0285</w:t>
            </w:r>
          </w:p>
        </w:tc>
        <w:tc>
          <w:tcPr>
            <w:tcW w:w="1200" w:type="dxa"/>
            <w:tcBorders>
              <w:top w:val="nil"/>
              <w:left w:val="nil"/>
              <w:bottom w:val="nil"/>
              <w:right w:val="nil"/>
            </w:tcBorders>
          </w:tcPr>
          <w:p w14:paraId="678CF955"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0.0283</w:t>
            </w:r>
          </w:p>
        </w:tc>
        <w:tc>
          <w:tcPr>
            <w:tcW w:w="1200" w:type="dxa"/>
            <w:tcBorders>
              <w:top w:val="nil"/>
              <w:left w:val="nil"/>
              <w:bottom w:val="nil"/>
              <w:right w:val="nil"/>
            </w:tcBorders>
          </w:tcPr>
          <w:p w14:paraId="2646214D"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-0.0155</w:t>
            </w:r>
          </w:p>
        </w:tc>
        <w:tc>
          <w:tcPr>
            <w:tcW w:w="1200" w:type="dxa"/>
            <w:tcBorders>
              <w:top w:val="nil"/>
              <w:left w:val="nil"/>
              <w:bottom w:val="nil"/>
              <w:right w:val="nil"/>
            </w:tcBorders>
          </w:tcPr>
          <w:p w14:paraId="6B783E44"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-0.0201</w:t>
            </w:r>
          </w:p>
        </w:tc>
        <w:tc>
          <w:tcPr>
            <w:tcW w:w="1200" w:type="dxa"/>
            <w:tcBorders>
              <w:top w:val="nil"/>
              <w:left w:val="nil"/>
              <w:bottom w:val="nil"/>
              <w:right w:val="nil"/>
            </w:tcBorders>
          </w:tcPr>
          <w:p w14:paraId="7EF9B8DA"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0.0037</w:t>
            </w:r>
          </w:p>
        </w:tc>
      </w:tr>
      <w:tr w:rsidR="006C0D68" w:rsidRPr="00C03199" w14:paraId="213CC556" w14:textId="77777777" w:rsidTr="00D97EDB">
        <w:trPr>
          <w:trHeight w:val="257"/>
        </w:trPr>
        <w:tc>
          <w:tcPr>
            <w:tcW w:w="1912" w:type="dxa"/>
            <w:tcBorders>
              <w:top w:val="nil"/>
              <w:left w:val="nil"/>
              <w:bottom w:val="nil"/>
              <w:right w:val="nil"/>
            </w:tcBorders>
          </w:tcPr>
          <w:p w14:paraId="16301223"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Percentage of Cash</w:t>
            </w:r>
          </w:p>
        </w:tc>
        <w:tc>
          <w:tcPr>
            <w:tcW w:w="1200" w:type="dxa"/>
            <w:tcBorders>
              <w:top w:val="nil"/>
              <w:left w:val="nil"/>
              <w:bottom w:val="nil"/>
              <w:right w:val="nil"/>
            </w:tcBorders>
          </w:tcPr>
          <w:p w14:paraId="4D347D2A" w14:textId="27FE3150" w:rsidR="006C0D68" w:rsidRPr="00C03199" w:rsidRDefault="00C06491"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-0.0013</w:t>
            </w:r>
          </w:p>
        </w:tc>
        <w:tc>
          <w:tcPr>
            <w:tcW w:w="1200" w:type="dxa"/>
            <w:tcBorders>
              <w:top w:val="nil"/>
              <w:left w:val="nil"/>
              <w:bottom w:val="nil"/>
              <w:right w:val="nil"/>
            </w:tcBorders>
          </w:tcPr>
          <w:p w14:paraId="71B293CA" w14:textId="400305E3" w:rsidR="006C0D68" w:rsidRPr="00C03199" w:rsidRDefault="00C06491"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-0.0013</w:t>
            </w:r>
          </w:p>
        </w:tc>
        <w:tc>
          <w:tcPr>
            <w:tcW w:w="1200" w:type="dxa"/>
            <w:tcBorders>
              <w:top w:val="nil"/>
              <w:left w:val="nil"/>
              <w:bottom w:val="nil"/>
              <w:right w:val="nil"/>
            </w:tcBorders>
          </w:tcPr>
          <w:p w14:paraId="6ADC9CEC"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-0.0012</w:t>
            </w:r>
          </w:p>
        </w:tc>
        <w:tc>
          <w:tcPr>
            <w:tcW w:w="1200" w:type="dxa"/>
            <w:tcBorders>
              <w:top w:val="nil"/>
              <w:left w:val="nil"/>
              <w:bottom w:val="nil"/>
              <w:right w:val="nil"/>
            </w:tcBorders>
          </w:tcPr>
          <w:p w14:paraId="2C7D0358" w14:textId="17AAD9D2"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52F61950" w14:textId="3FE2AB50"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463603CE"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-0.0002</w:t>
            </w:r>
          </w:p>
        </w:tc>
      </w:tr>
      <w:tr w:rsidR="006C0D68" w:rsidRPr="00C03199" w14:paraId="2BE0C854" w14:textId="77777777" w:rsidTr="00D97EDB">
        <w:trPr>
          <w:trHeight w:val="273"/>
        </w:trPr>
        <w:tc>
          <w:tcPr>
            <w:tcW w:w="1912" w:type="dxa"/>
            <w:tcBorders>
              <w:top w:val="nil"/>
              <w:left w:val="nil"/>
              <w:bottom w:val="nil"/>
              <w:right w:val="nil"/>
            </w:tcBorders>
          </w:tcPr>
          <w:p w14:paraId="336B435E"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CASH</w:t>
            </w:r>
          </w:p>
        </w:tc>
        <w:tc>
          <w:tcPr>
            <w:tcW w:w="1200" w:type="dxa"/>
            <w:tcBorders>
              <w:top w:val="nil"/>
              <w:left w:val="nil"/>
              <w:bottom w:val="nil"/>
              <w:right w:val="nil"/>
            </w:tcBorders>
          </w:tcPr>
          <w:p w14:paraId="35043FCC"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0.0954**</w:t>
            </w:r>
          </w:p>
        </w:tc>
        <w:tc>
          <w:tcPr>
            <w:tcW w:w="1200" w:type="dxa"/>
            <w:tcBorders>
              <w:top w:val="nil"/>
              <w:left w:val="nil"/>
              <w:bottom w:val="nil"/>
              <w:right w:val="nil"/>
            </w:tcBorders>
          </w:tcPr>
          <w:p w14:paraId="7F1035FE"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0.0925**</w:t>
            </w:r>
          </w:p>
        </w:tc>
        <w:tc>
          <w:tcPr>
            <w:tcW w:w="1200" w:type="dxa"/>
            <w:tcBorders>
              <w:top w:val="nil"/>
              <w:left w:val="nil"/>
              <w:bottom w:val="nil"/>
              <w:right w:val="nil"/>
            </w:tcBorders>
          </w:tcPr>
          <w:p w14:paraId="2BF45D04"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0.0963**</w:t>
            </w:r>
          </w:p>
        </w:tc>
        <w:tc>
          <w:tcPr>
            <w:tcW w:w="1200" w:type="dxa"/>
            <w:tcBorders>
              <w:top w:val="nil"/>
              <w:left w:val="nil"/>
              <w:bottom w:val="nil"/>
              <w:right w:val="nil"/>
            </w:tcBorders>
          </w:tcPr>
          <w:p w14:paraId="58A13326"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0.0214</w:t>
            </w:r>
          </w:p>
        </w:tc>
        <w:tc>
          <w:tcPr>
            <w:tcW w:w="1200" w:type="dxa"/>
            <w:tcBorders>
              <w:top w:val="nil"/>
              <w:left w:val="nil"/>
              <w:bottom w:val="nil"/>
              <w:right w:val="nil"/>
            </w:tcBorders>
          </w:tcPr>
          <w:p w14:paraId="3B342AB2"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0.0275</w:t>
            </w:r>
          </w:p>
        </w:tc>
        <w:tc>
          <w:tcPr>
            <w:tcW w:w="1200" w:type="dxa"/>
            <w:tcBorders>
              <w:top w:val="nil"/>
              <w:left w:val="nil"/>
              <w:bottom w:val="nil"/>
              <w:right w:val="nil"/>
            </w:tcBorders>
          </w:tcPr>
          <w:p w14:paraId="5B56CC19"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0.0322</w:t>
            </w:r>
          </w:p>
        </w:tc>
      </w:tr>
      <w:tr w:rsidR="006C0D68" w:rsidRPr="00C03199" w14:paraId="3F0C2A7C" w14:textId="77777777" w:rsidTr="00D97EDB">
        <w:trPr>
          <w:trHeight w:val="273"/>
        </w:trPr>
        <w:tc>
          <w:tcPr>
            <w:tcW w:w="1912" w:type="dxa"/>
            <w:tcBorders>
              <w:top w:val="nil"/>
              <w:left w:val="nil"/>
              <w:bottom w:val="nil"/>
              <w:right w:val="nil"/>
            </w:tcBorders>
          </w:tcPr>
          <w:p w14:paraId="697211E9"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STOCK</w:t>
            </w:r>
          </w:p>
        </w:tc>
        <w:tc>
          <w:tcPr>
            <w:tcW w:w="1200" w:type="dxa"/>
            <w:tcBorders>
              <w:top w:val="nil"/>
              <w:left w:val="nil"/>
              <w:bottom w:val="nil"/>
              <w:right w:val="nil"/>
            </w:tcBorders>
          </w:tcPr>
          <w:p w14:paraId="5825F7DA"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-0.1230***</w:t>
            </w:r>
          </w:p>
        </w:tc>
        <w:tc>
          <w:tcPr>
            <w:tcW w:w="1200" w:type="dxa"/>
            <w:tcBorders>
              <w:top w:val="nil"/>
              <w:left w:val="nil"/>
              <w:bottom w:val="nil"/>
              <w:right w:val="nil"/>
            </w:tcBorders>
          </w:tcPr>
          <w:p w14:paraId="43A248BA"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-0.1180**</w:t>
            </w:r>
          </w:p>
        </w:tc>
        <w:tc>
          <w:tcPr>
            <w:tcW w:w="1200" w:type="dxa"/>
            <w:tcBorders>
              <w:top w:val="nil"/>
              <w:left w:val="nil"/>
              <w:bottom w:val="nil"/>
              <w:right w:val="nil"/>
            </w:tcBorders>
          </w:tcPr>
          <w:p w14:paraId="43CCDBF1"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-0.1050**</w:t>
            </w:r>
          </w:p>
        </w:tc>
        <w:tc>
          <w:tcPr>
            <w:tcW w:w="1200" w:type="dxa"/>
            <w:tcBorders>
              <w:top w:val="nil"/>
              <w:left w:val="nil"/>
              <w:bottom w:val="nil"/>
              <w:right w:val="nil"/>
            </w:tcBorders>
          </w:tcPr>
          <w:p w14:paraId="251E7442" w14:textId="0220C9DC" w:rsidR="006C0D68" w:rsidRPr="00C03199" w:rsidRDefault="00F95DAE"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-0.0021</w:t>
            </w:r>
          </w:p>
        </w:tc>
        <w:tc>
          <w:tcPr>
            <w:tcW w:w="1200" w:type="dxa"/>
            <w:tcBorders>
              <w:top w:val="nil"/>
              <w:left w:val="nil"/>
              <w:bottom w:val="nil"/>
              <w:right w:val="nil"/>
            </w:tcBorders>
          </w:tcPr>
          <w:p w14:paraId="1C5EDB4D"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-0.0106</w:t>
            </w:r>
          </w:p>
        </w:tc>
        <w:tc>
          <w:tcPr>
            <w:tcW w:w="1200" w:type="dxa"/>
            <w:tcBorders>
              <w:top w:val="nil"/>
              <w:left w:val="nil"/>
              <w:bottom w:val="nil"/>
              <w:right w:val="nil"/>
            </w:tcBorders>
          </w:tcPr>
          <w:p w14:paraId="7E0FCBD8"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-0.014</w:t>
            </w:r>
          </w:p>
        </w:tc>
      </w:tr>
      <w:tr w:rsidR="006C0D68" w:rsidRPr="00C03199" w14:paraId="554C3E3D" w14:textId="77777777" w:rsidTr="00D97EDB">
        <w:trPr>
          <w:trHeight w:val="273"/>
        </w:trPr>
        <w:tc>
          <w:tcPr>
            <w:tcW w:w="1912" w:type="dxa"/>
            <w:tcBorders>
              <w:top w:val="nil"/>
              <w:left w:val="nil"/>
              <w:bottom w:val="nil"/>
              <w:right w:val="nil"/>
            </w:tcBorders>
          </w:tcPr>
          <w:p w14:paraId="50C6AB31"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Percentage of Stake</w:t>
            </w:r>
          </w:p>
        </w:tc>
        <w:tc>
          <w:tcPr>
            <w:tcW w:w="1200" w:type="dxa"/>
            <w:tcBorders>
              <w:top w:val="nil"/>
              <w:left w:val="nil"/>
              <w:bottom w:val="nil"/>
              <w:right w:val="nil"/>
            </w:tcBorders>
          </w:tcPr>
          <w:p w14:paraId="70A24FF6"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0.0011</w:t>
            </w:r>
          </w:p>
        </w:tc>
        <w:tc>
          <w:tcPr>
            <w:tcW w:w="1200" w:type="dxa"/>
            <w:tcBorders>
              <w:top w:val="nil"/>
              <w:left w:val="nil"/>
              <w:bottom w:val="nil"/>
              <w:right w:val="nil"/>
            </w:tcBorders>
          </w:tcPr>
          <w:p w14:paraId="1DE2966B"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0.0012</w:t>
            </w:r>
          </w:p>
        </w:tc>
        <w:tc>
          <w:tcPr>
            <w:tcW w:w="1200" w:type="dxa"/>
            <w:tcBorders>
              <w:top w:val="nil"/>
              <w:left w:val="nil"/>
              <w:bottom w:val="nil"/>
              <w:right w:val="nil"/>
            </w:tcBorders>
          </w:tcPr>
          <w:p w14:paraId="18B138B3"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0.0006</w:t>
            </w:r>
          </w:p>
        </w:tc>
        <w:tc>
          <w:tcPr>
            <w:tcW w:w="1200" w:type="dxa"/>
            <w:tcBorders>
              <w:top w:val="nil"/>
              <w:left w:val="nil"/>
              <w:bottom w:val="nil"/>
              <w:right w:val="nil"/>
            </w:tcBorders>
          </w:tcPr>
          <w:p w14:paraId="61D8FCD9" w14:textId="4F05AEB4" w:rsidR="006C0D68" w:rsidRPr="00C03199" w:rsidRDefault="00472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-0.0020</w:t>
            </w:r>
          </w:p>
        </w:tc>
        <w:tc>
          <w:tcPr>
            <w:tcW w:w="1200" w:type="dxa"/>
            <w:tcBorders>
              <w:top w:val="nil"/>
              <w:left w:val="nil"/>
              <w:bottom w:val="nil"/>
              <w:right w:val="nil"/>
            </w:tcBorders>
          </w:tcPr>
          <w:p w14:paraId="5C68F828" w14:textId="72B677FD" w:rsidR="006C0D68" w:rsidRPr="00C03199" w:rsidRDefault="00C06491"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-0.0011</w:t>
            </w:r>
          </w:p>
        </w:tc>
        <w:tc>
          <w:tcPr>
            <w:tcW w:w="1200" w:type="dxa"/>
            <w:tcBorders>
              <w:top w:val="nil"/>
              <w:left w:val="nil"/>
              <w:bottom w:val="nil"/>
              <w:right w:val="nil"/>
            </w:tcBorders>
          </w:tcPr>
          <w:p w14:paraId="420502E1"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-0.0003</w:t>
            </w:r>
          </w:p>
        </w:tc>
      </w:tr>
      <w:tr w:rsidR="006C0D68" w:rsidRPr="00C03199" w14:paraId="34AA445C" w14:textId="77777777" w:rsidTr="00D97EDB">
        <w:trPr>
          <w:trHeight w:val="273"/>
        </w:trPr>
        <w:tc>
          <w:tcPr>
            <w:tcW w:w="1912" w:type="dxa"/>
            <w:tcBorders>
              <w:top w:val="nil"/>
              <w:left w:val="nil"/>
              <w:bottom w:val="nil"/>
              <w:right w:val="nil"/>
            </w:tcBorders>
          </w:tcPr>
          <w:p w14:paraId="68FC9575"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Log Market-Value</w:t>
            </w:r>
          </w:p>
        </w:tc>
        <w:tc>
          <w:tcPr>
            <w:tcW w:w="1200" w:type="dxa"/>
            <w:tcBorders>
              <w:top w:val="nil"/>
              <w:left w:val="nil"/>
              <w:bottom w:val="nil"/>
              <w:right w:val="nil"/>
            </w:tcBorders>
          </w:tcPr>
          <w:p w14:paraId="3CFE878A"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-0.0080</w:t>
            </w:r>
          </w:p>
        </w:tc>
        <w:tc>
          <w:tcPr>
            <w:tcW w:w="1200" w:type="dxa"/>
            <w:tcBorders>
              <w:top w:val="nil"/>
              <w:left w:val="nil"/>
              <w:bottom w:val="nil"/>
              <w:right w:val="nil"/>
            </w:tcBorders>
          </w:tcPr>
          <w:p w14:paraId="0BA29167"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0.0016</w:t>
            </w:r>
          </w:p>
        </w:tc>
        <w:tc>
          <w:tcPr>
            <w:tcW w:w="1200" w:type="dxa"/>
            <w:tcBorders>
              <w:top w:val="nil"/>
              <w:left w:val="nil"/>
              <w:bottom w:val="nil"/>
              <w:right w:val="nil"/>
            </w:tcBorders>
          </w:tcPr>
          <w:p w14:paraId="76B0CED7"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-0.0005</w:t>
            </w:r>
          </w:p>
        </w:tc>
        <w:tc>
          <w:tcPr>
            <w:tcW w:w="1200" w:type="dxa"/>
            <w:tcBorders>
              <w:top w:val="nil"/>
              <w:left w:val="nil"/>
              <w:bottom w:val="nil"/>
              <w:right w:val="nil"/>
            </w:tcBorders>
          </w:tcPr>
          <w:p w14:paraId="77FC17AC"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-0.0114</w:t>
            </w:r>
          </w:p>
        </w:tc>
        <w:tc>
          <w:tcPr>
            <w:tcW w:w="1200" w:type="dxa"/>
            <w:tcBorders>
              <w:top w:val="nil"/>
              <w:left w:val="nil"/>
              <w:bottom w:val="nil"/>
              <w:right w:val="nil"/>
            </w:tcBorders>
          </w:tcPr>
          <w:p w14:paraId="1D250E35"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-0.0066</w:t>
            </w:r>
          </w:p>
        </w:tc>
        <w:tc>
          <w:tcPr>
            <w:tcW w:w="1200" w:type="dxa"/>
            <w:tcBorders>
              <w:top w:val="nil"/>
              <w:left w:val="nil"/>
              <w:bottom w:val="nil"/>
              <w:right w:val="nil"/>
            </w:tcBorders>
          </w:tcPr>
          <w:p w14:paraId="319ED04F"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-0.0049</w:t>
            </w:r>
          </w:p>
        </w:tc>
      </w:tr>
      <w:tr w:rsidR="006C0D68" w:rsidRPr="00C03199" w14:paraId="26F2B90F" w14:textId="77777777" w:rsidTr="00D97EDB">
        <w:trPr>
          <w:trHeight w:val="273"/>
        </w:trPr>
        <w:tc>
          <w:tcPr>
            <w:tcW w:w="1912" w:type="dxa"/>
            <w:tcBorders>
              <w:top w:val="nil"/>
              <w:left w:val="nil"/>
              <w:bottom w:val="nil"/>
              <w:right w:val="nil"/>
            </w:tcBorders>
          </w:tcPr>
          <w:p w14:paraId="030D5937"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Stock run-up</w:t>
            </w:r>
          </w:p>
        </w:tc>
        <w:tc>
          <w:tcPr>
            <w:tcW w:w="1200" w:type="dxa"/>
            <w:tcBorders>
              <w:top w:val="nil"/>
              <w:left w:val="nil"/>
              <w:bottom w:val="nil"/>
              <w:right w:val="nil"/>
            </w:tcBorders>
          </w:tcPr>
          <w:p w14:paraId="322433A6" w14:textId="5B9725C9"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31DE48A4" w14:textId="5B65A91D"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3795842F" w14:textId="43C9D617"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7DFCD949" w14:textId="2F2D48F3"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6828BA08" w14:textId="2316707F"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7D75B020" w14:textId="17B35525"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6C0D68" w:rsidRPr="00C03199" w14:paraId="4B34BF99" w14:textId="77777777" w:rsidTr="00D97EDB">
        <w:trPr>
          <w:trHeight w:val="273"/>
        </w:trPr>
        <w:tc>
          <w:tcPr>
            <w:tcW w:w="1912" w:type="dxa"/>
            <w:tcBorders>
              <w:top w:val="nil"/>
              <w:left w:val="nil"/>
              <w:bottom w:val="nil"/>
              <w:right w:val="nil"/>
            </w:tcBorders>
          </w:tcPr>
          <w:p w14:paraId="48B22A9F" w14:textId="77777777" w:rsidR="006C0D68" w:rsidRPr="00C03199" w:rsidRDefault="006C0D68" w:rsidP="00D97EDB">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EV to EBITDA</w:t>
            </w:r>
          </w:p>
        </w:tc>
        <w:tc>
          <w:tcPr>
            <w:tcW w:w="1200" w:type="dxa"/>
            <w:tcBorders>
              <w:top w:val="nil"/>
              <w:left w:val="nil"/>
              <w:bottom w:val="nil"/>
              <w:right w:val="nil"/>
            </w:tcBorders>
          </w:tcPr>
          <w:p w14:paraId="7619FC1C" w14:textId="06499117" w:rsidR="006C0D68" w:rsidRPr="00C03199" w:rsidRDefault="00E232F0"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-0.0002*</w:t>
            </w:r>
          </w:p>
        </w:tc>
        <w:tc>
          <w:tcPr>
            <w:tcW w:w="1200" w:type="dxa"/>
            <w:tcBorders>
              <w:top w:val="nil"/>
              <w:left w:val="nil"/>
              <w:bottom w:val="nil"/>
              <w:right w:val="nil"/>
            </w:tcBorders>
          </w:tcPr>
          <w:p w14:paraId="5DE9C305" w14:textId="67641A15" w:rsidR="006C0D68" w:rsidRPr="00C03199" w:rsidRDefault="00E232F0"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-0.0003*</w:t>
            </w:r>
          </w:p>
        </w:tc>
        <w:tc>
          <w:tcPr>
            <w:tcW w:w="1200" w:type="dxa"/>
            <w:tcBorders>
              <w:top w:val="nil"/>
              <w:left w:val="nil"/>
              <w:bottom w:val="nil"/>
              <w:right w:val="nil"/>
            </w:tcBorders>
          </w:tcPr>
          <w:p w14:paraId="6BEB729A" w14:textId="77777777" w:rsidR="006C0D68" w:rsidRPr="00C03199" w:rsidRDefault="006C0D68" w:rsidP="00D97EDB">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-0.0003*</w:t>
            </w:r>
          </w:p>
        </w:tc>
        <w:tc>
          <w:tcPr>
            <w:tcW w:w="1200" w:type="dxa"/>
            <w:tcBorders>
              <w:top w:val="nil"/>
              <w:left w:val="nil"/>
              <w:bottom w:val="nil"/>
              <w:right w:val="nil"/>
            </w:tcBorders>
          </w:tcPr>
          <w:p w14:paraId="42986B57" w14:textId="3627D4A6"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6C5AC9EF" w14:textId="63FA3E20"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7201D427" w14:textId="0344521B" w:rsidR="006C0D68" w:rsidRPr="00C03199" w:rsidRDefault="00BF2649" w:rsidP="00D97EDB">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58652C" w:rsidRPr="00C03199" w14:paraId="6D145D8E" w14:textId="77777777" w:rsidTr="0058652C">
        <w:trPr>
          <w:trHeight w:val="273"/>
        </w:trPr>
        <w:tc>
          <w:tcPr>
            <w:tcW w:w="1912" w:type="dxa"/>
            <w:tcBorders>
              <w:top w:val="nil"/>
              <w:left w:val="nil"/>
              <w:bottom w:val="nil"/>
              <w:right w:val="nil"/>
            </w:tcBorders>
          </w:tcPr>
          <w:p w14:paraId="3437C7A3" w14:textId="77777777" w:rsidR="0058652C" w:rsidRPr="00C03199" w:rsidRDefault="0058652C" w:rsidP="009C2124">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Target EPS</w:t>
            </w:r>
          </w:p>
        </w:tc>
        <w:tc>
          <w:tcPr>
            <w:tcW w:w="1200" w:type="dxa"/>
            <w:tcBorders>
              <w:top w:val="nil"/>
              <w:left w:val="nil"/>
              <w:bottom w:val="nil"/>
              <w:right w:val="nil"/>
            </w:tcBorders>
          </w:tcPr>
          <w:p w14:paraId="5AF28B3C" w14:textId="77777777" w:rsidR="0058652C" w:rsidRPr="00C03199" w:rsidRDefault="0058652C" w:rsidP="009C2124">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-0.0004</w:t>
            </w:r>
          </w:p>
        </w:tc>
        <w:tc>
          <w:tcPr>
            <w:tcW w:w="1200" w:type="dxa"/>
            <w:tcBorders>
              <w:top w:val="nil"/>
              <w:left w:val="nil"/>
              <w:bottom w:val="nil"/>
              <w:right w:val="nil"/>
            </w:tcBorders>
          </w:tcPr>
          <w:p w14:paraId="25D46087" w14:textId="77777777" w:rsidR="0058652C" w:rsidRPr="00C03199" w:rsidRDefault="0058652C" w:rsidP="009C2124">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-0.0003</w:t>
            </w:r>
          </w:p>
        </w:tc>
        <w:tc>
          <w:tcPr>
            <w:tcW w:w="1200" w:type="dxa"/>
            <w:tcBorders>
              <w:top w:val="nil"/>
              <w:left w:val="nil"/>
              <w:bottom w:val="nil"/>
              <w:right w:val="nil"/>
            </w:tcBorders>
          </w:tcPr>
          <w:p w14:paraId="5F87EBD0" w14:textId="77777777" w:rsidR="0058652C" w:rsidRPr="00C03199" w:rsidRDefault="0058652C" w:rsidP="009C2124">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-0.0006</w:t>
            </w:r>
          </w:p>
        </w:tc>
        <w:tc>
          <w:tcPr>
            <w:tcW w:w="1200" w:type="dxa"/>
            <w:tcBorders>
              <w:top w:val="nil"/>
              <w:left w:val="nil"/>
              <w:bottom w:val="nil"/>
              <w:right w:val="nil"/>
            </w:tcBorders>
          </w:tcPr>
          <w:p w14:paraId="7C6E836B" w14:textId="77777777" w:rsidR="0058652C" w:rsidRPr="00C03199" w:rsidRDefault="0058652C" w:rsidP="009C2124">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0.0024**</w:t>
            </w:r>
          </w:p>
        </w:tc>
        <w:tc>
          <w:tcPr>
            <w:tcW w:w="1200" w:type="dxa"/>
            <w:tcBorders>
              <w:top w:val="nil"/>
              <w:left w:val="nil"/>
              <w:bottom w:val="nil"/>
              <w:right w:val="nil"/>
            </w:tcBorders>
          </w:tcPr>
          <w:p w14:paraId="36B49F8D" w14:textId="77777777" w:rsidR="0058652C" w:rsidRPr="00C03199" w:rsidRDefault="0058652C" w:rsidP="009C2124">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0.0024**</w:t>
            </w:r>
          </w:p>
        </w:tc>
        <w:tc>
          <w:tcPr>
            <w:tcW w:w="1200" w:type="dxa"/>
            <w:tcBorders>
              <w:top w:val="nil"/>
              <w:left w:val="nil"/>
              <w:bottom w:val="nil"/>
              <w:right w:val="nil"/>
            </w:tcBorders>
          </w:tcPr>
          <w:p w14:paraId="4A59AB7B" w14:textId="77777777" w:rsidR="0058652C" w:rsidRPr="00C03199" w:rsidRDefault="0058652C" w:rsidP="009C2124">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0.0019*</w:t>
            </w:r>
          </w:p>
        </w:tc>
      </w:tr>
      <w:tr w:rsidR="00BF2649" w:rsidRPr="00C03199" w14:paraId="49A04CBE" w14:textId="77777777" w:rsidTr="0058652C">
        <w:trPr>
          <w:trHeight w:val="273"/>
        </w:trPr>
        <w:tc>
          <w:tcPr>
            <w:tcW w:w="1912" w:type="dxa"/>
            <w:tcBorders>
              <w:top w:val="nil"/>
              <w:left w:val="nil"/>
              <w:bottom w:val="nil"/>
              <w:right w:val="nil"/>
            </w:tcBorders>
          </w:tcPr>
          <w:p w14:paraId="4156028D"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Assets growth rate</w:t>
            </w:r>
          </w:p>
        </w:tc>
        <w:tc>
          <w:tcPr>
            <w:tcW w:w="1200" w:type="dxa"/>
            <w:tcBorders>
              <w:top w:val="nil"/>
              <w:left w:val="nil"/>
              <w:bottom w:val="nil"/>
              <w:right w:val="nil"/>
            </w:tcBorders>
          </w:tcPr>
          <w:p w14:paraId="1BACBFB4" w14:textId="01DFE129"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4D43261F" w14:textId="4953F641"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241A42EA" w14:textId="7A15732E"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1E85C1B5" w14:textId="317EDA62"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0C650729" w14:textId="0817852E"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1AD07189" w14:textId="3A31391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BF2649" w:rsidRPr="00C03199" w14:paraId="65907645" w14:textId="77777777" w:rsidTr="0058652C">
        <w:trPr>
          <w:trHeight w:val="273"/>
        </w:trPr>
        <w:tc>
          <w:tcPr>
            <w:tcW w:w="1912" w:type="dxa"/>
            <w:tcBorders>
              <w:top w:val="nil"/>
              <w:left w:val="nil"/>
              <w:bottom w:val="nil"/>
              <w:right w:val="nil"/>
            </w:tcBorders>
          </w:tcPr>
          <w:p w14:paraId="5BCBA51A"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EBIT growth rate</w:t>
            </w:r>
          </w:p>
        </w:tc>
        <w:tc>
          <w:tcPr>
            <w:tcW w:w="1200" w:type="dxa"/>
            <w:tcBorders>
              <w:top w:val="nil"/>
              <w:left w:val="nil"/>
              <w:bottom w:val="nil"/>
              <w:right w:val="nil"/>
            </w:tcBorders>
          </w:tcPr>
          <w:p w14:paraId="2E89B023" w14:textId="0B5D60D5"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7336F272" w14:textId="2CFB665F"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1E000769" w14:textId="7BBE71E2"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022914B3" w14:textId="3097BC5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7D0BCA6D" w14:textId="46701BA9"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4861A8AB" w14:textId="4D6ACE6C"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BF2649" w:rsidRPr="00C03199" w14:paraId="7CBFDDFC" w14:textId="77777777" w:rsidTr="0058652C">
        <w:trPr>
          <w:trHeight w:val="273"/>
        </w:trPr>
        <w:tc>
          <w:tcPr>
            <w:tcW w:w="1912" w:type="dxa"/>
            <w:tcBorders>
              <w:top w:val="nil"/>
              <w:left w:val="nil"/>
              <w:bottom w:val="nil"/>
              <w:right w:val="nil"/>
            </w:tcBorders>
          </w:tcPr>
          <w:p w14:paraId="2EC8A118"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EBIT growth rate</w:t>
            </w:r>
          </w:p>
          <w:p w14:paraId="68FAA131"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p>
        </w:tc>
        <w:tc>
          <w:tcPr>
            <w:tcW w:w="1200" w:type="dxa"/>
            <w:tcBorders>
              <w:top w:val="nil"/>
              <w:left w:val="nil"/>
              <w:bottom w:val="nil"/>
              <w:right w:val="nil"/>
            </w:tcBorders>
          </w:tcPr>
          <w:p w14:paraId="7206BC80" w14:textId="7DD92FCE"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lastRenderedPageBreak/>
              <w:t>-0.0001</w:t>
            </w:r>
          </w:p>
        </w:tc>
        <w:tc>
          <w:tcPr>
            <w:tcW w:w="1200" w:type="dxa"/>
            <w:tcBorders>
              <w:top w:val="nil"/>
              <w:left w:val="nil"/>
              <w:bottom w:val="nil"/>
              <w:right w:val="nil"/>
            </w:tcBorders>
          </w:tcPr>
          <w:p w14:paraId="077A6354" w14:textId="30D31D6F"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7D41457C" w14:textId="71E81B6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4C139A2F" w14:textId="3AE0121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270EEBE5" w14:textId="5D09F9A9"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027C7C79" w14:textId="22CD6147"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bl>
    <w:p w14:paraId="0C7F02EE" w14:textId="6A95F549" w:rsidR="0013678E" w:rsidRPr="00C03199" w:rsidRDefault="0013678E" w:rsidP="0013678E">
      <w:pPr>
        <w:spacing w:after="0" w:line="360" w:lineRule="auto"/>
        <w:jc w:val="center"/>
        <w:rPr>
          <w:rFonts w:ascii="Times New Roman" w:hAnsi="Times New Roman" w:cs="Times New Roman"/>
          <w:sz w:val="20"/>
          <w:szCs w:val="20"/>
        </w:rPr>
      </w:pPr>
      <w:r w:rsidRPr="00C03199">
        <w:rPr>
          <w:rFonts w:ascii="Times New Roman" w:hAnsi="Times New Roman" w:cs="Times New Roman"/>
          <w:sz w:val="20"/>
          <w:szCs w:val="20"/>
        </w:rPr>
        <w:t>Table 3</w:t>
      </w:r>
    </w:p>
    <w:p w14:paraId="7FA01F33" w14:textId="7851D4D7" w:rsidR="0013678E" w:rsidRPr="00C03199" w:rsidRDefault="0013678E" w:rsidP="0013678E">
      <w:pPr>
        <w:spacing w:after="0" w:line="360" w:lineRule="auto"/>
        <w:jc w:val="center"/>
        <w:rPr>
          <w:rFonts w:ascii="Times New Roman" w:hAnsi="Times New Roman" w:cs="Times New Roman"/>
          <w:sz w:val="20"/>
          <w:szCs w:val="20"/>
        </w:rPr>
      </w:pPr>
      <w:r w:rsidRPr="00C03199">
        <w:rPr>
          <w:rFonts w:ascii="Times New Roman" w:hAnsi="Times New Roman" w:cs="Times New Roman"/>
          <w:sz w:val="20"/>
          <w:szCs w:val="20"/>
        </w:rPr>
        <w:t>Continued.</w:t>
      </w:r>
    </w:p>
    <w:p w14:paraId="602E54FA" w14:textId="77777777" w:rsidR="0013678E" w:rsidRPr="00C03199" w:rsidRDefault="0013678E" w:rsidP="0013678E">
      <w:pPr>
        <w:spacing w:after="0" w:line="360" w:lineRule="auto"/>
        <w:jc w:val="both"/>
        <w:rPr>
          <w:rFonts w:ascii="Times New Roman" w:hAnsi="Times New Roman" w:cs="Times New Roman"/>
          <w:noProof/>
          <w:sz w:val="20"/>
          <w:szCs w:val="20"/>
        </w:rPr>
      </w:pPr>
      <w:r w:rsidRPr="00C03199">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21BE76D4" wp14:editId="0388AE50">
                <wp:simplePos x="0" y="0"/>
                <wp:positionH relativeFrom="margin">
                  <wp:align>left</wp:align>
                </wp:positionH>
                <wp:positionV relativeFrom="paragraph">
                  <wp:posOffset>47736</wp:posOffset>
                </wp:positionV>
                <wp:extent cx="5732890" cy="0"/>
                <wp:effectExtent l="0" t="0" r="20320" b="19050"/>
                <wp:wrapNone/>
                <wp:docPr id="13" name="Straight Connector 13"/>
                <wp:cNvGraphicFramePr/>
                <a:graphic xmlns:a="http://schemas.openxmlformats.org/drawingml/2006/main">
                  <a:graphicData uri="http://schemas.microsoft.com/office/word/2010/wordprocessingShape">
                    <wps:wsp>
                      <wps:cNvCnPr/>
                      <wps:spPr>
                        <a:xfrm>
                          <a:off x="0" y="0"/>
                          <a:ext cx="57328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1C75F6" id="Straight Connector 13" o:spid="_x0000_s1026" style="position:absolute;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5pt" to="451.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OczgEAAPkDAAAOAAAAZHJzL2Uyb0RvYy54bWysU8Fu2zAMvQ/oPwi6L3ZSbOuMOD2kaC/D&#10;FqzbB6iyFAuTRIHSYufvR8mJU7TDMAy70KbE98hHUuvb0Vl2UBgN+JYvFzVnykvojN+3/Pu3+7c3&#10;nMUkfCcseNXyo4r8dnP1Zj2ERq2gB9spZETiYzOElvcphaaqouyVE3EBQXm61IBOJHJxX3UoBmJ3&#10;tlrV9ftqAOwCglQx0unddMk3hV9rJdMXraNKzLacakvFYrFP2VabtWj2KEJv5KkM8Q9VOGE8JZ2p&#10;7kQS7CeaV1TOSIQIOi0kuAq0NlIVDaRmWb9Q89iLoIoWak4Mc5vi/6OVnw87ZKaj2V1z5oWjGT0m&#10;FGbfJ7YF76mDgIwuqVNDiA0Btn6HJy+GHWbZo0aXvySIjaW7x7m7akxM0uG7D9erm480BHm+qy7A&#10;gDE9KHAs/7TcGp+Fi0YcPsVEySj0HJKPrc82gjXdvbG2OHll1NYiOwgadhqXuWTCPYsiLyOrLGQq&#10;vfylo1UT61elqRlU7LJkL2t44ex+nDmtp8gM0ZR9BtV/Bp1iM0yV1fxb4BxdMoJPM9AZD/i7rBf5&#10;eoo/q560ZtlP0B3LIEs7aL9Kt05vIS/wc7/ALy928wsAAP//AwBQSwMEFAAGAAgAAAAhADUHgE7b&#10;AAAABAEAAA8AAABkcnMvZG93bnJldi54bWxMj0FrwkAUhO+F/oflFXopuqlFbdNspAS89FDQiHhc&#10;s89saPZtyK4m/vu+emmPwwwz32Sr0bXign1oPCl4niYgkCpvGqoV7Mr15BVEiJqMbj2hgisGWOX3&#10;d5lOjR9og5dtrAWXUEi1Ahtjl0oZKotOh6nvkNg7+d7pyLKvpen1wOWulbMkWUinG+IFqzssLFbf&#10;27NTcKifXtb7ksqhiF+nhR2v+895odTjw/jxDiLiGP/C8IvP6JAz09GfyQTRKuAjUcFyDoLNt2TG&#10;P443LfNM/ofPfwAAAP//AwBQSwECLQAUAAYACAAAACEAtoM4kv4AAADhAQAAEwAAAAAAAAAAAAAA&#10;AAAAAAAAW0NvbnRlbnRfVHlwZXNdLnhtbFBLAQItABQABgAIAAAAIQA4/SH/1gAAAJQBAAALAAAA&#10;AAAAAAAAAAAAAC8BAABfcmVscy8ucmVsc1BLAQItABQABgAIAAAAIQBNeCOczgEAAPkDAAAOAAAA&#10;AAAAAAAAAAAAAC4CAABkcnMvZTJvRG9jLnhtbFBLAQItABQABgAIAAAAIQA1B4BO2wAAAAQBAAAP&#10;AAAAAAAAAAAAAAAAACgEAABkcnMvZG93bnJldi54bWxQSwUGAAAAAAQABADzAAAAMAUAAAAA&#10;" strokecolor="black [3213]" strokeweight=".5pt">
                <v:stroke joinstyle="miter"/>
                <w10:wrap anchorx="margin"/>
              </v:line>
            </w:pict>
          </mc:Fallback>
        </mc:AlternateContent>
      </w:r>
      <w:r w:rsidRPr="00C03199">
        <w:rPr>
          <w:rFonts w:ascii="Times New Roman" w:hAnsi="Times New Roman" w:cs="Times New Roman"/>
        </w:rPr>
        <w:tab/>
      </w:r>
    </w:p>
    <w:tbl>
      <w:tblPr>
        <w:tblW w:w="9112" w:type="dxa"/>
        <w:tblLayout w:type="fixed"/>
        <w:tblCellMar>
          <w:left w:w="75" w:type="dxa"/>
          <w:right w:w="75" w:type="dxa"/>
        </w:tblCellMar>
        <w:tblLook w:val="0000" w:firstRow="0" w:lastRow="0" w:firstColumn="0" w:lastColumn="0" w:noHBand="0" w:noVBand="0"/>
      </w:tblPr>
      <w:tblGrid>
        <w:gridCol w:w="1912"/>
        <w:gridCol w:w="1200"/>
        <w:gridCol w:w="1200"/>
        <w:gridCol w:w="1200"/>
        <w:gridCol w:w="1200"/>
        <w:gridCol w:w="1200"/>
        <w:gridCol w:w="1200"/>
      </w:tblGrid>
      <w:tr w:rsidR="0013678E" w:rsidRPr="00C03199" w14:paraId="33F889AB" w14:textId="77777777" w:rsidTr="009C2124">
        <w:trPr>
          <w:trHeight w:val="273"/>
        </w:trPr>
        <w:tc>
          <w:tcPr>
            <w:tcW w:w="1912" w:type="dxa"/>
            <w:tcBorders>
              <w:top w:val="nil"/>
              <w:left w:val="nil"/>
              <w:bottom w:val="nil"/>
              <w:right w:val="nil"/>
            </w:tcBorders>
          </w:tcPr>
          <w:p w14:paraId="6C7ED8DA"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Event window</w:t>
            </w:r>
          </w:p>
        </w:tc>
        <w:tc>
          <w:tcPr>
            <w:tcW w:w="1200" w:type="dxa"/>
            <w:tcBorders>
              <w:top w:val="nil"/>
              <w:left w:val="nil"/>
              <w:bottom w:val="nil"/>
              <w:right w:val="nil"/>
            </w:tcBorders>
          </w:tcPr>
          <w:p w14:paraId="595221D3"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3EE87498"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76CDB5FF"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4CCBDC1D"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 +5</w:t>
            </w:r>
          </w:p>
        </w:tc>
        <w:tc>
          <w:tcPr>
            <w:tcW w:w="1200" w:type="dxa"/>
            <w:tcBorders>
              <w:top w:val="nil"/>
              <w:left w:val="nil"/>
              <w:bottom w:val="nil"/>
              <w:right w:val="nil"/>
            </w:tcBorders>
          </w:tcPr>
          <w:p w14:paraId="43C834B4"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c>
          <w:tcPr>
            <w:tcW w:w="1200" w:type="dxa"/>
            <w:tcBorders>
              <w:top w:val="nil"/>
              <w:left w:val="nil"/>
              <w:bottom w:val="nil"/>
              <w:right w:val="nil"/>
            </w:tcBorders>
          </w:tcPr>
          <w:p w14:paraId="729AB401"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r>
      <w:tr w:rsidR="0013678E" w:rsidRPr="00C03199" w14:paraId="22A892DC" w14:textId="77777777" w:rsidTr="009C2124">
        <w:trPr>
          <w:trHeight w:val="273"/>
        </w:trPr>
        <w:tc>
          <w:tcPr>
            <w:tcW w:w="1912" w:type="dxa"/>
            <w:tcBorders>
              <w:top w:val="nil"/>
              <w:left w:val="nil"/>
              <w:bottom w:val="single" w:sz="6" w:space="0" w:color="auto"/>
              <w:right w:val="nil"/>
            </w:tcBorders>
          </w:tcPr>
          <w:p w14:paraId="60C62FF9" w14:textId="77777777" w:rsidR="0013678E" w:rsidRPr="00C03199" w:rsidRDefault="0013678E" w:rsidP="009C2124">
            <w:pPr>
              <w:widowControl w:val="0"/>
              <w:autoSpaceDE w:val="0"/>
              <w:autoSpaceDN w:val="0"/>
              <w:adjustRightInd w:val="0"/>
              <w:spacing w:after="0" w:line="240" w:lineRule="auto"/>
              <w:rPr>
                <w:rFonts w:ascii="Times New Roman" w:hAnsi="Times New Roman" w:cs="Times New Roman"/>
                <w:sz w:val="18"/>
                <w:szCs w:val="24"/>
              </w:rPr>
            </w:pPr>
          </w:p>
        </w:tc>
        <w:tc>
          <w:tcPr>
            <w:tcW w:w="1200" w:type="dxa"/>
            <w:tcBorders>
              <w:top w:val="nil"/>
              <w:left w:val="nil"/>
              <w:bottom w:val="single" w:sz="6" w:space="0" w:color="auto"/>
              <w:right w:val="nil"/>
            </w:tcBorders>
          </w:tcPr>
          <w:p w14:paraId="2E2B4EE8" w14:textId="77777777" w:rsidR="0013678E" w:rsidRPr="00C03199" w:rsidRDefault="0013678E" w:rsidP="009C2124">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4E7EDFE4" w14:textId="77777777" w:rsidR="0013678E" w:rsidRPr="00C03199" w:rsidRDefault="0013678E" w:rsidP="009C2124">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745FFDD9" w14:textId="77777777" w:rsidR="0013678E" w:rsidRPr="00C03199" w:rsidRDefault="0013678E" w:rsidP="009C2124">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c>
          <w:tcPr>
            <w:tcW w:w="1200" w:type="dxa"/>
            <w:tcBorders>
              <w:top w:val="nil"/>
              <w:left w:val="nil"/>
              <w:bottom w:val="single" w:sz="6" w:space="0" w:color="auto"/>
              <w:right w:val="nil"/>
            </w:tcBorders>
          </w:tcPr>
          <w:p w14:paraId="219A6DBD" w14:textId="77777777" w:rsidR="0013678E" w:rsidRPr="00C03199" w:rsidRDefault="0013678E" w:rsidP="009C2124">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3C70A189" w14:textId="77777777" w:rsidR="0013678E" w:rsidRPr="00C03199" w:rsidRDefault="0013678E" w:rsidP="009C2124">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47F1CF40" w14:textId="77777777" w:rsidR="0013678E" w:rsidRPr="00C03199" w:rsidRDefault="0013678E" w:rsidP="009C2124">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r>
    </w:tbl>
    <w:p w14:paraId="29CF305C" w14:textId="3816B5C6" w:rsidR="0013678E" w:rsidRPr="00C03199" w:rsidRDefault="0013678E" w:rsidP="00D34A27">
      <w:pPr>
        <w:spacing w:after="0" w:line="240" w:lineRule="auto"/>
        <w:jc w:val="both"/>
        <w:rPr>
          <w:rFonts w:ascii="Times New Roman" w:hAnsi="Times New Roman" w:cs="Times New Roman"/>
          <w:color w:val="FF0000"/>
        </w:rPr>
      </w:pPr>
    </w:p>
    <w:tbl>
      <w:tblPr>
        <w:tblW w:w="9112" w:type="dxa"/>
        <w:tblLayout w:type="fixed"/>
        <w:tblCellMar>
          <w:left w:w="75" w:type="dxa"/>
          <w:right w:w="75" w:type="dxa"/>
        </w:tblCellMar>
        <w:tblLook w:val="0000" w:firstRow="0" w:lastRow="0" w:firstColumn="0" w:lastColumn="0" w:noHBand="0" w:noVBand="0"/>
      </w:tblPr>
      <w:tblGrid>
        <w:gridCol w:w="1912"/>
        <w:gridCol w:w="1200"/>
        <w:gridCol w:w="1200"/>
        <w:gridCol w:w="1200"/>
        <w:gridCol w:w="1200"/>
        <w:gridCol w:w="1200"/>
        <w:gridCol w:w="1200"/>
      </w:tblGrid>
      <w:tr w:rsidR="00DD518E" w:rsidRPr="00C03199" w14:paraId="351E0343" w14:textId="77777777" w:rsidTr="00D97EDB">
        <w:trPr>
          <w:trHeight w:val="273"/>
        </w:trPr>
        <w:tc>
          <w:tcPr>
            <w:tcW w:w="1912" w:type="dxa"/>
            <w:tcBorders>
              <w:top w:val="nil"/>
              <w:left w:val="nil"/>
              <w:bottom w:val="nil"/>
              <w:right w:val="nil"/>
            </w:tcBorders>
          </w:tcPr>
          <w:p w14:paraId="11B33E17" w14:textId="621AB5EB"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EPS growth rate</w:t>
            </w:r>
          </w:p>
        </w:tc>
        <w:tc>
          <w:tcPr>
            <w:tcW w:w="1200" w:type="dxa"/>
            <w:tcBorders>
              <w:top w:val="nil"/>
              <w:left w:val="nil"/>
              <w:bottom w:val="nil"/>
              <w:right w:val="nil"/>
            </w:tcBorders>
          </w:tcPr>
          <w:p w14:paraId="2461BCEB" w14:textId="47B1C05F" w:rsidR="00DD518E" w:rsidRPr="00C03199" w:rsidRDefault="00B85E24"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00" w:type="dxa"/>
            <w:tcBorders>
              <w:top w:val="nil"/>
              <w:left w:val="nil"/>
              <w:bottom w:val="nil"/>
              <w:right w:val="nil"/>
            </w:tcBorders>
          </w:tcPr>
          <w:p w14:paraId="54993E90" w14:textId="6BC643F4"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0.0001</w:t>
            </w:r>
          </w:p>
        </w:tc>
        <w:tc>
          <w:tcPr>
            <w:tcW w:w="1200" w:type="dxa"/>
            <w:tcBorders>
              <w:top w:val="nil"/>
              <w:left w:val="nil"/>
              <w:bottom w:val="nil"/>
              <w:right w:val="nil"/>
            </w:tcBorders>
          </w:tcPr>
          <w:p w14:paraId="16020730" w14:textId="72E45AFA" w:rsidR="00DD518E" w:rsidRPr="00C03199" w:rsidRDefault="00B85E24"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00" w:type="dxa"/>
            <w:tcBorders>
              <w:top w:val="nil"/>
              <w:left w:val="nil"/>
              <w:bottom w:val="nil"/>
              <w:right w:val="nil"/>
            </w:tcBorders>
          </w:tcPr>
          <w:p w14:paraId="66DA6CFD" w14:textId="50CD30F1"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-0.0002***</w:t>
            </w:r>
          </w:p>
        </w:tc>
        <w:tc>
          <w:tcPr>
            <w:tcW w:w="1200" w:type="dxa"/>
            <w:tcBorders>
              <w:top w:val="nil"/>
              <w:left w:val="nil"/>
              <w:bottom w:val="nil"/>
              <w:right w:val="nil"/>
            </w:tcBorders>
          </w:tcPr>
          <w:p w14:paraId="64941AB9" w14:textId="6ADB6FB4"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-0.0002***</w:t>
            </w:r>
          </w:p>
        </w:tc>
        <w:tc>
          <w:tcPr>
            <w:tcW w:w="1200" w:type="dxa"/>
            <w:tcBorders>
              <w:top w:val="nil"/>
              <w:left w:val="nil"/>
              <w:bottom w:val="nil"/>
              <w:right w:val="nil"/>
            </w:tcBorders>
          </w:tcPr>
          <w:p w14:paraId="20D20BDE" w14:textId="7F594AA4"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-0.0002**</w:t>
            </w:r>
          </w:p>
        </w:tc>
      </w:tr>
      <w:tr w:rsidR="00DD518E" w:rsidRPr="00C03199" w14:paraId="60942968" w14:textId="77777777" w:rsidTr="00D97EDB">
        <w:trPr>
          <w:trHeight w:val="273"/>
        </w:trPr>
        <w:tc>
          <w:tcPr>
            <w:tcW w:w="1912" w:type="dxa"/>
            <w:tcBorders>
              <w:top w:val="nil"/>
              <w:left w:val="nil"/>
              <w:bottom w:val="nil"/>
              <w:right w:val="nil"/>
            </w:tcBorders>
          </w:tcPr>
          <w:p w14:paraId="5B700358" w14:textId="2AC20702"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Related</w:t>
            </w:r>
          </w:p>
        </w:tc>
        <w:tc>
          <w:tcPr>
            <w:tcW w:w="1200" w:type="dxa"/>
            <w:tcBorders>
              <w:top w:val="nil"/>
              <w:left w:val="nil"/>
              <w:bottom w:val="nil"/>
              <w:right w:val="nil"/>
            </w:tcBorders>
          </w:tcPr>
          <w:p w14:paraId="733D3749" w14:textId="70939F0E"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0.0368</w:t>
            </w:r>
          </w:p>
        </w:tc>
        <w:tc>
          <w:tcPr>
            <w:tcW w:w="1200" w:type="dxa"/>
            <w:tcBorders>
              <w:top w:val="nil"/>
              <w:left w:val="nil"/>
              <w:bottom w:val="nil"/>
              <w:right w:val="nil"/>
            </w:tcBorders>
          </w:tcPr>
          <w:p w14:paraId="0E7ED014" w14:textId="2E21D9CE"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0.0350</w:t>
            </w:r>
          </w:p>
        </w:tc>
        <w:tc>
          <w:tcPr>
            <w:tcW w:w="1200" w:type="dxa"/>
            <w:tcBorders>
              <w:top w:val="nil"/>
              <w:left w:val="nil"/>
              <w:bottom w:val="nil"/>
              <w:right w:val="nil"/>
            </w:tcBorders>
          </w:tcPr>
          <w:p w14:paraId="320139C0" w14:textId="11103AD4"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0.03070</w:t>
            </w:r>
          </w:p>
        </w:tc>
        <w:tc>
          <w:tcPr>
            <w:tcW w:w="1200" w:type="dxa"/>
            <w:tcBorders>
              <w:top w:val="nil"/>
              <w:left w:val="nil"/>
              <w:bottom w:val="nil"/>
              <w:right w:val="nil"/>
            </w:tcBorders>
          </w:tcPr>
          <w:p w14:paraId="74115436" w14:textId="36AD968E"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-0.0178</w:t>
            </w:r>
          </w:p>
        </w:tc>
        <w:tc>
          <w:tcPr>
            <w:tcW w:w="1200" w:type="dxa"/>
            <w:tcBorders>
              <w:top w:val="nil"/>
              <w:left w:val="nil"/>
              <w:bottom w:val="nil"/>
              <w:right w:val="nil"/>
            </w:tcBorders>
          </w:tcPr>
          <w:p w14:paraId="57D8972C" w14:textId="079FE834"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-0.0274</w:t>
            </w:r>
          </w:p>
        </w:tc>
        <w:tc>
          <w:tcPr>
            <w:tcW w:w="1200" w:type="dxa"/>
            <w:tcBorders>
              <w:top w:val="nil"/>
              <w:left w:val="nil"/>
              <w:bottom w:val="nil"/>
              <w:right w:val="nil"/>
            </w:tcBorders>
          </w:tcPr>
          <w:p w14:paraId="2B2C610E" w14:textId="20A283FA"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-0.0340</w:t>
            </w:r>
          </w:p>
        </w:tc>
      </w:tr>
      <w:tr w:rsidR="00DD518E" w:rsidRPr="00C03199" w14:paraId="526CEFA3" w14:textId="77777777" w:rsidTr="00D97EDB">
        <w:trPr>
          <w:trHeight w:val="273"/>
        </w:trPr>
        <w:tc>
          <w:tcPr>
            <w:tcW w:w="1912" w:type="dxa"/>
            <w:tcBorders>
              <w:top w:val="nil"/>
              <w:left w:val="nil"/>
              <w:bottom w:val="nil"/>
              <w:right w:val="nil"/>
            </w:tcBorders>
          </w:tcPr>
          <w:p w14:paraId="2F055406" w14:textId="46CEC76B"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Hostile </w:t>
            </w:r>
          </w:p>
        </w:tc>
        <w:tc>
          <w:tcPr>
            <w:tcW w:w="1200" w:type="dxa"/>
            <w:tcBorders>
              <w:top w:val="nil"/>
              <w:left w:val="nil"/>
              <w:bottom w:val="nil"/>
              <w:right w:val="nil"/>
            </w:tcBorders>
          </w:tcPr>
          <w:p w14:paraId="7A752A77" w14:textId="05C52C5E"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0.0458</w:t>
            </w:r>
          </w:p>
        </w:tc>
        <w:tc>
          <w:tcPr>
            <w:tcW w:w="1200" w:type="dxa"/>
            <w:tcBorders>
              <w:top w:val="nil"/>
              <w:left w:val="nil"/>
              <w:bottom w:val="nil"/>
              <w:right w:val="nil"/>
            </w:tcBorders>
          </w:tcPr>
          <w:p w14:paraId="7BEB1196" w14:textId="583B5CBD"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0.0450</w:t>
            </w:r>
          </w:p>
        </w:tc>
        <w:tc>
          <w:tcPr>
            <w:tcW w:w="1200" w:type="dxa"/>
            <w:tcBorders>
              <w:top w:val="nil"/>
              <w:left w:val="nil"/>
              <w:bottom w:val="nil"/>
              <w:right w:val="nil"/>
            </w:tcBorders>
          </w:tcPr>
          <w:p w14:paraId="040E992A" w14:textId="56269583"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0.0405</w:t>
            </w:r>
          </w:p>
        </w:tc>
        <w:tc>
          <w:tcPr>
            <w:tcW w:w="1200" w:type="dxa"/>
            <w:tcBorders>
              <w:top w:val="nil"/>
              <w:left w:val="nil"/>
              <w:bottom w:val="nil"/>
              <w:right w:val="nil"/>
            </w:tcBorders>
          </w:tcPr>
          <w:p w14:paraId="3F168280" w14:textId="2142A439"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0.0175</w:t>
            </w:r>
          </w:p>
        </w:tc>
        <w:tc>
          <w:tcPr>
            <w:tcW w:w="1200" w:type="dxa"/>
            <w:tcBorders>
              <w:top w:val="nil"/>
              <w:left w:val="nil"/>
              <w:bottom w:val="nil"/>
              <w:right w:val="nil"/>
            </w:tcBorders>
          </w:tcPr>
          <w:p w14:paraId="5D9942B6" w14:textId="494B99DF"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0.0278</w:t>
            </w:r>
          </w:p>
        </w:tc>
        <w:tc>
          <w:tcPr>
            <w:tcW w:w="1200" w:type="dxa"/>
            <w:tcBorders>
              <w:top w:val="nil"/>
              <w:left w:val="nil"/>
              <w:bottom w:val="nil"/>
              <w:right w:val="nil"/>
            </w:tcBorders>
          </w:tcPr>
          <w:p w14:paraId="5BA134A1" w14:textId="5ABDC4E0"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0.0348</w:t>
            </w:r>
          </w:p>
        </w:tc>
      </w:tr>
      <w:tr w:rsidR="00DD518E" w:rsidRPr="00C03199" w14:paraId="19C1A9EC" w14:textId="77777777" w:rsidTr="00D97EDB">
        <w:trPr>
          <w:trHeight w:val="257"/>
        </w:trPr>
        <w:tc>
          <w:tcPr>
            <w:tcW w:w="1912" w:type="dxa"/>
            <w:tcBorders>
              <w:top w:val="nil"/>
              <w:left w:val="nil"/>
              <w:bottom w:val="nil"/>
              <w:right w:val="nil"/>
            </w:tcBorders>
          </w:tcPr>
          <w:p w14:paraId="38321050" w14:textId="78049EEB"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Consumer Products</w:t>
            </w:r>
          </w:p>
        </w:tc>
        <w:tc>
          <w:tcPr>
            <w:tcW w:w="1200" w:type="dxa"/>
            <w:tcBorders>
              <w:top w:val="nil"/>
              <w:left w:val="nil"/>
              <w:bottom w:val="nil"/>
              <w:right w:val="nil"/>
            </w:tcBorders>
          </w:tcPr>
          <w:p w14:paraId="73A8AD9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9179215" w14:textId="2A33A0DC"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0.0153</w:t>
            </w:r>
          </w:p>
        </w:tc>
        <w:tc>
          <w:tcPr>
            <w:tcW w:w="1200" w:type="dxa"/>
            <w:tcBorders>
              <w:top w:val="nil"/>
              <w:left w:val="nil"/>
              <w:bottom w:val="nil"/>
              <w:right w:val="nil"/>
            </w:tcBorders>
          </w:tcPr>
          <w:p w14:paraId="084BF398" w14:textId="624AB363"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0.0257</w:t>
            </w:r>
          </w:p>
        </w:tc>
        <w:tc>
          <w:tcPr>
            <w:tcW w:w="1200" w:type="dxa"/>
            <w:tcBorders>
              <w:top w:val="nil"/>
              <w:left w:val="nil"/>
              <w:bottom w:val="nil"/>
              <w:right w:val="nil"/>
            </w:tcBorders>
          </w:tcPr>
          <w:p w14:paraId="64CCB807"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1CBCCC05" w14:textId="742C3E86"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-0.0158</w:t>
            </w:r>
          </w:p>
        </w:tc>
        <w:tc>
          <w:tcPr>
            <w:tcW w:w="1200" w:type="dxa"/>
            <w:tcBorders>
              <w:top w:val="nil"/>
              <w:left w:val="nil"/>
              <w:bottom w:val="nil"/>
              <w:right w:val="nil"/>
            </w:tcBorders>
          </w:tcPr>
          <w:p w14:paraId="11EBAFBD" w14:textId="0273F8DB"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0.0286</w:t>
            </w:r>
          </w:p>
        </w:tc>
      </w:tr>
      <w:tr w:rsidR="00DD518E" w:rsidRPr="00C03199" w14:paraId="4575AE26" w14:textId="77777777" w:rsidTr="00D97EDB">
        <w:trPr>
          <w:trHeight w:val="273"/>
        </w:trPr>
        <w:tc>
          <w:tcPr>
            <w:tcW w:w="1912" w:type="dxa"/>
            <w:tcBorders>
              <w:top w:val="nil"/>
              <w:left w:val="nil"/>
              <w:bottom w:val="nil"/>
              <w:right w:val="nil"/>
            </w:tcBorders>
          </w:tcPr>
          <w:p w14:paraId="35A0886B"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High-Tech</w:t>
            </w:r>
          </w:p>
        </w:tc>
        <w:tc>
          <w:tcPr>
            <w:tcW w:w="1200" w:type="dxa"/>
            <w:tcBorders>
              <w:top w:val="nil"/>
              <w:left w:val="nil"/>
              <w:bottom w:val="nil"/>
              <w:right w:val="nil"/>
            </w:tcBorders>
          </w:tcPr>
          <w:p w14:paraId="6A9E47D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537BEB4" w14:textId="20834611"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0.0815</w:t>
            </w:r>
          </w:p>
        </w:tc>
        <w:tc>
          <w:tcPr>
            <w:tcW w:w="1200" w:type="dxa"/>
            <w:tcBorders>
              <w:top w:val="nil"/>
              <w:left w:val="nil"/>
              <w:bottom w:val="nil"/>
              <w:right w:val="nil"/>
            </w:tcBorders>
          </w:tcPr>
          <w:p w14:paraId="569BDBED" w14:textId="5FD22571"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0.0904</w:t>
            </w:r>
          </w:p>
        </w:tc>
        <w:tc>
          <w:tcPr>
            <w:tcW w:w="1200" w:type="dxa"/>
            <w:tcBorders>
              <w:top w:val="nil"/>
              <w:left w:val="nil"/>
              <w:bottom w:val="nil"/>
              <w:right w:val="nil"/>
            </w:tcBorders>
          </w:tcPr>
          <w:p w14:paraId="3450F97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17E8F44"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0.0384</w:t>
            </w:r>
          </w:p>
        </w:tc>
        <w:tc>
          <w:tcPr>
            <w:tcW w:w="1200" w:type="dxa"/>
            <w:tcBorders>
              <w:top w:val="nil"/>
              <w:left w:val="nil"/>
              <w:bottom w:val="nil"/>
              <w:right w:val="nil"/>
            </w:tcBorders>
          </w:tcPr>
          <w:p w14:paraId="0F4AD90E"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0.0715</w:t>
            </w:r>
          </w:p>
        </w:tc>
      </w:tr>
      <w:tr w:rsidR="00DD518E" w:rsidRPr="00C03199" w14:paraId="51ED61C0" w14:textId="77777777" w:rsidTr="00D97EDB">
        <w:trPr>
          <w:trHeight w:val="273"/>
        </w:trPr>
        <w:tc>
          <w:tcPr>
            <w:tcW w:w="1912" w:type="dxa"/>
            <w:tcBorders>
              <w:top w:val="nil"/>
              <w:left w:val="nil"/>
              <w:bottom w:val="nil"/>
              <w:right w:val="nil"/>
            </w:tcBorders>
          </w:tcPr>
          <w:p w14:paraId="4EA6CD42"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Industrial</w:t>
            </w:r>
          </w:p>
        </w:tc>
        <w:tc>
          <w:tcPr>
            <w:tcW w:w="1200" w:type="dxa"/>
            <w:tcBorders>
              <w:top w:val="nil"/>
              <w:left w:val="nil"/>
              <w:bottom w:val="nil"/>
              <w:right w:val="nil"/>
            </w:tcBorders>
          </w:tcPr>
          <w:p w14:paraId="701D349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B76857B"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0.0161</w:t>
            </w:r>
          </w:p>
        </w:tc>
        <w:tc>
          <w:tcPr>
            <w:tcW w:w="1200" w:type="dxa"/>
            <w:tcBorders>
              <w:top w:val="nil"/>
              <w:left w:val="nil"/>
              <w:bottom w:val="nil"/>
              <w:right w:val="nil"/>
            </w:tcBorders>
          </w:tcPr>
          <w:p w14:paraId="7CEB7B4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0.0212</w:t>
            </w:r>
          </w:p>
        </w:tc>
        <w:tc>
          <w:tcPr>
            <w:tcW w:w="1200" w:type="dxa"/>
            <w:tcBorders>
              <w:top w:val="nil"/>
              <w:left w:val="nil"/>
              <w:bottom w:val="nil"/>
              <w:right w:val="nil"/>
            </w:tcBorders>
          </w:tcPr>
          <w:p w14:paraId="70E42F99"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7D02E967"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0.0193</w:t>
            </w:r>
          </w:p>
        </w:tc>
        <w:tc>
          <w:tcPr>
            <w:tcW w:w="1200" w:type="dxa"/>
            <w:tcBorders>
              <w:top w:val="nil"/>
              <w:left w:val="nil"/>
              <w:bottom w:val="nil"/>
              <w:right w:val="nil"/>
            </w:tcBorders>
          </w:tcPr>
          <w:p w14:paraId="73C1191D"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0.0698</w:t>
            </w:r>
          </w:p>
        </w:tc>
      </w:tr>
      <w:tr w:rsidR="00DD518E" w:rsidRPr="00C03199" w14:paraId="63AF0D4C" w14:textId="77777777" w:rsidTr="00D97EDB">
        <w:trPr>
          <w:trHeight w:val="273"/>
        </w:trPr>
        <w:tc>
          <w:tcPr>
            <w:tcW w:w="1912" w:type="dxa"/>
            <w:tcBorders>
              <w:top w:val="nil"/>
              <w:left w:val="nil"/>
              <w:bottom w:val="nil"/>
              <w:right w:val="nil"/>
            </w:tcBorders>
          </w:tcPr>
          <w:p w14:paraId="1ACBD21A"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Materials</w:t>
            </w:r>
          </w:p>
        </w:tc>
        <w:tc>
          <w:tcPr>
            <w:tcW w:w="1200" w:type="dxa"/>
            <w:tcBorders>
              <w:top w:val="nil"/>
              <w:left w:val="nil"/>
              <w:bottom w:val="nil"/>
              <w:right w:val="nil"/>
            </w:tcBorders>
          </w:tcPr>
          <w:p w14:paraId="1847F0A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1AE751BE"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0.0200</w:t>
            </w:r>
          </w:p>
        </w:tc>
        <w:tc>
          <w:tcPr>
            <w:tcW w:w="1200" w:type="dxa"/>
            <w:tcBorders>
              <w:top w:val="nil"/>
              <w:left w:val="nil"/>
              <w:bottom w:val="nil"/>
              <w:right w:val="nil"/>
            </w:tcBorders>
          </w:tcPr>
          <w:p w14:paraId="3737A62A"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0.0319</w:t>
            </w:r>
          </w:p>
        </w:tc>
        <w:tc>
          <w:tcPr>
            <w:tcW w:w="1200" w:type="dxa"/>
            <w:tcBorders>
              <w:top w:val="nil"/>
              <w:left w:val="nil"/>
              <w:bottom w:val="nil"/>
              <w:right w:val="nil"/>
            </w:tcBorders>
          </w:tcPr>
          <w:p w14:paraId="6CEE5F5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0FCB79E6"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0.0373</w:t>
            </w:r>
          </w:p>
        </w:tc>
        <w:tc>
          <w:tcPr>
            <w:tcW w:w="1200" w:type="dxa"/>
            <w:tcBorders>
              <w:top w:val="nil"/>
              <w:left w:val="nil"/>
              <w:bottom w:val="nil"/>
              <w:right w:val="nil"/>
            </w:tcBorders>
          </w:tcPr>
          <w:p w14:paraId="0C102D85"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0.0732</w:t>
            </w:r>
          </w:p>
        </w:tc>
      </w:tr>
      <w:tr w:rsidR="00DD518E" w:rsidRPr="00C03199" w14:paraId="09E6952A" w14:textId="77777777" w:rsidTr="00D97EDB">
        <w:trPr>
          <w:trHeight w:val="273"/>
        </w:trPr>
        <w:tc>
          <w:tcPr>
            <w:tcW w:w="1912" w:type="dxa"/>
            <w:tcBorders>
              <w:top w:val="nil"/>
              <w:left w:val="nil"/>
              <w:bottom w:val="nil"/>
              <w:right w:val="nil"/>
            </w:tcBorders>
          </w:tcPr>
          <w:p w14:paraId="4D9E0F79"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M&amp;E</w:t>
            </w:r>
          </w:p>
        </w:tc>
        <w:tc>
          <w:tcPr>
            <w:tcW w:w="1200" w:type="dxa"/>
            <w:tcBorders>
              <w:top w:val="nil"/>
              <w:left w:val="nil"/>
              <w:bottom w:val="nil"/>
              <w:right w:val="nil"/>
            </w:tcBorders>
          </w:tcPr>
          <w:p w14:paraId="43C4804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4791BA5"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0.0299</w:t>
            </w:r>
          </w:p>
        </w:tc>
        <w:tc>
          <w:tcPr>
            <w:tcW w:w="1200" w:type="dxa"/>
            <w:tcBorders>
              <w:top w:val="nil"/>
              <w:left w:val="nil"/>
              <w:bottom w:val="nil"/>
              <w:right w:val="nil"/>
            </w:tcBorders>
          </w:tcPr>
          <w:p w14:paraId="1526879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0.0288</w:t>
            </w:r>
          </w:p>
        </w:tc>
        <w:tc>
          <w:tcPr>
            <w:tcW w:w="1200" w:type="dxa"/>
            <w:tcBorders>
              <w:top w:val="nil"/>
              <w:left w:val="nil"/>
              <w:bottom w:val="nil"/>
              <w:right w:val="nil"/>
            </w:tcBorders>
          </w:tcPr>
          <w:p w14:paraId="022BC4D5"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42ADC38"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0.0136</w:t>
            </w:r>
          </w:p>
        </w:tc>
        <w:tc>
          <w:tcPr>
            <w:tcW w:w="1200" w:type="dxa"/>
            <w:tcBorders>
              <w:top w:val="nil"/>
              <w:left w:val="nil"/>
              <w:bottom w:val="nil"/>
              <w:right w:val="nil"/>
            </w:tcBorders>
          </w:tcPr>
          <w:p w14:paraId="5B4F3D1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0.0584</w:t>
            </w:r>
          </w:p>
        </w:tc>
      </w:tr>
      <w:tr w:rsidR="00DD518E" w:rsidRPr="00C03199" w14:paraId="01E2CBA4" w14:textId="77777777" w:rsidTr="00D97EDB">
        <w:trPr>
          <w:trHeight w:val="273"/>
        </w:trPr>
        <w:tc>
          <w:tcPr>
            <w:tcW w:w="1912" w:type="dxa"/>
            <w:tcBorders>
              <w:top w:val="nil"/>
              <w:left w:val="nil"/>
              <w:bottom w:val="nil"/>
              <w:right w:val="nil"/>
            </w:tcBorders>
          </w:tcPr>
          <w:p w14:paraId="6DF51385"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Retail</w:t>
            </w:r>
          </w:p>
        </w:tc>
        <w:tc>
          <w:tcPr>
            <w:tcW w:w="1200" w:type="dxa"/>
            <w:tcBorders>
              <w:top w:val="nil"/>
              <w:left w:val="nil"/>
              <w:bottom w:val="nil"/>
              <w:right w:val="nil"/>
            </w:tcBorders>
          </w:tcPr>
          <w:p w14:paraId="6DFAB60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4626D76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-0.1090</w:t>
            </w:r>
          </w:p>
        </w:tc>
        <w:tc>
          <w:tcPr>
            <w:tcW w:w="1200" w:type="dxa"/>
            <w:tcBorders>
              <w:top w:val="nil"/>
              <w:left w:val="nil"/>
              <w:bottom w:val="nil"/>
              <w:right w:val="nil"/>
            </w:tcBorders>
          </w:tcPr>
          <w:p w14:paraId="5B21892A"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-0.0880</w:t>
            </w:r>
          </w:p>
        </w:tc>
        <w:tc>
          <w:tcPr>
            <w:tcW w:w="1200" w:type="dxa"/>
            <w:tcBorders>
              <w:top w:val="nil"/>
              <w:left w:val="nil"/>
              <w:bottom w:val="nil"/>
              <w:right w:val="nil"/>
            </w:tcBorders>
          </w:tcPr>
          <w:p w14:paraId="309803C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2D68665"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0.0378</w:t>
            </w:r>
          </w:p>
        </w:tc>
        <w:tc>
          <w:tcPr>
            <w:tcW w:w="1200" w:type="dxa"/>
            <w:tcBorders>
              <w:top w:val="nil"/>
              <w:left w:val="nil"/>
              <w:bottom w:val="nil"/>
              <w:right w:val="nil"/>
            </w:tcBorders>
          </w:tcPr>
          <w:p w14:paraId="0AEEB00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0.0757</w:t>
            </w:r>
          </w:p>
        </w:tc>
      </w:tr>
      <w:tr w:rsidR="00DD518E" w:rsidRPr="00C03199" w14:paraId="480FE410" w14:textId="77777777" w:rsidTr="00D97EDB">
        <w:trPr>
          <w:trHeight w:val="273"/>
        </w:trPr>
        <w:tc>
          <w:tcPr>
            <w:tcW w:w="1912" w:type="dxa"/>
            <w:tcBorders>
              <w:top w:val="nil"/>
              <w:left w:val="nil"/>
              <w:bottom w:val="nil"/>
              <w:right w:val="nil"/>
            </w:tcBorders>
          </w:tcPr>
          <w:p w14:paraId="74AB0BAC"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Telecommunications</w:t>
            </w:r>
          </w:p>
        </w:tc>
        <w:tc>
          <w:tcPr>
            <w:tcW w:w="1200" w:type="dxa"/>
            <w:tcBorders>
              <w:top w:val="nil"/>
              <w:left w:val="nil"/>
              <w:bottom w:val="nil"/>
              <w:right w:val="nil"/>
            </w:tcBorders>
          </w:tcPr>
          <w:p w14:paraId="60EBAF0F"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4CA7C0AB"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-0.0063</w:t>
            </w:r>
          </w:p>
        </w:tc>
        <w:tc>
          <w:tcPr>
            <w:tcW w:w="1200" w:type="dxa"/>
            <w:tcBorders>
              <w:top w:val="nil"/>
              <w:left w:val="nil"/>
              <w:bottom w:val="nil"/>
              <w:right w:val="nil"/>
            </w:tcBorders>
          </w:tcPr>
          <w:p w14:paraId="5A97416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0.0068</w:t>
            </w:r>
          </w:p>
        </w:tc>
        <w:tc>
          <w:tcPr>
            <w:tcW w:w="1200" w:type="dxa"/>
            <w:tcBorders>
              <w:top w:val="nil"/>
              <w:left w:val="nil"/>
              <w:bottom w:val="nil"/>
              <w:right w:val="nil"/>
            </w:tcBorders>
          </w:tcPr>
          <w:p w14:paraId="77B3F73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4E20A03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-0.0286</w:t>
            </w:r>
          </w:p>
        </w:tc>
        <w:tc>
          <w:tcPr>
            <w:tcW w:w="1200" w:type="dxa"/>
            <w:tcBorders>
              <w:top w:val="nil"/>
              <w:left w:val="nil"/>
              <w:bottom w:val="nil"/>
              <w:right w:val="nil"/>
            </w:tcBorders>
          </w:tcPr>
          <w:p w14:paraId="54AE917A"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0.0121</w:t>
            </w:r>
          </w:p>
        </w:tc>
      </w:tr>
      <w:tr w:rsidR="00DD518E" w:rsidRPr="00C03199" w14:paraId="204616E1" w14:textId="77777777" w:rsidTr="00D97EDB">
        <w:trPr>
          <w:trHeight w:val="273"/>
        </w:trPr>
        <w:tc>
          <w:tcPr>
            <w:tcW w:w="1912" w:type="dxa"/>
            <w:tcBorders>
              <w:top w:val="nil"/>
              <w:left w:val="nil"/>
              <w:bottom w:val="nil"/>
              <w:right w:val="nil"/>
            </w:tcBorders>
          </w:tcPr>
          <w:p w14:paraId="24AD257D"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Austria</w:t>
            </w:r>
          </w:p>
        </w:tc>
        <w:tc>
          <w:tcPr>
            <w:tcW w:w="1200" w:type="dxa"/>
            <w:tcBorders>
              <w:top w:val="nil"/>
              <w:left w:val="nil"/>
              <w:bottom w:val="nil"/>
              <w:right w:val="nil"/>
            </w:tcBorders>
          </w:tcPr>
          <w:p w14:paraId="2183E09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B4AB7F9"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C80A61E"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-0.0024</w:t>
            </w:r>
          </w:p>
        </w:tc>
        <w:tc>
          <w:tcPr>
            <w:tcW w:w="1200" w:type="dxa"/>
            <w:tcBorders>
              <w:top w:val="nil"/>
              <w:left w:val="nil"/>
              <w:bottom w:val="nil"/>
              <w:right w:val="nil"/>
            </w:tcBorders>
          </w:tcPr>
          <w:p w14:paraId="4E71C4D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7D99FE57"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17BF485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-0.0402</w:t>
            </w:r>
          </w:p>
        </w:tc>
      </w:tr>
      <w:tr w:rsidR="00DD518E" w:rsidRPr="00C03199" w14:paraId="54913B02" w14:textId="77777777" w:rsidTr="00D97EDB">
        <w:trPr>
          <w:trHeight w:val="273"/>
        </w:trPr>
        <w:tc>
          <w:tcPr>
            <w:tcW w:w="1912" w:type="dxa"/>
            <w:tcBorders>
              <w:top w:val="nil"/>
              <w:left w:val="nil"/>
              <w:bottom w:val="nil"/>
              <w:right w:val="nil"/>
            </w:tcBorders>
          </w:tcPr>
          <w:p w14:paraId="3BE88C35"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Belgium</w:t>
            </w:r>
          </w:p>
        </w:tc>
        <w:tc>
          <w:tcPr>
            <w:tcW w:w="1200" w:type="dxa"/>
            <w:tcBorders>
              <w:top w:val="nil"/>
              <w:left w:val="nil"/>
              <w:bottom w:val="nil"/>
              <w:right w:val="nil"/>
            </w:tcBorders>
          </w:tcPr>
          <w:p w14:paraId="6357984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3278EF0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475905D"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0.0102</w:t>
            </w:r>
          </w:p>
        </w:tc>
        <w:tc>
          <w:tcPr>
            <w:tcW w:w="1200" w:type="dxa"/>
            <w:tcBorders>
              <w:top w:val="nil"/>
              <w:left w:val="nil"/>
              <w:bottom w:val="nil"/>
              <w:right w:val="nil"/>
            </w:tcBorders>
          </w:tcPr>
          <w:p w14:paraId="0D3036ED"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0DB7CE3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F6F86BF"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0.1370</w:t>
            </w:r>
          </w:p>
        </w:tc>
      </w:tr>
      <w:tr w:rsidR="00DD518E" w:rsidRPr="00C03199" w14:paraId="5F645A87" w14:textId="77777777" w:rsidTr="00D97EDB">
        <w:trPr>
          <w:trHeight w:val="273"/>
        </w:trPr>
        <w:tc>
          <w:tcPr>
            <w:tcW w:w="1912" w:type="dxa"/>
            <w:tcBorders>
              <w:top w:val="nil"/>
              <w:left w:val="nil"/>
              <w:bottom w:val="nil"/>
              <w:right w:val="nil"/>
            </w:tcBorders>
          </w:tcPr>
          <w:p w14:paraId="62918B99"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France</w:t>
            </w:r>
          </w:p>
        </w:tc>
        <w:tc>
          <w:tcPr>
            <w:tcW w:w="1200" w:type="dxa"/>
            <w:tcBorders>
              <w:top w:val="nil"/>
              <w:left w:val="nil"/>
              <w:bottom w:val="nil"/>
              <w:right w:val="nil"/>
            </w:tcBorders>
          </w:tcPr>
          <w:p w14:paraId="04A55E8D"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729054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BBBC476"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-0.0795</w:t>
            </w:r>
          </w:p>
        </w:tc>
        <w:tc>
          <w:tcPr>
            <w:tcW w:w="1200" w:type="dxa"/>
            <w:tcBorders>
              <w:top w:val="nil"/>
              <w:left w:val="nil"/>
              <w:bottom w:val="nil"/>
              <w:right w:val="nil"/>
            </w:tcBorders>
          </w:tcPr>
          <w:p w14:paraId="4D6CDD0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46725AF"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41D9ED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0.0549</w:t>
            </w:r>
          </w:p>
        </w:tc>
      </w:tr>
      <w:tr w:rsidR="00DD518E" w:rsidRPr="00C03199" w14:paraId="06147866" w14:textId="77777777" w:rsidTr="00D97EDB">
        <w:trPr>
          <w:trHeight w:val="273"/>
        </w:trPr>
        <w:tc>
          <w:tcPr>
            <w:tcW w:w="1912" w:type="dxa"/>
            <w:tcBorders>
              <w:top w:val="nil"/>
              <w:left w:val="nil"/>
              <w:bottom w:val="nil"/>
              <w:right w:val="nil"/>
            </w:tcBorders>
          </w:tcPr>
          <w:p w14:paraId="27F1C982"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Germany</w:t>
            </w:r>
          </w:p>
        </w:tc>
        <w:tc>
          <w:tcPr>
            <w:tcW w:w="1200" w:type="dxa"/>
            <w:tcBorders>
              <w:top w:val="nil"/>
              <w:left w:val="nil"/>
              <w:bottom w:val="nil"/>
              <w:right w:val="nil"/>
            </w:tcBorders>
          </w:tcPr>
          <w:p w14:paraId="01CC394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12BD087F"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78FBA51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-0.0766</w:t>
            </w:r>
          </w:p>
        </w:tc>
        <w:tc>
          <w:tcPr>
            <w:tcW w:w="1200" w:type="dxa"/>
            <w:tcBorders>
              <w:top w:val="nil"/>
              <w:left w:val="nil"/>
              <w:bottom w:val="nil"/>
              <w:right w:val="nil"/>
            </w:tcBorders>
          </w:tcPr>
          <w:p w14:paraId="68FA241F"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F48AA54"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01BB3608"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-0.0148</w:t>
            </w:r>
          </w:p>
        </w:tc>
      </w:tr>
      <w:tr w:rsidR="00DD518E" w:rsidRPr="00C03199" w14:paraId="0A0094B8" w14:textId="77777777" w:rsidTr="00D97EDB">
        <w:trPr>
          <w:trHeight w:val="273"/>
        </w:trPr>
        <w:tc>
          <w:tcPr>
            <w:tcW w:w="1912" w:type="dxa"/>
            <w:tcBorders>
              <w:top w:val="nil"/>
              <w:left w:val="nil"/>
              <w:bottom w:val="nil"/>
              <w:right w:val="nil"/>
            </w:tcBorders>
          </w:tcPr>
          <w:p w14:paraId="5A5B89F7"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Greece</w:t>
            </w:r>
          </w:p>
        </w:tc>
        <w:tc>
          <w:tcPr>
            <w:tcW w:w="1200" w:type="dxa"/>
            <w:tcBorders>
              <w:top w:val="nil"/>
              <w:left w:val="nil"/>
              <w:bottom w:val="nil"/>
              <w:right w:val="nil"/>
            </w:tcBorders>
          </w:tcPr>
          <w:p w14:paraId="04C8C05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4865D5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1B850E9"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-0.0808</w:t>
            </w:r>
          </w:p>
        </w:tc>
        <w:tc>
          <w:tcPr>
            <w:tcW w:w="1200" w:type="dxa"/>
            <w:tcBorders>
              <w:top w:val="nil"/>
              <w:left w:val="nil"/>
              <w:bottom w:val="nil"/>
              <w:right w:val="nil"/>
            </w:tcBorders>
          </w:tcPr>
          <w:p w14:paraId="2704E738"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02270A64"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EC656E6"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-0.0173</w:t>
            </w:r>
          </w:p>
        </w:tc>
      </w:tr>
      <w:tr w:rsidR="00DD518E" w:rsidRPr="00C03199" w14:paraId="0C0F45FC" w14:textId="77777777" w:rsidTr="00D97EDB">
        <w:trPr>
          <w:trHeight w:val="273"/>
        </w:trPr>
        <w:tc>
          <w:tcPr>
            <w:tcW w:w="1912" w:type="dxa"/>
            <w:tcBorders>
              <w:top w:val="nil"/>
              <w:left w:val="nil"/>
              <w:bottom w:val="nil"/>
              <w:right w:val="nil"/>
            </w:tcBorders>
          </w:tcPr>
          <w:p w14:paraId="5356152F"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Italy</w:t>
            </w:r>
          </w:p>
        </w:tc>
        <w:tc>
          <w:tcPr>
            <w:tcW w:w="1200" w:type="dxa"/>
            <w:tcBorders>
              <w:top w:val="nil"/>
              <w:left w:val="nil"/>
              <w:bottom w:val="nil"/>
              <w:right w:val="nil"/>
            </w:tcBorders>
          </w:tcPr>
          <w:p w14:paraId="28778AB6"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0D112B68"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6BAEC9A"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-0.1010</w:t>
            </w:r>
          </w:p>
        </w:tc>
        <w:tc>
          <w:tcPr>
            <w:tcW w:w="1200" w:type="dxa"/>
            <w:tcBorders>
              <w:top w:val="nil"/>
              <w:left w:val="nil"/>
              <w:bottom w:val="nil"/>
              <w:right w:val="nil"/>
            </w:tcBorders>
          </w:tcPr>
          <w:p w14:paraId="2C13B626"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0B3FA05B"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2F780A7"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-0.0875</w:t>
            </w:r>
          </w:p>
        </w:tc>
      </w:tr>
      <w:tr w:rsidR="00DD518E" w:rsidRPr="00C03199" w14:paraId="17E061C1" w14:textId="77777777" w:rsidTr="00D97EDB">
        <w:trPr>
          <w:trHeight w:val="273"/>
        </w:trPr>
        <w:tc>
          <w:tcPr>
            <w:tcW w:w="1912" w:type="dxa"/>
            <w:tcBorders>
              <w:top w:val="nil"/>
              <w:left w:val="nil"/>
              <w:bottom w:val="nil"/>
              <w:right w:val="nil"/>
            </w:tcBorders>
          </w:tcPr>
          <w:p w14:paraId="40FC9AAE"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Netherlands</w:t>
            </w:r>
          </w:p>
        </w:tc>
        <w:tc>
          <w:tcPr>
            <w:tcW w:w="1200" w:type="dxa"/>
            <w:tcBorders>
              <w:top w:val="nil"/>
              <w:left w:val="nil"/>
              <w:bottom w:val="nil"/>
              <w:right w:val="nil"/>
            </w:tcBorders>
          </w:tcPr>
          <w:p w14:paraId="35C6DFA6"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97EC65D"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7F8C9634"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0.0401</w:t>
            </w:r>
          </w:p>
        </w:tc>
        <w:tc>
          <w:tcPr>
            <w:tcW w:w="1200" w:type="dxa"/>
            <w:tcBorders>
              <w:top w:val="nil"/>
              <w:left w:val="nil"/>
              <w:bottom w:val="nil"/>
              <w:right w:val="nil"/>
            </w:tcBorders>
          </w:tcPr>
          <w:p w14:paraId="4F6B407A"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0955E4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D4E174A"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-0.0176</w:t>
            </w:r>
          </w:p>
        </w:tc>
      </w:tr>
      <w:tr w:rsidR="000024A9" w:rsidRPr="00C03199" w14:paraId="2E22E0CA" w14:textId="77777777" w:rsidTr="00D97EDB">
        <w:trPr>
          <w:trHeight w:val="273"/>
        </w:trPr>
        <w:tc>
          <w:tcPr>
            <w:tcW w:w="1912" w:type="dxa"/>
            <w:tcBorders>
              <w:top w:val="nil"/>
              <w:left w:val="nil"/>
              <w:bottom w:val="nil"/>
              <w:right w:val="nil"/>
            </w:tcBorders>
          </w:tcPr>
          <w:p w14:paraId="5597FF68" w14:textId="1AC5C4C4" w:rsidR="000024A9" w:rsidRPr="00C03199" w:rsidRDefault="000024A9" w:rsidP="00DD518E">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Luxembourg</w:t>
            </w:r>
          </w:p>
        </w:tc>
        <w:tc>
          <w:tcPr>
            <w:tcW w:w="1200" w:type="dxa"/>
            <w:tcBorders>
              <w:top w:val="nil"/>
              <w:left w:val="nil"/>
              <w:bottom w:val="nil"/>
              <w:right w:val="nil"/>
            </w:tcBorders>
          </w:tcPr>
          <w:p w14:paraId="432E1DC9" w14:textId="77777777" w:rsidR="000024A9"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5B397C2A" w14:textId="77777777" w:rsidR="000024A9"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475D306C" w14:textId="301A634E" w:rsidR="000024A9"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0.0808</w:t>
            </w:r>
          </w:p>
        </w:tc>
        <w:tc>
          <w:tcPr>
            <w:tcW w:w="1200" w:type="dxa"/>
            <w:tcBorders>
              <w:top w:val="nil"/>
              <w:left w:val="nil"/>
              <w:bottom w:val="nil"/>
              <w:right w:val="nil"/>
            </w:tcBorders>
          </w:tcPr>
          <w:p w14:paraId="5D177EEB" w14:textId="77777777" w:rsidR="000024A9"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96CD57C" w14:textId="77777777" w:rsidR="000024A9"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0F46E744" w14:textId="7F60617A" w:rsidR="000024A9"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0.0173</w:t>
            </w:r>
          </w:p>
        </w:tc>
      </w:tr>
      <w:tr w:rsidR="00DD518E" w:rsidRPr="00C03199" w14:paraId="74411312" w14:textId="77777777" w:rsidTr="00D97EDB">
        <w:trPr>
          <w:trHeight w:val="257"/>
        </w:trPr>
        <w:tc>
          <w:tcPr>
            <w:tcW w:w="1912" w:type="dxa"/>
            <w:tcBorders>
              <w:top w:val="nil"/>
              <w:left w:val="nil"/>
              <w:bottom w:val="nil"/>
              <w:right w:val="nil"/>
            </w:tcBorders>
          </w:tcPr>
          <w:p w14:paraId="1612E3DC"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Spain</w:t>
            </w:r>
          </w:p>
        </w:tc>
        <w:tc>
          <w:tcPr>
            <w:tcW w:w="1200" w:type="dxa"/>
            <w:tcBorders>
              <w:top w:val="nil"/>
              <w:left w:val="nil"/>
              <w:bottom w:val="nil"/>
              <w:right w:val="nil"/>
            </w:tcBorders>
          </w:tcPr>
          <w:p w14:paraId="6DBC31FB"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67D659D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540E65F" w14:textId="1BF33DF0"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0.0686</w:t>
            </w:r>
          </w:p>
        </w:tc>
        <w:tc>
          <w:tcPr>
            <w:tcW w:w="1200" w:type="dxa"/>
            <w:tcBorders>
              <w:top w:val="nil"/>
              <w:left w:val="nil"/>
              <w:bottom w:val="nil"/>
              <w:right w:val="nil"/>
            </w:tcBorders>
          </w:tcPr>
          <w:p w14:paraId="45D28182"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37BF3E8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3ECDB26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0.0356</w:t>
            </w:r>
          </w:p>
        </w:tc>
      </w:tr>
      <w:tr w:rsidR="00DD518E" w:rsidRPr="00C03199" w14:paraId="4188710B" w14:textId="77777777" w:rsidTr="00D97EDB">
        <w:trPr>
          <w:trHeight w:val="273"/>
        </w:trPr>
        <w:tc>
          <w:tcPr>
            <w:tcW w:w="1912" w:type="dxa"/>
            <w:tcBorders>
              <w:top w:val="nil"/>
              <w:left w:val="nil"/>
              <w:bottom w:val="nil"/>
              <w:right w:val="nil"/>
            </w:tcBorders>
          </w:tcPr>
          <w:p w14:paraId="7F857F96"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UK</w:t>
            </w:r>
          </w:p>
        </w:tc>
        <w:tc>
          <w:tcPr>
            <w:tcW w:w="1200" w:type="dxa"/>
            <w:tcBorders>
              <w:top w:val="nil"/>
              <w:left w:val="nil"/>
              <w:bottom w:val="nil"/>
              <w:right w:val="nil"/>
            </w:tcBorders>
          </w:tcPr>
          <w:p w14:paraId="3F7CACFB"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D04ED08"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31060933" w14:textId="5E961A08"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0.0508</w:t>
            </w:r>
          </w:p>
        </w:tc>
        <w:tc>
          <w:tcPr>
            <w:tcW w:w="1200" w:type="dxa"/>
            <w:tcBorders>
              <w:top w:val="nil"/>
              <w:left w:val="nil"/>
              <w:bottom w:val="nil"/>
              <w:right w:val="nil"/>
            </w:tcBorders>
          </w:tcPr>
          <w:p w14:paraId="4F9BB355"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233B9A8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nil"/>
              <w:right w:val="nil"/>
            </w:tcBorders>
          </w:tcPr>
          <w:p w14:paraId="40A2D314"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-0.0194</w:t>
            </w:r>
          </w:p>
        </w:tc>
      </w:tr>
      <w:tr w:rsidR="00DD518E" w:rsidRPr="00C03199" w14:paraId="6CB319EE" w14:textId="77777777" w:rsidTr="00D97EDB">
        <w:trPr>
          <w:trHeight w:val="273"/>
        </w:trPr>
        <w:tc>
          <w:tcPr>
            <w:tcW w:w="1912" w:type="dxa"/>
            <w:tcBorders>
              <w:top w:val="nil"/>
              <w:left w:val="nil"/>
              <w:bottom w:val="nil"/>
              <w:right w:val="nil"/>
            </w:tcBorders>
          </w:tcPr>
          <w:p w14:paraId="2A65977A"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Constant</w:t>
            </w:r>
          </w:p>
        </w:tc>
        <w:tc>
          <w:tcPr>
            <w:tcW w:w="1200" w:type="dxa"/>
            <w:tcBorders>
              <w:top w:val="nil"/>
              <w:left w:val="nil"/>
              <w:bottom w:val="nil"/>
              <w:right w:val="nil"/>
            </w:tcBorders>
          </w:tcPr>
          <w:p w14:paraId="1670ED0D" w14:textId="10535808"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00" w:type="dxa"/>
            <w:tcBorders>
              <w:top w:val="nil"/>
              <w:left w:val="nil"/>
              <w:bottom w:val="nil"/>
              <w:right w:val="nil"/>
            </w:tcBorders>
          </w:tcPr>
          <w:p w14:paraId="0542DB60" w14:textId="6612D17E" w:rsidR="00DD518E" w:rsidRPr="00C03199" w:rsidRDefault="000024A9" w:rsidP="000024A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00" w:type="dxa"/>
            <w:tcBorders>
              <w:top w:val="nil"/>
              <w:left w:val="nil"/>
              <w:bottom w:val="nil"/>
              <w:right w:val="nil"/>
            </w:tcBorders>
          </w:tcPr>
          <w:p w14:paraId="70E6A892" w14:textId="23F30A63"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00" w:type="dxa"/>
            <w:tcBorders>
              <w:top w:val="nil"/>
              <w:left w:val="nil"/>
              <w:bottom w:val="nil"/>
              <w:right w:val="nil"/>
            </w:tcBorders>
          </w:tcPr>
          <w:p w14:paraId="5BDDD9CE" w14:textId="000DF1A8"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00" w:type="dxa"/>
            <w:tcBorders>
              <w:top w:val="nil"/>
              <w:left w:val="nil"/>
              <w:bottom w:val="nil"/>
              <w:right w:val="nil"/>
            </w:tcBorders>
          </w:tcPr>
          <w:p w14:paraId="68F99BE9" w14:textId="6824E67A"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00" w:type="dxa"/>
            <w:tcBorders>
              <w:top w:val="nil"/>
              <w:left w:val="nil"/>
              <w:bottom w:val="nil"/>
              <w:right w:val="nil"/>
            </w:tcBorders>
          </w:tcPr>
          <w:p w14:paraId="4ADF1EF2" w14:textId="5FD11552" w:rsidR="00DD518E" w:rsidRPr="00C03199" w:rsidRDefault="000024A9" w:rsidP="00DD518E">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r>
      <w:tr w:rsidR="00DD518E" w:rsidRPr="00C03199" w14:paraId="31B8DC02" w14:textId="77777777" w:rsidTr="00D97EDB">
        <w:trPr>
          <w:trHeight w:val="273"/>
        </w:trPr>
        <w:tc>
          <w:tcPr>
            <w:tcW w:w="1912" w:type="dxa"/>
            <w:tcBorders>
              <w:top w:val="nil"/>
              <w:left w:val="nil"/>
              <w:bottom w:val="nil"/>
              <w:right w:val="nil"/>
            </w:tcBorders>
          </w:tcPr>
          <w:p w14:paraId="2DF6AE82"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Observations</w:t>
            </w:r>
          </w:p>
        </w:tc>
        <w:tc>
          <w:tcPr>
            <w:tcW w:w="1200" w:type="dxa"/>
            <w:tcBorders>
              <w:top w:val="nil"/>
              <w:left w:val="nil"/>
              <w:bottom w:val="nil"/>
              <w:right w:val="nil"/>
            </w:tcBorders>
          </w:tcPr>
          <w:p w14:paraId="6B916C3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435</w:t>
            </w:r>
          </w:p>
        </w:tc>
        <w:tc>
          <w:tcPr>
            <w:tcW w:w="1200" w:type="dxa"/>
            <w:tcBorders>
              <w:top w:val="nil"/>
              <w:left w:val="nil"/>
              <w:bottom w:val="nil"/>
              <w:right w:val="nil"/>
            </w:tcBorders>
          </w:tcPr>
          <w:p w14:paraId="44F09221"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435</w:t>
            </w:r>
          </w:p>
        </w:tc>
        <w:tc>
          <w:tcPr>
            <w:tcW w:w="1200" w:type="dxa"/>
            <w:tcBorders>
              <w:top w:val="nil"/>
              <w:left w:val="nil"/>
              <w:bottom w:val="nil"/>
              <w:right w:val="nil"/>
            </w:tcBorders>
          </w:tcPr>
          <w:p w14:paraId="5C22DF6B"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435</w:t>
            </w:r>
          </w:p>
        </w:tc>
        <w:tc>
          <w:tcPr>
            <w:tcW w:w="1200" w:type="dxa"/>
            <w:tcBorders>
              <w:top w:val="nil"/>
              <w:left w:val="nil"/>
              <w:bottom w:val="nil"/>
              <w:right w:val="nil"/>
            </w:tcBorders>
          </w:tcPr>
          <w:p w14:paraId="40E1E722"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435</w:t>
            </w:r>
          </w:p>
        </w:tc>
        <w:tc>
          <w:tcPr>
            <w:tcW w:w="1200" w:type="dxa"/>
            <w:tcBorders>
              <w:top w:val="nil"/>
              <w:left w:val="nil"/>
              <w:bottom w:val="nil"/>
              <w:right w:val="nil"/>
            </w:tcBorders>
          </w:tcPr>
          <w:p w14:paraId="356CE655"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435</w:t>
            </w:r>
          </w:p>
        </w:tc>
        <w:tc>
          <w:tcPr>
            <w:tcW w:w="1200" w:type="dxa"/>
            <w:tcBorders>
              <w:top w:val="nil"/>
              <w:left w:val="nil"/>
              <w:bottom w:val="nil"/>
              <w:right w:val="nil"/>
            </w:tcBorders>
          </w:tcPr>
          <w:p w14:paraId="2DCD22B2"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435</w:t>
            </w:r>
          </w:p>
        </w:tc>
      </w:tr>
      <w:tr w:rsidR="00DD518E" w:rsidRPr="00C03199" w14:paraId="10493379" w14:textId="77777777" w:rsidTr="00D97EDB">
        <w:tblPrEx>
          <w:tblBorders>
            <w:bottom w:val="single" w:sz="6" w:space="0" w:color="auto"/>
          </w:tblBorders>
        </w:tblPrEx>
        <w:trPr>
          <w:trHeight w:val="273"/>
        </w:trPr>
        <w:tc>
          <w:tcPr>
            <w:tcW w:w="1912" w:type="dxa"/>
            <w:tcBorders>
              <w:top w:val="nil"/>
              <w:left w:val="nil"/>
              <w:bottom w:val="nil"/>
              <w:right w:val="nil"/>
            </w:tcBorders>
          </w:tcPr>
          <w:p w14:paraId="1BDD0E4C" w14:textId="77777777" w:rsidR="00DD518E" w:rsidRPr="00C03199" w:rsidRDefault="00DD518E" w:rsidP="00DD518E">
            <w:pPr>
              <w:widowControl w:val="0"/>
              <w:autoSpaceDE w:val="0"/>
              <w:autoSpaceDN w:val="0"/>
              <w:adjustRightInd w:val="0"/>
              <w:spacing w:after="0" w:line="240" w:lineRule="auto"/>
              <w:rPr>
                <w:rFonts w:ascii="Times New Roman" w:eastAsiaTheme="minorEastAsia" w:hAnsi="Times New Roman" w:cs="Times New Roman"/>
                <w:sz w:val="18"/>
                <w:szCs w:val="18"/>
              </w:rPr>
            </w:pPr>
            <w:r w:rsidRPr="00C03199">
              <w:rPr>
                <w:rFonts w:ascii="Times New Roman" w:hAnsi="Times New Roman" w:cs="Times New Roman"/>
                <w:sz w:val="18"/>
                <w:szCs w:val="18"/>
              </w:rPr>
              <w:t xml:space="preserve">Adjusted </w:t>
            </w:r>
            <m:oMath>
              <m:sSup>
                <m:sSupPr>
                  <m:ctrlPr>
                    <w:rPr>
                      <w:rFonts w:ascii="Cambria Math" w:hAnsi="Cambria Math" w:cs="Times New Roman"/>
                      <w:i/>
                      <w:sz w:val="18"/>
                      <w:szCs w:val="18"/>
                    </w:rPr>
                  </m:ctrlPr>
                </m:sSupPr>
                <m:e>
                  <m:r>
                    <w:rPr>
                      <w:rFonts w:ascii="Cambria Math" w:hAnsi="Cambria Math" w:cs="Times New Roman"/>
                      <w:sz w:val="18"/>
                      <w:szCs w:val="18"/>
                    </w:rPr>
                    <m:t>R</m:t>
                  </m:r>
                </m:e>
                <m:sup>
                  <m:r>
                    <w:rPr>
                      <w:rFonts w:ascii="Cambria Math" w:hAnsi="Cambria Math" w:cs="Times New Roman"/>
                      <w:sz w:val="18"/>
                      <w:szCs w:val="18"/>
                    </w:rPr>
                    <m:t>2</m:t>
                  </m:r>
                </m:sup>
              </m:sSup>
            </m:oMath>
          </w:p>
          <w:p w14:paraId="0A7A3DB9" w14:textId="77777777" w:rsidR="00DD518E" w:rsidRPr="00C03199" w:rsidRDefault="00DD518E" w:rsidP="00DD518E">
            <w:pPr>
              <w:widowControl w:val="0"/>
              <w:autoSpaceDE w:val="0"/>
              <w:autoSpaceDN w:val="0"/>
              <w:adjustRightInd w:val="0"/>
              <w:spacing w:after="0" w:line="240" w:lineRule="auto"/>
              <w:rPr>
                <w:rFonts w:ascii="Times New Roman" w:eastAsiaTheme="minorEastAsia" w:hAnsi="Times New Roman" w:cs="Times New Roman"/>
                <w:sz w:val="18"/>
                <w:szCs w:val="18"/>
              </w:rPr>
            </w:pPr>
            <w:r w:rsidRPr="00C03199">
              <w:rPr>
                <w:rFonts w:ascii="Times New Roman" w:eastAsiaTheme="minorEastAsia" w:hAnsi="Times New Roman" w:cs="Times New Roman"/>
                <w:sz w:val="18"/>
                <w:szCs w:val="18"/>
              </w:rPr>
              <w:t>F-value</w:t>
            </w:r>
          </w:p>
          <w:p w14:paraId="0E9E99F5"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eastAsiaTheme="minorEastAsia" w:hAnsi="Times New Roman" w:cs="Times New Roman"/>
                <w:sz w:val="18"/>
                <w:szCs w:val="18"/>
              </w:rPr>
              <w:t>P-value</w:t>
            </w:r>
          </w:p>
        </w:tc>
        <w:tc>
          <w:tcPr>
            <w:tcW w:w="1200" w:type="dxa"/>
            <w:tcBorders>
              <w:top w:val="nil"/>
              <w:left w:val="nil"/>
              <w:bottom w:val="nil"/>
              <w:right w:val="nil"/>
            </w:tcBorders>
          </w:tcPr>
          <w:p w14:paraId="758504DF"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4.5%</w:t>
            </w:r>
          </w:p>
          <w:p w14:paraId="0B18DA0C" w14:textId="1306566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 xml:space="preserve">    2.22***</w:t>
            </w:r>
          </w:p>
          <w:p w14:paraId="5371BBBA" w14:textId="4BDC9549"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0.004</w:t>
            </w:r>
          </w:p>
        </w:tc>
        <w:tc>
          <w:tcPr>
            <w:tcW w:w="1200" w:type="dxa"/>
            <w:tcBorders>
              <w:top w:val="nil"/>
              <w:left w:val="nil"/>
              <w:bottom w:val="nil"/>
              <w:right w:val="nil"/>
            </w:tcBorders>
          </w:tcPr>
          <w:p w14:paraId="4D3B9F58"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5.9%</w:t>
            </w:r>
          </w:p>
          <w:p w14:paraId="035CC578" w14:textId="6ADF2C5C"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 xml:space="preserve">  2.01***</w:t>
            </w:r>
          </w:p>
          <w:p w14:paraId="19103F8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w:t>
            </w:r>
          </w:p>
        </w:tc>
        <w:tc>
          <w:tcPr>
            <w:tcW w:w="1200" w:type="dxa"/>
            <w:tcBorders>
              <w:top w:val="nil"/>
              <w:left w:val="nil"/>
              <w:bottom w:val="nil"/>
              <w:right w:val="nil"/>
            </w:tcBorders>
          </w:tcPr>
          <w:p w14:paraId="1F62A51E"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5.7%</w:t>
            </w:r>
          </w:p>
          <w:p w14:paraId="26653FC6" w14:textId="0EB5AAA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1.73**</w:t>
            </w:r>
          </w:p>
          <w:p w14:paraId="154C5A89" w14:textId="3E60978E"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0.050</w:t>
            </w:r>
          </w:p>
        </w:tc>
        <w:tc>
          <w:tcPr>
            <w:tcW w:w="1200" w:type="dxa"/>
            <w:tcBorders>
              <w:top w:val="nil"/>
              <w:left w:val="nil"/>
              <w:bottom w:val="nil"/>
              <w:right w:val="nil"/>
            </w:tcBorders>
          </w:tcPr>
          <w:p w14:paraId="2D39F7D0"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3.1%</w:t>
            </w:r>
          </w:p>
          <w:p w14:paraId="23E4A953" w14:textId="14D1CEBC"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 xml:space="preserve"> 1.83**</w:t>
            </w:r>
          </w:p>
          <w:p w14:paraId="1640A8ED"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0.023</w:t>
            </w:r>
          </w:p>
        </w:tc>
        <w:tc>
          <w:tcPr>
            <w:tcW w:w="1200" w:type="dxa"/>
            <w:tcBorders>
              <w:top w:val="nil"/>
              <w:left w:val="nil"/>
              <w:bottom w:val="nil"/>
              <w:right w:val="nil"/>
            </w:tcBorders>
          </w:tcPr>
          <w:p w14:paraId="499D426C"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w:t>
            </w:r>
          </w:p>
          <w:p w14:paraId="3109F729" w14:textId="4FF4B89F"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1.5**</w:t>
            </w:r>
          </w:p>
          <w:p w14:paraId="665BB623" w14:textId="7750AF12"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0.050</w:t>
            </w:r>
          </w:p>
        </w:tc>
        <w:tc>
          <w:tcPr>
            <w:tcW w:w="1200" w:type="dxa"/>
            <w:tcBorders>
              <w:top w:val="nil"/>
              <w:left w:val="nil"/>
              <w:bottom w:val="nil"/>
              <w:right w:val="nil"/>
            </w:tcBorders>
          </w:tcPr>
          <w:p w14:paraId="6767392D"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5.2%</w:t>
            </w:r>
          </w:p>
          <w:p w14:paraId="7E0952BA" w14:textId="7A5B79AF"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1.66**</w:t>
            </w:r>
          </w:p>
          <w:p w14:paraId="46B7B28A"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0.012</w:t>
            </w:r>
          </w:p>
        </w:tc>
      </w:tr>
      <w:tr w:rsidR="00DD518E" w:rsidRPr="00C03199" w14:paraId="4D7C0C51" w14:textId="77777777" w:rsidTr="00D97EDB">
        <w:tblPrEx>
          <w:tblBorders>
            <w:bottom w:val="single" w:sz="6" w:space="0" w:color="auto"/>
          </w:tblBorders>
        </w:tblPrEx>
        <w:trPr>
          <w:trHeight w:val="273"/>
        </w:trPr>
        <w:tc>
          <w:tcPr>
            <w:tcW w:w="1912" w:type="dxa"/>
            <w:tcBorders>
              <w:top w:val="nil"/>
              <w:left w:val="nil"/>
              <w:bottom w:val="single" w:sz="6" w:space="0" w:color="auto"/>
              <w:right w:val="nil"/>
            </w:tcBorders>
          </w:tcPr>
          <w:p w14:paraId="6C78E430"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Industry Effect</w:t>
            </w:r>
          </w:p>
          <w:p w14:paraId="74D70184" w14:textId="77777777" w:rsidR="00DD518E" w:rsidRPr="00C03199" w:rsidRDefault="00DD518E" w:rsidP="00DD518E">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Target Nation Effect</w:t>
            </w:r>
          </w:p>
        </w:tc>
        <w:tc>
          <w:tcPr>
            <w:tcW w:w="1200" w:type="dxa"/>
            <w:tcBorders>
              <w:top w:val="nil"/>
              <w:left w:val="nil"/>
              <w:bottom w:val="single" w:sz="6" w:space="0" w:color="auto"/>
              <w:right w:val="nil"/>
            </w:tcBorders>
          </w:tcPr>
          <w:p w14:paraId="77621D5C" w14:textId="7422B152"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single" w:sz="6" w:space="0" w:color="auto"/>
              <w:right w:val="nil"/>
            </w:tcBorders>
          </w:tcPr>
          <w:p w14:paraId="3B921C99"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tc>
        <w:tc>
          <w:tcPr>
            <w:tcW w:w="1200" w:type="dxa"/>
            <w:tcBorders>
              <w:top w:val="nil"/>
              <w:left w:val="nil"/>
              <w:bottom w:val="single" w:sz="6" w:space="0" w:color="auto"/>
              <w:right w:val="nil"/>
            </w:tcBorders>
          </w:tcPr>
          <w:p w14:paraId="4DA2F812"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p w14:paraId="0013B46B" w14:textId="509BD062"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tc>
        <w:tc>
          <w:tcPr>
            <w:tcW w:w="1200" w:type="dxa"/>
            <w:tcBorders>
              <w:top w:val="nil"/>
              <w:left w:val="nil"/>
              <w:bottom w:val="single" w:sz="6" w:space="0" w:color="auto"/>
              <w:right w:val="nil"/>
            </w:tcBorders>
          </w:tcPr>
          <w:p w14:paraId="1DD7BEA4"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p>
        </w:tc>
        <w:tc>
          <w:tcPr>
            <w:tcW w:w="1200" w:type="dxa"/>
            <w:tcBorders>
              <w:top w:val="nil"/>
              <w:left w:val="nil"/>
              <w:bottom w:val="single" w:sz="6" w:space="0" w:color="auto"/>
              <w:right w:val="nil"/>
            </w:tcBorders>
          </w:tcPr>
          <w:p w14:paraId="78A0724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tc>
        <w:tc>
          <w:tcPr>
            <w:tcW w:w="1200" w:type="dxa"/>
            <w:tcBorders>
              <w:top w:val="nil"/>
              <w:left w:val="nil"/>
              <w:bottom w:val="single" w:sz="6" w:space="0" w:color="auto"/>
              <w:right w:val="nil"/>
            </w:tcBorders>
          </w:tcPr>
          <w:p w14:paraId="1692C51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p w14:paraId="179F1883" w14:textId="77777777" w:rsidR="00DD518E" w:rsidRPr="00C03199" w:rsidRDefault="00DD518E" w:rsidP="00DD518E">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tc>
      </w:tr>
    </w:tbl>
    <w:p w14:paraId="2AF15824" w14:textId="68AF92B4" w:rsidR="006C0D68" w:rsidRPr="00611454" w:rsidRDefault="006C0D68" w:rsidP="00611454">
      <w:pPr>
        <w:spacing w:after="0"/>
        <w:rPr>
          <w:rFonts w:ascii="Times New Roman" w:hAnsi="Times New Roman" w:cs="Times New Roman"/>
          <w:sz w:val="28"/>
        </w:rPr>
      </w:pPr>
      <w:r w:rsidRPr="00611454">
        <w:rPr>
          <w:rFonts w:ascii="Times New Roman" w:hAnsi="Times New Roman" w:cs="Times New Roman"/>
        </w:rPr>
        <w:t>*, **, and *** indicate a statistical significance level of 10%, 5%, and 1% (using two-tailed tests), respectively.</w:t>
      </w:r>
    </w:p>
    <w:p w14:paraId="1A13F8DE" w14:textId="77777777" w:rsidR="001D2318" w:rsidRPr="00C03199" w:rsidRDefault="001D2318" w:rsidP="00B771C2">
      <w:pPr>
        <w:tabs>
          <w:tab w:val="left" w:pos="1052"/>
        </w:tabs>
        <w:spacing w:after="0" w:line="360" w:lineRule="auto"/>
        <w:jc w:val="both"/>
        <w:rPr>
          <w:rFonts w:ascii="Times New Roman" w:hAnsi="Times New Roman" w:cs="Times New Roman"/>
          <w:sz w:val="24"/>
        </w:rPr>
      </w:pPr>
    </w:p>
    <w:p w14:paraId="3D2555CC" w14:textId="5C5936B1" w:rsidR="009D1534" w:rsidRDefault="009D1534" w:rsidP="004065CA">
      <w:pPr>
        <w:tabs>
          <w:tab w:val="left" w:pos="1052"/>
        </w:tabs>
        <w:spacing w:after="0" w:line="360" w:lineRule="auto"/>
        <w:jc w:val="both"/>
        <w:rPr>
          <w:rFonts w:ascii="Times New Roman" w:hAnsi="Times New Roman" w:cs="Times New Roman"/>
          <w:i/>
          <w:sz w:val="24"/>
        </w:rPr>
      </w:pPr>
      <w:r w:rsidRPr="00C03199">
        <w:rPr>
          <w:rFonts w:ascii="Times New Roman" w:hAnsi="Times New Roman" w:cs="Times New Roman"/>
          <w:sz w:val="24"/>
        </w:rPr>
        <w:t xml:space="preserve">returns when the </w:t>
      </w:r>
      <w:r>
        <w:rPr>
          <w:rFonts w:ascii="Times New Roman" w:hAnsi="Times New Roman" w:cs="Times New Roman"/>
          <w:sz w:val="24"/>
        </w:rPr>
        <w:t>bidder</w:t>
      </w:r>
      <w:r w:rsidRPr="00C03199">
        <w:rPr>
          <w:rFonts w:ascii="Times New Roman" w:hAnsi="Times New Roman" w:cs="Times New Roman"/>
          <w:sz w:val="24"/>
        </w:rPr>
        <w:t>’s currency is stronger than that of the target. Therefore, the exchange rate hypothesis and the fourth hypothesis of this paper are not accepted, as the coefficient of the variable yields mixed insignificant results.</w:t>
      </w:r>
    </w:p>
    <w:p w14:paraId="65941E5B" w14:textId="77777777" w:rsidR="009D1534" w:rsidRDefault="009D1534" w:rsidP="004065CA">
      <w:pPr>
        <w:tabs>
          <w:tab w:val="left" w:pos="1052"/>
        </w:tabs>
        <w:spacing w:after="0" w:line="360" w:lineRule="auto"/>
        <w:jc w:val="both"/>
        <w:rPr>
          <w:rFonts w:ascii="Times New Roman" w:hAnsi="Times New Roman" w:cs="Times New Roman"/>
          <w:i/>
          <w:sz w:val="24"/>
        </w:rPr>
      </w:pPr>
    </w:p>
    <w:p w14:paraId="4CB8C801" w14:textId="7E5D8523" w:rsidR="004065CA" w:rsidRDefault="004065CA" w:rsidP="009D1534">
      <w:pPr>
        <w:tabs>
          <w:tab w:val="left" w:pos="1052"/>
        </w:tabs>
        <w:spacing w:after="0" w:line="360" w:lineRule="auto"/>
        <w:jc w:val="both"/>
        <w:rPr>
          <w:rFonts w:ascii="Times New Roman" w:hAnsi="Times New Roman" w:cs="Times New Roman"/>
          <w:sz w:val="24"/>
        </w:rPr>
      </w:pPr>
      <w:r w:rsidRPr="00C03199">
        <w:rPr>
          <w:rFonts w:ascii="Times New Roman" w:hAnsi="Times New Roman" w:cs="Times New Roman"/>
          <w:i/>
          <w:sz w:val="24"/>
        </w:rPr>
        <w:t xml:space="preserve">Robustness checks. </w:t>
      </w:r>
      <w:r w:rsidRPr="00C03199">
        <w:rPr>
          <w:rFonts w:ascii="Times New Roman" w:hAnsi="Times New Roman" w:cs="Times New Roman"/>
          <w:sz w:val="24"/>
        </w:rPr>
        <w:t xml:space="preserve">UK target firms are removed from the sample to ensure that the results are not </w:t>
      </w:r>
      <w:r>
        <w:rPr>
          <w:rFonts w:ascii="Times New Roman" w:hAnsi="Times New Roman" w:cs="Times New Roman"/>
          <w:sz w:val="24"/>
        </w:rPr>
        <w:t>affected</w:t>
      </w:r>
      <w:r w:rsidRPr="00C03199">
        <w:rPr>
          <w:rFonts w:ascii="Times New Roman" w:hAnsi="Times New Roman" w:cs="Times New Roman"/>
          <w:sz w:val="24"/>
        </w:rPr>
        <w:t xml:space="preserve"> by UK target firms, which account for 51% of the sample. After removing UK target </w:t>
      </w:r>
      <w:r w:rsidRPr="00C03199">
        <w:rPr>
          <w:rFonts w:ascii="Times New Roman" w:hAnsi="Times New Roman" w:cs="Times New Roman"/>
          <w:sz w:val="24"/>
        </w:rPr>
        <w:lastRenderedPageBreak/>
        <w:t xml:space="preserve">firms, the coefficient for ‘Exchange Rate’ (reported in table 5 in the appendix) remained insignificant and positive (negative) for the first and (second) event windows. </w:t>
      </w:r>
    </w:p>
    <w:p w14:paraId="64C9881F" w14:textId="77777777" w:rsidR="009D1534" w:rsidRDefault="009D1534" w:rsidP="009D1534">
      <w:pPr>
        <w:tabs>
          <w:tab w:val="left" w:pos="1052"/>
        </w:tabs>
        <w:spacing w:after="0" w:line="360" w:lineRule="auto"/>
        <w:jc w:val="both"/>
        <w:rPr>
          <w:rFonts w:ascii="Times New Roman" w:hAnsi="Times New Roman" w:cs="Times New Roman"/>
          <w:sz w:val="24"/>
        </w:rPr>
      </w:pPr>
    </w:p>
    <w:p w14:paraId="08D37DB6" w14:textId="73F44A9D" w:rsidR="0012324A" w:rsidRPr="00C03199" w:rsidRDefault="0012324A" w:rsidP="00B5338F">
      <w:pPr>
        <w:tabs>
          <w:tab w:val="left" w:pos="1052"/>
        </w:tabs>
        <w:spacing w:after="120" w:line="360" w:lineRule="auto"/>
        <w:jc w:val="both"/>
        <w:rPr>
          <w:rFonts w:ascii="Times New Roman" w:hAnsi="Times New Roman" w:cs="Times New Roman"/>
          <w:i/>
          <w:sz w:val="24"/>
        </w:rPr>
      </w:pPr>
      <w:r w:rsidRPr="00C03199">
        <w:rPr>
          <w:rFonts w:ascii="Times New Roman" w:hAnsi="Times New Roman" w:cs="Times New Roman"/>
          <w:i/>
          <w:sz w:val="24"/>
        </w:rPr>
        <w:t xml:space="preserve">5.4.4 Difference in characteristics </w:t>
      </w:r>
    </w:p>
    <w:p w14:paraId="68887D37" w14:textId="1B3D57D6" w:rsidR="007B510C" w:rsidRPr="00C03199" w:rsidRDefault="00173656" w:rsidP="00211B8E">
      <w:pPr>
        <w:tabs>
          <w:tab w:val="left" w:pos="1052"/>
        </w:tabs>
        <w:spacing w:after="0" w:line="360" w:lineRule="auto"/>
        <w:ind w:firstLine="284"/>
        <w:jc w:val="both"/>
        <w:rPr>
          <w:rFonts w:ascii="Times New Roman" w:hAnsi="Times New Roman" w:cs="Times New Roman"/>
          <w:sz w:val="24"/>
        </w:rPr>
      </w:pPr>
      <w:r w:rsidRPr="00173656">
        <w:rPr>
          <w:rFonts w:ascii="Times New Roman" w:hAnsi="Times New Roman" w:cs="Times New Roman"/>
          <w:sz w:val="24"/>
        </w:rPr>
        <w:t xml:space="preserve">Previous literature, mentioned in section 2.1.5, observed that the cumulative abnormal returns received by the shareholders of firms in cross-border transactions are due to variations in the deal features or features of targeted firms by national and international bidders </w:t>
      </w:r>
      <w:r w:rsidR="007B510C" w:rsidRPr="00C03199">
        <w:rPr>
          <w:rFonts w:ascii="Times New Roman" w:hAnsi="Times New Roman" w:cs="Times New Roman"/>
          <w:sz w:val="24"/>
        </w:rPr>
        <w:t xml:space="preserve">(Wansley et al., 1983; Swenson, 1993; Dewenter 1995; Danbolt, 2004). Several </w:t>
      </w:r>
      <w:r w:rsidR="007A1E76" w:rsidRPr="00C03199">
        <w:rPr>
          <w:rFonts w:ascii="Times New Roman" w:hAnsi="Times New Roman" w:cs="Times New Roman"/>
          <w:sz w:val="24"/>
        </w:rPr>
        <w:t>control</w:t>
      </w:r>
      <w:r w:rsidR="007B510C" w:rsidRPr="00C03199">
        <w:rPr>
          <w:rFonts w:ascii="Times New Roman" w:hAnsi="Times New Roman" w:cs="Times New Roman"/>
          <w:sz w:val="24"/>
        </w:rPr>
        <w:t xml:space="preserve"> variables are used to analyze if the level of cumulative abnormal returns is dependent on different deal or target firm characteristics</w:t>
      </w:r>
      <w:r w:rsidR="00435484" w:rsidRPr="00C03199">
        <w:rPr>
          <w:rFonts w:ascii="Times New Roman" w:hAnsi="Times New Roman" w:cs="Times New Roman"/>
          <w:sz w:val="24"/>
        </w:rPr>
        <w:t xml:space="preserve">.  </w:t>
      </w:r>
      <w:r w:rsidR="007B510C" w:rsidRPr="00C03199">
        <w:rPr>
          <w:rFonts w:ascii="Times New Roman" w:hAnsi="Times New Roman" w:cs="Times New Roman"/>
          <w:sz w:val="24"/>
        </w:rPr>
        <w:t xml:space="preserve"> </w:t>
      </w:r>
    </w:p>
    <w:p w14:paraId="27FF1B6E" w14:textId="79C453E1" w:rsidR="003D03FC" w:rsidRPr="00C03199" w:rsidRDefault="007B510C" w:rsidP="00211B8E">
      <w:pPr>
        <w:tabs>
          <w:tab w:val="left" w:pos="1052"/>
        </w:tabs>
        <w:spacing w:after="0" w:line="360" w:lineRule="auto"/>
        <w:ind w:firstLine="284"/>
        <w:jc w:val="both"/>
        <w:rPr>
          <w:rFonts w:ascii="Times New Roman" w:hAnsi="Times New Roman" w:cs="Times New Roman"/>
          <w:sz w:val="24"/>
        </w:rPr>
      </w:pPr>
      <w:r w:rsidRPr="00C03199">
        <w:rPr>
          <w:rFonts w:ascii="Times New Roman" w:hAnsi="Times New Roman" w:cs="Times New Roman"/>
          <w:sz w:val="24"/>
        </w:rPr>
        <w:t>The difference in deal characteristics</w:t>
      </w:r>
      <w:r w:rsidR="00697061" w:rsidRPr="00C03199">
        <w:rPr>
          <w:rFonts w:ascii="Times New Roman" w:hAnsi="Times New Roman" w:cs="Times New Roman"/>
          <w:sz w:val="24"/>
        </w:rPr>
        <w:t xml:space="preserve"> </w:t>
      </w:r>
      <w:r w:rsidR="00E2726C">
        <w:rPr>
          <w:rFonts w:ascii="Times New Roman" w:hAnsi="Times New Roman" w:cs="Times New Roman"/>
          <w:sz w:val="24"/>
        </w:rPr>
        <w:t>is</w:t>
      </w:r>
      <w:r w:rsidR="00697061" w:rsidRPr="00C03199">
        <w:rPr>
          <w:rFonts w:ascii="Times New Roman" w:hAnsi="Times New Roman" w:cs="Times New Roman"/>
          <w:sz w:val="24"/>
        </w:rPr>
        <w:t xml:space="preserve"> tested by the variables for payment method, percentage of stake acquired, deal attitude, and </w:t>
      </w:r>
      <w:r w:rsidR="00173656">
        <w:rPr>
          <w:rFonts w:ascii="Times New Roman" w:hAnsi="Times New Roman" w:cs="Times New Roman"/>
          <w:sz w:val="24"/>
        </w:rPr>
        <w:t>relatedness of the bidder and target industries</w:t>
      </w:r>
      <w:r w:rsidR="00697061" w:rsidRPr="00C03199">
        <w:rPr>
          <w:rFonts w:ascii="Times New Roman" w:hAnsi="Times New Roman" w:cs="Times New Roman"/>
          <w:sz w:val="24"/>
        </w:rPr>
        <w:t xml:space="preserve">. </w:t>
      </w:r>
      <w:r w:rsidR="003D03FC" w:rsidRPr="00C03199">
        <w:rPr>
          <w:rFonts w:ascii="Times New Roman" w:hAnsi="Times New Roman" w:cs="Times New Roman"/>
          <w:sz w:val="24"/>
        </w:rPr>
        <w:t>As seen in table 3, the coefficient for ‘C</w:t>
      </w:r>
      <w:r w:rsidR="009B198E" w:rsidRPr="00C03199">
        <w:rPr>
          <w:rFonts w:ascii="Times New Roman" w:hAnsi="Times New Roman" w:cs="Times New Roman"/>
          <w:sz w:val="24"/>
        </w:rPr>
        <w:t>ash</w:t>
      </w:r>
      <w:r w:rsidR="003D03FC" w:rsidRPr="00C03199">
        <w:rPr>
          <w:rFonts w:ascii="Times New Roman" w:hAnsi="Times New Roman" w:cs="Times New Roman"/>
          <w:sz w:val="24"/>
        </w:rPr>
        <w:t xml:space="preserve">’ </w:t>
      </w:r>
      <w:r w:rsidR="002D337E" w:rsidRPr="00C03199">
        <w:rPr>
          <w:rFonts w:ascii="Times New Roman" w:hAnsi="Times New Roman" w:cs="Times New Roman"/>
          <w:sz w:val="24"/>
        </w:rPr>
        <w:t>is</w:t>
      </w:r>
      <w:r w:rsidR="003D03FC" w:rsidRPr="00C03199">
        <w:rPr>
          <w:rFonts w:ascii="Times New Roman" w:hAnsi="Times New Roman" w:cs="Times New Roman"/>
          <w:sz w:val="24"/>
        </w:rPr>
        <w:t xml:space="preserve"> significant, at 5% statistical significance level, </w:t>
      </w:r>
      <w:r w:rsidR="002D337E" w:rsidRPr="00C03199">
        <w:rPr>
          <w:rFonts w:ascii="Times New Roman" w:hAnsi="Times New Roman" w:cs="Times New Roman"/>
          <w:sz w:val="24"/>
        </w:rPr>
        <w:t xml:space="preserve">and </w:t>
      </w:r>
      <w:r w:rsidR="003D03FC" w:rsidRPr="00C03199">
        <w:rPr>
          <w:rFonts w:ascii="Times New Roman" w:hAnsi="Times New Roman" w:cs="Times New Roman"/>
          <w:sz w:val="24"/>
        </w:rPr>
        <w:t>positive for CAR (0, +1); while, for CAR (-1, +5) the coefficient becomes insignificant yet still positive. The positive</w:t>
      </w:r>
      <w:r w:rsidR="003C6EE4" w:rsidRPr="00C03199">
        <w:rPr>
          <w:rFonts w:ascii="Times New Roman" w:hAnsi="Times New Roman" w:cs="Times New Roman"/>
          <w:sz w:val="24"/>
        </w:rPr>
        <w:t xml:space="preserve"> significant</w:t>
      </w:r>
      <w:r w:rsidR="00832234" w:rsidRPr="00C03199">
        <w:rPr>
          <w:rFonts w:ascii="Times New Roman" w:hAnsi="Times New Roman" w:cs="Times New Roman"/>
          <w:sz w:val="24"/>
        </w:rPr>
        <w:t xml:space="preserve"> coefficient implies that </w:t>
      </w:r>
      <w:r w:rsidR="00C06491" w:rsidRPr="00C03199">
        <w:rPr>
          <w:rFonts w:ascii="Times New Roman" w:hAnsi="Times New Roman" w:cs="Times New Roman"/>
          <w:sz w:val="24"/>
        </w:rPr>
        <w:t>cash-only deal</w:t>
      </w:r>
      <w:r w:rsidR="009B198E" w:rsidRPr="00C03199">
        <w:rPr>
          <w:rFonts w:ascii="Times New Roman" w:hAnsi="Times New Roman" w:cs="Times New Roman"/>
          <w:sz w:val="24"/>
        </w:rPr>
        <w:t>s</w:t>
      </w:r>
      <w:r w:rsidR="00832234" w:rsidRPr="00C03199">
        <w:rPr>
          <w:rFonts w:ascii="Times New Roman" w:hAnsi="Times New Roman" w:cs="Times New Roman"/>
          <w:sz w:val="24"/>
        </w:rPr>
        <w:t xml:space="preserve">, </w:t>
      </w:r>
      <w:r w:rsidR="00173656">
        <w:rPr>
          <w:rFonts w:ascii="Times New Roman" w:hAnsi="Times New Roman" w:cs="Times New Roman"/>
          <w:sz w:val="24"/>
        </w:rPr>
        <w:t>in comparison</w:t>
      </w:r>
      <w:r w:rsidR="00832234" w:rsidRPr="00C03199">
        <w:rPr>
          <w:rFonts w:ascii="Times New Roman" w:hAnsi="Times New Roman" w:cs="Times New Roman"/>
          <w:sz w:val="24"/>
        </w:rPr>
        <w:t xml:space="preserve"> to those paid with cash and stock offerings,</w:t>
      </w:r>
      <w:r w:rsidR="003C6EE4" w:rsidRPr="00C03199">
        <w:rPr>
          <w:rFonts w:ascii="Times New Roman" w:hAnsi="Times New Roman" w:cs="Times New Roman"/>
          <w:sz w:val="24"/>
        </w:rPr>
        <w:t xml:space="preserve"> will generate 9.54% higher cumulative abnormal returns to target firms</w:t>
      </w:r>
      <w:r w:rsidR="00832234" w:rsidRPr="00C03199">
        <w:rPr>
          <w:rFonts w:ascii="Times New Roman" w:hAnsi="Times New Roman" w:cs="Times New Roman"/>
          <w:sz w:val="24"/>
        </w:rPr>
        <w:t>’</w:t>
      </w:r>
      <w:r w:rsidR="00472D68" w:rsidRPr="00C03199">
        <w:rPr>
          <w:rFonts w:ascii="Times New Roman" w:hAnsi="Times New Roman" w:cs="Times New Roman"/>
          <w:sz w:val="24"/>
        </w:rPr>
        <w:t xml:space="preserve"> shareholders</w:t>
      </w:r>
      <w:r w:rsidR="009B198E" w:rsidRPr="00C03199">
        <w:rPr>
          <w:rFonts w:ascii="Times New Roman" w:hAnsi="Times New Roman" w:cs="Times New Roman"/>
          <w:sz w:val="24"/>
        </w:rPr>
        <w:t xml:space="preserve"> in cross-border acquisitions</w:t>
      </w:r>
      <w:r w:rsidR="00472D68" w:rsidRPr="00C03199">
        <w:rPr>
          <w:rFonts w:ascii="Times New Roman" w:hAnsi="Times New Roman" w:cs="Times New Roman"/>
          <w:sz w:val="24"/>
        </w:rPr>
        <w:t xml:space="preserve">, in the day of and post to </w:t>
      </w:r>
      <w:r w:rsidR="00E2726C">
        <w:rPr>
          <w:rFonts w:ascii="Times New Roman" w:hAnsi="Times New Roman" w:cs="Times New Roman"/>
          <w:sz w:val="24"/>
        </w:rPr>
        <w:t xml:space="preserve">the </w:t>
      </w:r>
      <w:r w:rsidR="00472D68" w:rsidRPr="00C03199">
        <w:rPr>
          <w:rFonts w:ascii="Times New Roman" w:hAnsi="Times New Roman" w:cs="Times New Roman"/>
          <w:sz w:val="24"/>
        </w:rPr>
        <w:t>announcement</w:t>
      </w:r>
      <w:r w:rsidR="00520FAE" w:rsidRPr="00C03199">
        <w:rPr>
          <w:rFonts w:ascii="Times New Roman" w:hAnsi="Times New Roman" w:cs="Times New Roman"/>
          <w:sz w:val="24"/>
        </w:rPr>
        <w:t xml:space="preserve"> of the bid. The coefficient for ‘S</w:t>
      </w:r>
      <w:r w:rsidR="009B198E" w:rsidRPr="00C03199">
        <w:rPr>
          <w:rFonts w:ascii="Times New Roman" w:hAnsi="Times New Roman" w:cs="Times New Roman"/>
          <w:sz w:val="24"/>
        </w:rPr>
        <w:t>tock</w:t>
      </w:r>
      <w:r w:rsidR="00520FAE" w:rsidRPr="00C03199">
        <w:rPr>
          <w:rFonts w:ascii="Times New Roman" w:hAnsi="Times New Roman" w:cs="Times New Roman"/>
          <w:sz w:val="24"/>
        </w:rPr>
        <w:t xml:space="preserve">’ is significant, at </w:t>
      </w:r>
      <w:r w:rsidR="00E2726C">
        <w:rPr>
          <w:rFonts w:ascii="Times New Roman" w:hAnsi="Times New Roman" w:cs="Times New Roman"/>
          <w:sz w:val="24"/>
        </w:rPr>
        <w:t xml:space="preserve">a </w:t>
      </w:r>
      <w:r w:rsidR="00520FAE" w:rsidRPr="00C03199">
        <w:rPr>
          <w:rFonts w:ascii="Times New Roman" w:hAnsi="Times New Roman" w:cs="Times New Roman"/>
          <w:sz w:val="24"/>
        </w:rPr>
        <w:t>1% statistical significance level, only for the first event window and negative for both event windows. Compared to deals finance</w:t>
      </w:r>
      <w:r w:rsidR="00E2726C">
        <w:rPr>
          <w:rFonts w:ascii="Times New Roman" w:hAnsi="Times New Roman" w:cs="Times New Roman"/>
          <w:sz w:val="24"/>
        </w:rPr>
        <w:t>d</w:t>
      </w:r>
      <w:r w:rsidR="00520FAE" w:rsidRPr="00C03199">
        <w:rPr>
          <w:rFonts w:ascii="Times New Roman" w:hAnsi="Times New Roman" w:cs="Times New Roman"/>
          <w:sz w:val="24"/>
        </w:rPr>
        <w:t xml:space="preserve"> by cash and stock offerings, </w:t>
      </w:r>
      <w:r w:rsidR="00C06491" w:rsidRPr="00C03199">
        <w:rPr>
          <w:rFonts w:ascii="Times New Roman" w:hAnsi="Times New Roman" w:cs="Times New Roman"/>
          <w:sz w:val="24"/>
        </w:rPr>
        <w:t>stock-only deals</w:t>
      </w:r>
      <w:r w:rsidR="00520FAE" w:rsidRPr="00C03199">
        <w:rPr>
          <w:rFonts w:ascii="Times New Roman" w:hAnsi="Times New Roman" w:cs="Times New Roman"/>
          <w:sz w:val="24"/>
        </w:rPr>
        <w:t xml:space="preserve"> will generate 12.3% lower cumulative abnormal returns to target firms’ shareholders</w:t>
      </w:r>
      <w:r w:rsidR="009B198E" w:rsidRPr="00C03199">
        <w:rPr>
          <w:rFonts w:ascii="Times New Roman" w:hAnsi="Times New Roman" w:cs="Times New Roman"/>
          <w:sz w:val="24"/>
        </w:rPr>
        <w:t xml:space="preserve"> in cross-border acquisitions</w:t>
      </w:r>
      <w:r w:rsidR="00520FAE" w:rsidRPr="00C03199">
        <w:rPr>
          <w:rFonts w:ascii="Times New Roman" w:hAnsi="Times New Roman" w:cs="Times New Roman"/>
          <w:sz w:val="24"/>
        </w:rPr>
        <w:t xml:space="preserve"> in the day of and post to the bid announcement. </w:t>
      </w:r>
      <w:r w:rsidR="00211B8E" w:rsidRPr="00C03199">
        <w:rPr>
          <w:rFonts w:ascii="Times New Roman" w:hAnsi="Times New Roman" w:cs="Times New Roman"/>
          <w:sz w:val="24"/>
        </w:rPr>
        <w:t xml:space="preserve">None of the regression coefficients for deal attitude, </w:t>
      </w:r>
      <w:r w:rsidR="00E2726C">
        <w:rPr>
          <w:rFonts w:ascii="Times New Roman" w:hAnsi="Times New Roman" w:cs="Times New Roman"/>
          <w:sz w:val="24"/>
        </w:rPr>
        <w:t xml:space="preserve">the </w:t>
      </w:r>
      <w:r w:rsidR="00211B8E" w:rsidRPr="00C03199">
        <w:rPr>
          <w:rFonts w:ascii="Times New Roman" w:hAnsi="Times New Roman" w:cs="Times New Roman"/>
          <w:sz w:val="24"/>
        </w:rPr>
        <w:t xml:space="preserve">percentage of stake acquired, and relatedness of </w:t>
      </w:r>
      <w:r w:rsidR="00E10B3F">
        <w:rPr>
          <w:rFonts w:ascii="Times New Roman" w:hAnsi="Times New Roman" w:cs="Times New Roman"/>
          <w:sz w:val="24"/>
        </w:rPr>
        <w:t>bidder and target</w:t>
      </w:r>
      <w:r w:rsidR="00211B8E" w:rsidRPr="00C03199">
        <w:rPr>
          <w:rFonts w:ascii="Times New Roman" w:hAnsi="Times New Roman" w:cs="Times New Roman"/>
          <w:sz w:val="24"/>
        </w:rPr>
        <w:t xml:space="preserve"> industries are found to be significant. </w:t>
      </w:r>
    </w:p>
    <w:p w14:paraId="13700573" w14:textId="2B8EBF2F" w:rsidR="008C0FF3" w:rsidRPr="00C03199" w:rsidRDefault="00435484" w:rsidP="00FA6651">
      <w:pPr>
        <w:tabs>
          <w:tab w:val="left" w:pos="1052"/>
        </w:tabs>
        <w:spacing w:after="0" w:line="360" w:lineRule="auto"/>
        <w:ind w:firstLine="284"/>
        <w:jc w:val="both"/>
        <w:rPr>
          <w:rFonts w:ascii="Times New Roman" w:hAnsi="Times New Roman" w:cs="Times New Roman"/>
          <w:sz w:val="24"/>
        </w:rPr>
      </w:pPr>
      <w:r w:rsidRPr="00C03199">
        <w:rPr>
          <w:rFonts w:ascii="Times New Roman" w:hAnsi="Times New Roman" w:cs="Times New Roman"/>
          <w:sz w:val="24"/>
        </w:rPr>
        <w:t>Difference</w:t>
      </w:r>
      <w:r w:rsidR="00E2726C">
        <w:rPr>
          <w:rFonts w:ascii="Times New Roman" w:hAnsi="Times New Roman" w:cs="Times New Roman"/>
          <w:sz w:val="24"/>
        </w:rPr>
        <w:t>s</w:t>
      </w:r>
      <w:r w:rsidRPr="00C03199">
        <w:rPr>
          <w:rFonts w:ascii="Times New Roman" w:hAnsi="Times New Roman" w:cs="Times New Roman"/>
          <w:sz w:val="24"/>
        </w:rPr>
        <w:t xml:space="preserve"> in target firms’</w:t>
      </w:r>
      <w:r w:rsidR="004A0817" w:rsidRPr="00C03199">
        <w:rPr>
          <w:rFonts w:ascii="Times New Roman" w:hAnsi="Times New Roman" w:cs="Times New Roman"/>
          <w:sz w:val="24"/>
        </w:rPr>
        <w:t xml:space="preserve"> characteristics</w:t>
      </w:r>
      <w:r w:rsidRPr="00C03199">
        <w:rPr>
          <w:rFonts w:ascii="Times New Roman" w:hAnsi="Times New Roman" w:cs="Times New Roman"/>
          <w:sz w:val="24"/>
        </w:rPr>
        <w:t xml:space="preserve"> </w:t>
      </w:r>
      <w:r w:rsidR="00E2726C">
        <w:rPr>
          <w:rFonts w:ascii="Times New Roman" w:hAnsi="Times New Roman" w:cs="Times New Roman"/>
          <w:sz w:val="24"/>
        </w:rPr>
        <w:t>are</w:t>
      </w:r>
      <w:r w:rsidRPr="00C03199">
        <w:rPr>
          <w:rFonts w:ascii="Times New Roman" w:hAnsi="Times New Roman" w:cs="Times New Roman"/>
          <w:sz w:val="24"/>
        </w:rPr>
        <w:t xml:space="preserve"> assessed based on their growth rates of net assets, EBIT, and EPS, market size, </w:t>
      </w:r>
      <w:r w:rsidR="004A0817" w:rsidRPr="00C03199">
        <w:rPr>
          <w:rFonts w:ascii="Times New Roman" w:hAnsi="Times New Roman" w:cs="Times New Roman"/>
          <w:sz w:val="24"/>
        </w:rPr>
        <w:t>enterprise value to EBITDA ratio</w:t>
      </w:r>
      <w:r w:rsidR="00820DA7" w:rsidRPr="00C03199">
        <w:rPr>
          <w:rFonts w:ascii="Times New Roman" w:hAnsi="Times New Roman" w:cs="Times New Roman"/>
          <w:sz w:val="24"/>
        </w:rPr>
        <w:t>, size, and the one-year average EPS</w:t>
      </w:r>
      <w:r w:rsidR="004A0817" w:rsidRPr="00C03199">
        <w:rPr>
          <w:rFonts w:ascii="Times New Roman" w:hAnsi="Times New Roman" w:cs="Times New Roman"/>
          <w:sz w:val="24"/>
        </w:rPr>
        <w:t>.</w:t>
      </w:r>
      <w:r w:rsidR="00E2726C">
        <w:rPr>
          <w:rFonts w:ascii="Times New Roman" w:hAnsi="Times New Roman" w:cs="Times New Roman"/>
          <w:sz w:val="24"/>
        </w:rPr>
        <w:t xml:space="preserve"> The coefficient for ‘target EPS’ (in the second event window) is found to be significant, at a 5% statistical significance level, and positive, which implies that a $1 increase in the average EPS will increase the </w:t>
      </w:r>
      <w:r w:rsidR="00E10B3F">
        <w:rPr>
          <w:rFonts w:ascii="Times New Roman" w:hAnsi="Times New Roman" w:cs="Times New Roman"/>
          <w:sz w:val="24"/>
        </w:rPr>
        <w:t>CAR</w:t>
      </w:r>
      <w:r w:rsidR="00E2726C">
        <w:rPr>
          <w:rFonts w:ascii="Times New Roman" w:hAnsi="Times New Roman" w:cs="Times New Roman"/>
          <w:sz w:val="24"/>
        </w:rPr>
        <w:t xml:space="preserve">, of target firms in cross-border acquisitions, by 0.24%. </w:t>
      </w:r>
      <w:r w:rsidR="000B5266" w:rsidRPr="00C03199">
        <w:rPr>
          <w:rFonts w:ascii="Times New Roman" w:hAnsi="Times New Roman" w:cs="Times New Roman"/>
          <w:sz w:val="24"/>
        </w:rPr>
        <w:t xml:space="preserve">As seen in table 1, target </w:t>
      </w:r>
      <w:r w:rsidR="00E10B3F">
        <w:rPr>
          <w:rFonts w:ascii="Times New Roman" w:hAnsi="Times New Roman" w:cs="Times New Roman"/>
          <w:sz w:val="24"/>
        </w:rPr>
        <w:t>companies</w:t>
      </w:r>
      <w:r w:rsidR="000B5266" w:rsidRPr="00C03199">
        <w:rPr>
          <w:rFonts w:ascii="Times New Roman" w:hAnsi="Times New Roman" w:cs="Times New Roman"/>
          <w:sz w:val="24"/>
        </w:rPr>
        <w:t xml:space="preserve"> in cross-border and domestic deals have an average EPS of $1.7 and $0.2, respectively; therefore, given that the average EPS has as a positive effect on the </w:t>
      </w:r>
      <w:r w:rsidR="00E10B3F">
        <w:rPr>
          <w:rFonts w:ascii="Times New Roman" w:hAnsi="Times New Roman" w:cs="Times New Roman"/>
          <w:sz w:val="24"/>
        </w:rPr>
        <w:t>rate</w:t>
      </w:r>
      <w:r w:rsidR="000B5266" w:rsidRPr="00C03199">
        <w:rPr>
          <w:rFonts w:ascii="Times New Roman" w:hAnsi="Times New Roman" w:cs="Times New Roman"/>
          <w:sz w:val="24"/>
        </w:rPr>
        <w:t xml:space="preserve"> of </w:t>
      </w:r>
      <w:r w:rsidR="00E10B3F">
        <w:rPr>
          <w:rFonts w:ascii="Times New Roman" w:hAnsi="Times New Roman" w:cs="Times New Roman"/>
          <w:sz w:val="24"/>
        </w:rPr>
        <w:t>CAR</w:t>
      </w:r>
      <w:r w:rsidR="000B5266" w:rsidRPr="00C03199">
        <w:rPr>
          <w:rFonts w:ascii="Times New Roman" w:hAnsi="Times New Roman" w:cs="Times New Roman"/>
          <w:sz w:val="24"/>
        </w:rPr>
        <w:t xml:space="preserve"> to </w:t>
      </w:r>
      <w:r w:rsidR="00E10B3F">
        <w:rPr>
          <w:rFonts w:ascii="Times New Roman" w:hAnsi="Times New Roman" w:cs="Times New Roman"/>
          <w:sz w:val="24"/>
        </w:rPr>
        <w:t>the shareholders of target firms in international bids</w:t>
      </w:r>
      <w:r w:rsidR="000B5266" w:rsidRPr="00C03199">
        <w:rPr>
          <w:rFonts w:ascii="Times New Roman" w:hAnsi="Times New Roman" w:cs="Times New Roman"/>
          <w:sz w:val="24"/>
        </w:rPr>
        <w:t xml:space="preserve">, </w:t>
      </w:r>
      <w:r w:rsidR="000B5266">
        <w:rPr>
          <w:rFonts w:ascii="Times New Roman" w:hAnsi="Times New Roman" w:cs="Times New Roman"/>
          <w:sz w:val="24"/>
        </w:rPr>
        <w:t xml:space="preserve">target firm’s EPS can be </w:t>
      </w:r>
      <w:r w:rsidR="00E10B3F">
        <w:rPr>
          <w:rFonts w:ascii="Times New Roman" w:hAnsi="Times New Roman" w:cs="Times New Roman"/>
          <w:sz w:val="24"/>
        </w:rPr>
        <w:t>assumed</w:t>
      </w:r>
      <w:r w:rsidR="000B5266">
        <w:rPr>
          <w:rFonts w:ascii="Times New Roman" w:hAnsi="Times New Roman" w:cs="Times New Roman"/>
          <w:sz w:val="24"/>
        </w:rPr>
        <w:t xml:space="preserve"> to have an </w:t>
      </w:r>
      <w:r w:rsidR="00E10B3F">
        <w:rPr>
          <w:rFonts w:ascii="Times New Roman" w:hAnsi="Times New Roman" w:cs="Times New Roman"/>
          <w:sz w:val="24"/>
        </w:rPr>
        <w:lastRenderedPageBreak/>
        <w:t>effect</w:t>
      </w:r>
      <w:r w:rsidR="000B5266">
        <w:rPr>
          <w:rFonts w:ascii="Times New Roman" w:hAnsi="Times New Roman" w:cs="Times New Roman"/>
          <w:sz w:val="24"/>
        </w:rPr>
        <w:t xml:space="preserve"> on the cross-border effect. </w:t>
      </w:r>
      <w:r w:rsidR="00EA0780" w:rsidRPr="00C03199">
        <w:rPr>
          <w:rFonts w:ascii="Times New Roman" w:hAnsi="Times New Roman" w:cs="Times New Roman"/>
          <w:sz w:val="24"/>
        </w:rPr>
        <w:t xml:space="preserve">The coefficient for </w:t>
      </w:r>
      <w:r w:rsidR="00C4006B" w:rsidRPr="00C03199">
        <w:rPr>
          <w:rFonts w:ascii="Times New Roman" w:hAnsi="Times New Roman" w:cs="Times New Roman"/>
          <w:sz w:val="24"/>
        </w:rPr>
        <w:t>‘</w:t>
      </w:r>
      <w:r w:rsidR="00EA0780" w:rsidRPr="00C03199">
        <w:rPr>
          <w:rFonts w:ascii="Times New Roman" w:hAnsi="Times New Roman" w:cs="Times New Roman"/>
          <w:sz w:val="24"/>
        </w:rPr>
        <w:t>EPS growth rate</w:t>
      </w:r>
      <w:r w:rsidR="00C4006B" w:rsidRPr="00C03199">
        <w:rPr>
          <w:rFonts w:ascii="Times New Roman" w:hAnsi="Times New Roman" w:cs="Times New Roman"/>
          <w:sz w:val="24"/>
        </w:rPr>
        <w:t>’</w:t>
      </w:r>
      <w:r w:rsidR="00AC50A8">
        <w:rPr>
          <w:rFonts w:ascii="Times New Roman" w:hAnsi="Times New Roman" w:cs="Times New Roman"/>
          <w:sz w:val="24"/>
        </w:rPr>
        <w:t xml:space="preserve"> (in the second event window)</w:t>
      </w:r>
      <w:r w:rsidR="0000272D" w:rsidRPr="00C03199">
        <w:rPr>
          <w:rFonts w:ascii="Times New Roman" w:hAnsi="Times New Roman" w:cs="Times New Roman"/>
          <w:sz w:val="24"/>
        </w:rPr>
        <w:t>, reported in table 3,</w:t>
      </w:r>
      <w:r w:rsidR="00EA0780" w:rsidRPr="00C03199">
        <w:rPr>
          <w:rFonts w:ascii="Times New Roman" w:hAnsi="Times New Roman" w:cs="Times New Roman"/>
          <w:sz w:val="24"/>
        </w:rPr>
        <w:t xml:space="preserve"> is found to be negative and significant, at</w:t>
      </w:r>
      <w:r w:rsidR="00E2726C">
        <w:rPr>
          <w:rFonts w:ascii="Times New Roman" w:hAnsi="Times New Roman" w:cs="Times New Roman"/>
          <w:sz w:val="24"/>
        </w:rPr>
        <w:t xml:space="preserve"> a</w:t>
      </w:r>
      <w:r w:rsidR="00EA0780" w:rsidRPr="00C03199">
        <w:rPr>
          <w:rFonts w:ascii="Times New Roman" w:hAnsi="Times New Roman" w:cs="Times New Roman"/>
          <w:sz w:val="24"/>
        </w:rPr>
        <w:t xml:space="preserve"> 1% statistical significance level, even after controlling for target industry and nation effects. The significant negative coefficient implies that when the three-year, prior to the bid, average growth rate </w:t>
      </w:r>
      <w:r w:rsidR="00040563" w:rsidRPr="00C03199">
        <w:rPr>
          <w:rFonts w:ascii="Times New Roman" w:hAnsi="Times New Roman" w:cs="Times New Roman"/>
          <w:sz w:val="24"/>
        </w:rPr>
        <w:t>of</w:t>
      </w:r>
      <w:r w:rsidR="00C4006B" w:rsidRPr="00C03199">
        <w:rPr>
          <w:rFonts w:ascii="Times New Roman" w:hAnsi="Times New Roman" w:cs="Times New Roman"/>
          <w:sz w:val="24"/>
        </w:rPr>
        <w:t xml:space="preserve"> EPS increase by 1%, the</w:t>
      </w:r>
      <w:r w:rsidR="00EA0780" w:rsidRPr="00C03199">
        <w:rPr>
          <w:rFonts w:ascii="Times New Roman" w:hAnsi="Times New Roman" w:cs="Times New Roman"/>
          <w:sz w:val="24"/>
        </w:rPr>
        <w:t xml:space="preserve"> cumulative abnormal returns</w:t>
      </w:r>
      <w:r w:rsidR="00FF54BB" w:rsidRPr="00C03199">
        <w:rPr>
          <w:rFonts w:ascii="Times New Roman" w:hAnsi="Times New Roman" w:cs="Times New Roman"/>
          <w:sz w:val="24"/>
        </w:rPr>
        <w:t xml:space="preserve">, from day </w:t>
      </w:r>
      <w:r w:rsidR="00E2726C">
        <w:rPr>
          <w:rFonts w:ascii="Times New Roman" w:hAnsi="Times New Roman" w:cs="Times New Roman"/>
          <w:sz w:val="24"/>
        </w:rPr>
        <w:t>t</w:t>
      </w:r>
      <w:r w:rsidR="00FF54BB" w:rsidRPr="00C03199">
        <w:rPr>
          <w:rFonts w:ascii="Times New Roman" w:hAnsi="Times New Roman" w:cs="Times New Roman"/>
          <w:sz w:val="24"/>
        </w:rPr>
        <w:t xml:space="preserve">-1 to </w:t>
      </w:r>
      <w:r w:rsidR="00E2726C">
        <w:rPr>
          <w:rFonts w:ascii="Times New Roman" w:hAnsi="Times New Roman" w:cs="Times New Roman"/>
          <w:sz w:val="24"/>
        </w:rPr>
        <w:t>t+</w:t>
      </w:r>
      <w:r w:rsidR="00FF54BB" w:rsidRPr="00C03199">
        <w:rPr>
          <w:rFonts w:ascii="Times New Roman" w:hAnsi="Times New Roman" w:cs="Times New Roman"/>
          <w:sz w:val="24"/>
        </w:rPr>
        <w:t>5,</w:t>
      </w:r>
      <w:r w:rsidR="00C4006B" w:rsidRPr="00C03199">
        <w:rPr>
          <w:rFonts w:ascii="Times New Roman" w:hAnsi="Times New Roman" w:cs="Times New Roman"/>
          <w:sz w:val="24"/>
        </w:rPr>
        <w:t xml:space="preserve"> of target firms in cross-border acquisitions</w:t>
      </w:r>
      <w:r w:rsidR="00EA0780" w:rsidRPr="00C03199">
        <w:rPr>
          <w:rFonts w:ascii="Times New Roman" w:hAnsi="Times New Roman" w:cs="Times New Roman"/>
          <w:sz w:val="24"/>
        </w:rPr>
        <w:t xml:space="preserve"> will decrease by 0.02%</w:t>
      </w:r>
      <w:r w:rsidR="003A0C16" w:rsidRPr="00C03199">
        <w:rPr>
          <w:rFonts w:ascii="Times New Roman" w:hAnsi="Times New Roman" w:cs="Times New Roman"/>
          <w:sz w:val="24"/>
        </w:rPr>
        <w:t>.</w:t>
      </w:r>
      <w:r w:rsidR="003F7A76" w:rsidRPr="00C03199">
        <w:rPr>
          <w:rFonts w:ascii="Times New Roman" w:hAnsi="Times New Roman" w:cs="Times New Roman"/>
          <w:sz w:val="24"/>
        </w:rPr>
        <w:t xml:space="preserve"> </w:t>
      </w:r>
      <w:r w:rsidR="00E232F0" w:rsidRPr="00C03199">
        <w:rPr>
          <w:rFonts w:ascii="Times New Roman" w:hAnsi="Times New Roman" w:cs="Times New Roman"/>
          <w:sz w:val="24"/>
        </w:rPr>
        <w:t>Coefficients for the remaining financial multiplies</w:t>
      </w:r>
      <w:r w:rsidR="00FA6651">
        <w:rPr>
          <w:rFonts w:ascii="Times New Roman" w:hAnsi="Times New Roman" w:cs="Times New Roman"/>
          <w:sz w:val="24"/>
        </w:rPr>
        <w:t>,</w:t>
      </w:r>
      <w:r w:rsidR="00E232F0" w:rsidRPr="00C03199">
        <w:rPr>
          <w:rFonts w:ascii="Times New Roman" w:hAnsi="Times New Roman" w:cs="Times New Roman"/>
          <w:sz w:val="24"/>
        </w:rPr>
        <w:t xml:space="preserve"> </w:t>
      </w:r>
      <w:r w:rsidR="00FA6651" w:rsidRPr="00C03199">
        <w:rPr>
          <w:rFonts w:ascii="Times New Roman" w:hAnsi="Times New Roman" w:cs="Times New Roman"/>
          <w:sz w:val="24"/>
        </w:rPr>
        <w:t xml:space="preserve">size </w:t>
      </w:r>
      <w:r w:rsidR="00FA6651">
        <w:rPr>
          <w:rFonts w:ascii="Times New Roman" w:hAnsi="Times New Roman" w:cs="Times New Roman"/>
          <w:sz w:val="24"/>
        </w:rPr>
        <w:t xml:space="preserve">and industry </w:t>
      </w:r>
      <w:r w:rsidR="00E232F0" w:rsidRPr="00C03199">
        <w:rPr>
          <w:rFonts w:ascii="Times New Roman" w:hAnsi="Times New Roman" w:cs="Times New Roman"/>
          <w:sz w:val="24"/>
        </w:rPr>
        <w:t>of</w:t>
      </w:r>
      <w:r w:rsidR="00FA6651">
        <w:rPr>
          <w:rFonts w:ascii="Times New Roman" w:hAnsi="Times New Roman" w:cs="Times New Roman"/>
          <w:sz w:val="24"/>
        </w:rPr>
        <w:t xml:space="preserve"> the</w:t>
      </w:r>
      <w:r w:rsidR="00E232F0" w:rsidRPr="00C03199">
        <w:rPr>
          <w:rFonts w:ascii="Times New Roman" w:hAnsi="Times New Roman" w:cs="Times New Roman"/>
          <w:sz w:val="24"/>
        </w:rPr>
        <w:t xml:space="preserve"> target firm are not found to significantly different from zero, and </w:t>
      </w:r>
      <w:r w:rsidR="000554E6">
        <w:rPr>
          <w:rFonts w:ascii="Times New Roman" w:hAnsi="Times New Roman" w:cs="Times New Roman"/>
          <w:sz w:val="24"/>
        </w:rPr>
        <w:t xml:space="preserve">they have no effect on the </w:t>
      </w:r>
      <w:r w:rsidR="00A37514">
        <w:rPr>
          <w:rFonts w:ascii="Times New Roman" w:hAnsi="Times New Roman" w:cs="Times New Roman"/>
          <w:sz w:val="24"/>
        </w:rPr>
        <w:t>CAR to target firms in cross-border bids,</w:t>
      </w:r>
      <w:r w:rsidR="00E232F0" w:rsidRPr="00C03199">
        <w:rPr>
          <w:rFonts w:ascii="Times New Roman" w:hAnsi="Times New Roman" w:cs="Times New Roman"/>
          <w:sz w:val="24"/>
        </w:rPr>
        <w:t xml:space="preserve"> around the announcement day.</w:t>
      </w:r>
      <w:r w:rsidR="00F629AC" w:rsidRPr="00C03199">
        <w:rPr>
          <w:rFonts w:ascii="Times New Roman" w:hAnsi="Times New Roman" w:cs="Times New Roman"/>
          <w:sz w:val="24"/>
        </w:rPr>
        <w:t xml:space="preserve"> </w:t>
      </w:r>
    </w:p>
    <w:p w14:paraId="7CD04B81" w14:textId="77777777" w:rsidR="000A688F" w:rsidRPr="00C03199" w:rsidRDefault="000A688F" w:rsidP="000A688F">
      <w:pPr>
        <w:tabs>
          <w:tab w:val="left" w:pos="1052"/>
        </w:tabs>
        <w:spacing w:after="0" w:line="360" w:lineRule="auto"/>
        <w:jc w:val="both"/>
        <w:rPr>
          <w:rFonts w:ascii="Times New Roman" w:hAnsi="Times New Roman" w:cs="Times New Roman"/>
          <w:i/>
          <w:sz w:val="24"/>
        </w:rPr>
      </w:pPr>
    </w:p>
    <w:p w14:paraId="40FD1E75" w14:textId="79D04305" w:rsidR="000554E6" w:rsidRDefault="000554E6" w:rsidP="000A688F">
      <w:pPr>
        <w:tabs>
          <w:tab w:val="left" w:pos="1052"/>
        </w:tabs>
        <w:spacing w:after="0" w:line="360" w:lineRule="auto"/>
        <w:jc w:val="both"/>
        <w:rPr>
          <w:rFonts w:ascii="Times New Roman" w:hAnsi="Times New Roman" w:cs="Times New Roman"/>
          <w:sz w:val="24"/>
        </w:rPr>
      </w:pPr>
      <w:r w:rsidRPr="000554E6">
        <w:rPr>
          <w:rFonts w:ascii="Times New Roman" w:hAnsi="Times New Roman" w:cs="Times New Roman"/>
          <w:i/>
          <w:sz w:val="24"/>
        </w:rPr>
        <w:t xml:space="preserve">Robustness Checks. </w:t>
      </w:r>
      <w:r w:rsidRPr="000554E6">
        <w:rPr>
          <w:rFonts w:ascii="Times New Roman" w:hAnsi="Times New Roman" w:cs="Times New Roman"/>
          <w:sz w:val="24"/>
        </w:rPr>
        <w:t xml:space="preserve">As </w:t>
      </w:r>
      <w:r w:rsidR="00A37514">
        <w:rPr>
          <w:rFonts w:ascii="Times New Roman" w:hAnsi="Times New Roman" w:cs="Times New Roman"/>
          <w:sz w:val="24"/>
        </w:rPr>
        <w:t>shown</w:t>
      </w:r>
      <w:r w:rsidRPr="000554E6">
        <w:rPr>
          <w:rFonts w:ascii="Times New Roman" w:hAnsi="Times New Roman" w:cs="Times New Roman"/>
          <w:sz w:val="24"/>
        </w:rPr>
        <w:t xml:space="preserve"> in table 5, in the appendix, the coefficients for ‘Cash’ and ‘Stock’ are insignificant after removing UK target firms. The coefficient for ‘Target EPS’ has not changed in sign nor significance but increased slightly; while, the coefficient for ‘EPS growth rate’ is still negative but insignificant. The coefficient for ‘related’ is </w:t>
      </w:r>
      <w:r w:rsidR="00A37514">
        <w:rPr>
          <w:rFonts w:ascii="Times New Roman" w:hAnsi="Times New Roman" w:cs="Times New Roman"/>
          <w:sz w:val="24"/>
        </w:rPr>
        <w:t>observed</w:t>
      </w:r>
      <w:r w:rsidRPr="000554E6">
        <w:rPr>
          <w:rFonts w:ascii="Times New Roman" w:hAnsi="Times New Roman" w:cs="Times New Roman"/>
          <w:sz w:val="24"/>
        </w:rPr>
        <w:t xml:space="preserve"> to be positive and significant, at a 5% statistical significance level, for the first event window, from day t0 to t+1. The positive coefficient implies that if the </w:t>
      </w:r>
      <w:r w:rsidR="00A37514">
        <w:rPr>
          <w:rFonts w:ascii="Times New Roman" w:hAnsi="Times New Roman" w:cs="Times New Roman"/>
          <w:sz w:val="24"/>
        </w:rPr>
        <w:t>acquirer and target</w:t>
      </w:r>
      <w:r w:rsidRPr="000554E6">
        <w:rPr>
          <w:rFonts w:ascii="Times New Roman" w:hAnsi="Times New Roman" w:cs="Times New Roman"/>
          <w:sz w:val="24"/>
        </w:rPr>
        <w:t xml:space="preserve"> are from the same industry, target firms will earn</w:t>
      </w:r>
      <w:r w:rsidR="003652F1">
        <w:rPr>
          <w:rFonts w:ascii="Times New Roman" w:hAnsi="Times New Roman" w:cs="Times New Roman"/>
          <w:sz w:val="24"/>
        </w:rPr>
        <w:t xml:space="preserve"> 7.5% </w:t>
      </w:r>
      <w:r w:rsidR="003652F1" w:rsidRPr="000554E6">
        <w:rPr>
          <w:rFonts w:ascii="Times New Roman" w:hAnsi="Times New Roman" w:cs="Times New Roman"/>
          <w:sz w:val="24"/>
        </w:rPr>
        <w:t>higher</w:t>
      </w:r>
      <w:r w:rsidRPr="000554E6">
        <w:rPr>
          <w:rFonts w:ascii="Times New Roman" w:hAnsi="Times New Roman" w:cs="Times New Roman"/>
          <w:sz w:val="24"/>
        </w:rPr>
        <w:t xml:space="preserve"> </w:t>
      </w:r>
      <w:r w:rsidR="00A37514">
        <w:rPr>
          <w:rFonts w:ascii="Times New Roman" w:hAnsi="Times New Roman" w:cs="Times New Roman"/>
          <w:sz w:val="24"/>
        </w:rPr>
        <w:t>CAR</w:t>
      </w:r>
      <w:r w:rsidRPr="000554E6">
        <w:rPr>
          <w:rFonts w:ascii="Times New Roman" w:hAnsi="Times New Roman" w:cs="Times New Roman"/>
          <w:sz w:val="24"/>
        </w:rPr>
        <w:t xml:space="preserve"> in the day of and post to the announcement of the bid. The coefficient for ‘Assets growth rate’ is </w:t>
      </w:r>
      <w:r w:rsidR="00A37514">
        <w:rPr>
          <w:rFonts w:ascii="Times New Roman" w:hAnsi="Times New Roman" w:cs="Times New Roman"/>
          <w:sz w:val="24"/>
        </w:rPr>
        <w:t>observed</w:t>
      </w:r>
      <w:r w:rsidRPr="000554E6">
        <w:rPr>
          <w:rFonts w:ascii="Times New Roman" w:hAnsi="Times New Roman" w:cs="Times New Roman"/>
          <w:sz w:val="24"/>
        </w:rPr>
        <w:t xml:space="preserve"> to be positive and significant, at a 5% statistical significance level, implying that if the three-year average growth of net assets increases by 1%, target firms will earn 0.05% higher </w:t>
      </w:r>
      <w:r w:rsidR="00A37514">
        <w:rPr>
          <w:rFonts w:ascii="Times New Roman" w:hAnsi="Times New Roman" w:cs="Times New Roman"/>
          <w:sz w:val="24"/>
        </w:rPr>
        <w:t>CAR</w:t>
      </w:r>
      <w:r w:rsidRPr="000554E6">
        <w:rPr>
          <w:rFonts w:ascii="Times New Roman" w:hAnsi="Times New Roman" w:cs="Times New Roman"/>
          <w:sz w:val="24"/>
        </w:rPr>
        <w:t xml:space="preserve"> around the announcement day.</w:t>
      </w:r>
      <w:r w:rsidR="003652F1">
        <w:rPr>
          <w:rFonts w:ascii="Times New Roman" w:hAnsi="Times New Roman" w:cs="Times New Roman"/>
          <w:sz w:val="24"/>
        </w:rPr>
        <w:t xml:space="preserve"> Cross-border target firms in consumer staples, health care, high-tech, industrial, materials, media and entertainment, and telecomm inactions are found to earn significantly higher cumulative abnormal retu</w:t>
      </w:r>
      <w:r w:rsidR="00CC6B17">
        <w:rPr>
          <w:rFonts w:ascii="Times New Roman" w:hAnsi="Times New Roman" w:cs="Times New Roman"/>
          <w:sz w:val="24"/>
        </w:rPr>
        <w:t>rns in the second event window.</w:t>
      </w:r>
    </w:p>
    <w:p w14:paraId="6858AFD9" w14:textId="77777777" w:rsidR="008C0428" w:rsidRPr="00C03199" w:rsidRDefault="008C0428" w:rsidP="000A688F">
      <w:pPr>
        <w:tabs>
          <w:tab w:val="left" w:pos="1052"/>
        </w:tabs>
        <w:spacing w:after="0" w:line="360" w:lineRule="auto"/>
        <w:jc w:val="both"/>
        <w:rPr>
          <w:rFonts w:ascii="Times New Roman" w:hAnsi="Times New Roman" w:cs="Times New Roman"/>
          <w:sz w:val="24"/>
        </w:rPr>
      </w:pPr>
    </w:p>
    <w:p w14:paraId="5C6E94C7" w14:textId="2B1A8044" w:rsidR="004A1223" w:rsidRPr="00C03199" w:rsidRDefault="00422382" w:rsidP="004A1223">
      <w:pPr>
        <w:spacing w:after="120" w:line="360" w:lineRule="auto"/>
        <w:jc w:val="both"/>
        <w:rPr>
          <w:rFonts w:ascii="Times New Roman" w:hAnsi="Times New Roman" w:cs="Times New Roman"/>
          <w:i/>
          <w:sz w:val="24"/>
        </w:rPr>
      </w:pPr>
      <w:r w:rsidRPr="00C03199">
        <w:rPr>
          <w:rFonts w:ascii="Times New Roman" w:hAnsi="Times New Roman" w:cs="Times New Roman"/>
          <w:i/>
          <w:sz w:val="24"/>
        </w:rPr>
        <w:t>5.5</w:t>
      </w:r>
      <w:r w:rsidR="004A1223" w:rsidRPr="00C03199">
        <w:rPr>
          <w:rFonts w:ascii="Times New Roman" w:hAnsi="Times New Roman" w:cs="Times New Roman"/>
          <w:i/>
          <w:sz w:val="24"/>
        </w:rPr>
        <w:t xml:space="preserve"> </w:t>
      </w:r>
      <w:r w:rsidR="004F1F6E">
        <w:rPr>
          <w:rFonts w:ascii="Times New Roman" w:hAnsi="Times New Roman" w:cs="Times New Roman"/>
          <w:i/>
          <w:sz w:val="24"/>
        </w:rPr>
        <w:t>Analysis of the</w:t>
      </w:r>
      <w:r w:rsidR="00A37514">
        <w:rPr>
          <w:rFonts w:ascii="Times New Roman" w:hAnsi="Times New Roman" w:cs="Times New Roman"/>
          <w:i/>
          <w:sz w:val="24"/>
        </w:rPr>
        <w:t xml:space="preserve"> cross-border effect</w:t>
      </w:r>
    </w:p>
    <w:p w14:paraId="47B7F271" w14:textId="491A334B" w:rsidR="00CC6B17" w:rsidRDefault="000554E6" w:rsidP="00CC6B17">
      <w:pPr>
        <w:tabs>
          <w:tab w:val="left" w:pos="1052"/>
        </w:tabs>
        <w:spacing w:after="0" w:line="360" w:lineRule="auto"/>
        <w:jc w:val="both"/>
        <w:rPr>
          <w:rFonts w:ascii="Times New Roman" w:hAnsi="Times New Roman" w:cs="Times New Roman"/>
          <w:sz w:val="24"/>
        </w:rPr>
      </w:pPr>
      <w:r w:rsidRPr="000554E6">
        <w:rPr>
          <w:rFonts w:ascii="Times New Roman" w:hAnsi="Times New Roman" w:cs="Times New Roman"/>
          <w:sz w:val="24"/>
        </w:rPr>
        <w:t xml:space="preserve">In section 5.4, some variables appeared to </w:t>
      </w:r>
      <w:r w:rsidR="00A37514">
        <w:rPr>
          <w:rFonts w:ascii="Times New Roman" w:hAnsi="Times New Roman" w:cs="Times New Roman"/>
          <w:sz w:val="24"/>
        </w:rPr>
        <w:t>influence</w:t>
      </w:r>
      <w:r w:rsidRPr="000554E6">
        <w:rPr>
          <w:rFonts w:ascii="Times New Roman" w:hAnsi="Times New Roman" w:cs="Times New Roman"/>
          <w:sz w:val="24"/>
        </w:rPr>
        <w:t xml:space="preserve"> the </w:t>
      </w:r>
      <w:r w:rsidR="00A37514">
        <w:rPr>
          <w:rFonts w:ascii="Times New Roman" w:hAnsi="Times New Roman" w:cs="Times New Roman"/>
          <w:sz w:val="24"/>
        </w:rPr>
        <w:t>rate</w:t>
      </w:r>
      <w:r w:rsidRPr="000554E6">
        <w:rPr>
          <w:rFonts w:ascii="Times New Roman" w:hAnsi="Times New Roman" w:cs="Times New Roman"/>
          <w:sz w:val="24"/>
        </w:rPr>
        <w:t xml:space="preserve"> of cumulative abnormal returns </w:t>
      </w:r>
      <w:r w:rsidR="00F717A7">
        <w:rPr>
          <w:rFonts w:ascii="Times New Roman" w:hAnsi="Times New Roman" w:cs="Times New Roman"/>
          <w:sz w:val="24"/>
        </w:rPr>
        <w:t xml:space="preserve">generated </w:t>
      </w:r>
      <w:r w:rsidRPr="000554E6">
        <w:rPr>
          <w:rFonts w:ascii="Times New Roman" w:hAnsi="Times New Roman" w:cs="Times New Roman"/>
          <w:sz w:val="24"/>
        </w:rPr>
        <w:t xml:space="preserve">to </w:t>
      </w:r>
      <w:r w:rsidR="00F717A7">
        <w:rPr>
          <w:rFonts w:ascii="Times New Roman" w:hAnsi="Times New Roman" w:cs="Times New Roman"/>
          <w:sz w:val="24"/>
        </w:rPr>
        <w:t>the shareholders of target firms in cross-border acquisitions</w:t>
      </w:r>
      <w:r w:rsidRPr="000554E6">
        <w:rPr>
          <w:rFonts w:ascii="Times New Roman" w:hAnsi="Times New Roman" w:cs="Times New Roman"/>
          <w:sz w:val="24"/>
        </w:rPr>
        <w:t>. These variables and a dummy variable ‘Cross’, which takes a value of 1 for cross-border acquisitions and 0 otherwise</w:t>
      </w:r>
      <w:r w:rsidR="00F717A7" w:rsidRPr="000554E6">
        <w:rPr>
          <w:rFonts w:ascii="Times New Roman" w:hAnsi="Times New Roman" w:cs="Times New Roman"/>
          <w:sz w:val="24"/>
        </w:rPr>
        <w:t>, are</w:t>
      </w:r>
      <w:r w:rsidRPr="000554E6">
        <w:rPr>
          <w:rFonts w:ascii="Times New Roman" w:hAnsi="Times New Roman" w:cs="Times New Roman"/>
          <w:sz w:val="24"/>
        </w:rPr>
        <w:t xml:space="preserve"> used to test whether these variables account for </w:t>
      </w:r>
      <w:r w:rsidR="00F717A7">
        <w:rPr>
          <w:rFonts w:ascii="Times New Roman" w:hAnsi="Times New Roman" w:cs="Times New Roman"/>
          <w:sz w:val="24"/>
        </w:rPr>
        <w:t>the variations in target firms’ cumulative abnormal returns</w:t>
      </w:r>
      <w:r w:rsidRPr="000554E6">
        <w:rPr>
          <w:rFonts w:ascii="Times New Roman" w:hAnsi="Times New Roman" w:cs="Times New Roman"/>
          <w:sz w:val="24"/>
        </w:rPr>
        <w:t xml:space="preserve">. The results are presented in table 4, below. </w:t>
      </w:r>
      <w:r w:rsidR="00F717A7">
        <w:rPr>
          <w:rFonts w:ascii="Times New Roman" w:hAnsi="Times New Roman" w:cs="Times New Roman"/>
          <w:sz w:val="24"/>
        </w:rPr>
        <w:t>The regressions’ overall explanatory powers are marginal</w:t>
      </w:r>
      <w:r w:rsidRPr="000554E6">
        <w:rPr>
          <w:rFonts w:ascii="Times New Roman" w:hAnsi="Times New Roman" w:cs="Times New Roman"/>
          <w:sz w:val="24"/>
        </w:rPr>
        <w:t xml:space="preserve">, with the adjusted </w:t>
      </w:r>
      <m:oMath>
        <m:sSup>
          <m:sSupPr>
            <m:ctrlPr>
              <w:rPr>
                <w:rFonts w:ascii="Cambria Math" w:hAnsi="Cambria Math" w:cs="Times New Roman"/>
                <w:sz w:val="24"/>
              </w:rPr>
            </m:ctrlPr>
          </m:sSupPr>
          <m:e>
            <m:r>
              <w:rPr>
                <w:rFonts w:ascii="Cambria Math" w:hAnsi="Cambria Math" w:cs="Times New Roman"/>
                <w:sz w:val="24"/>
              </w:rPr>
              <m:t>R</m:t>
            </m:r>
          </m:e>
          <m:sup>
            <m:r>
              <m:rPr>
                <m:sty m:val="p"/>
              </m:rPr>
              <w:rPr>
                <w:rFonts w:ascii="Cambria Math" w:hAnsi="Cambria Math" w:cs="Times New Roman"/>
                <w:sz w:val="24"/>
              </w:rPr>
              <m:t>2</m:t>
            </m:r>
          </m:sup>
        </m:sSup>
      </m:oMath>
      <w:r w:rsidRPr="00D14D96">
        <w:rPr>
          <w:rFonts w:ascii="Times New Roman" w:hAnsi="Times New Roman" w:cs="Times New Roman"/>
          <w:sz w:val="24"/>
        </w:rPr>
        <w:t xml:space="preserve"> </w:t>
      </w:r>
      <w:r w:rsidRPr="000554E6">
        <w:rPr>
          <w:rFonts w:ascii="Times New Roman" w:hAnsi="Times New Roman" w:cs="Times New Roman"/>
          <w:sz w:val="24"/>
        </w:rPr>
        <w:t xml:space="preserve">ranging from 3.3% to 5.1%, but all of the regressions are highly significant at a 1% statistical significance </w:t>
      </w:r>
      <w:r w:rsidRPr="00CD59B8">
        <w:rPr>
          <w:rFonts w:ascii="Times New Roman" w:hAnsi="Times New Roman" w:cs="Times New Roman"/>
          <w:sz w:val="24"/>
        </w:rPr>
        <w:t xml:space="preserve">levels. </w:t>
      </w:r>
      <w:r w:rsidR="00D14D96" w:rsidRPr="00CD59B8">
        <w:rPr>
          <w:rFonts w:ascii="Times New Roman" w:hAnsi="Times New Roman" w:cs="Times New Roman"/>
          <w:sz w:val="24"/>
        </w:rPr>
        <w:t>For the days</w:t>
      </w:r>
      <w:r w:rsidR="00D14D96">
        <w:rPr>
          <w:rFonts w:ascii="Times New Roman" w:hAnsi="Times New Roman" w:cs="Times New Roman"/>
          <w:sz w:val="24"/>
        </w:rPr>
        <w:t xml:space="preserve"> t0 to t+1 and t-1 to t+5, a significant, at a 10% statistical significance level, cross-border effect of, approximately, 2.6% and </w:t>
      </w:r>
      <w:r w:rsidR="00D14D96">
        <w:rPr>
          <w:rFonts w:ascii="Times New Roman" w:hAnsi="Times New Roman" w:cs="Times New Roman"/>
          <w:sz w:val="24"/>
        </w:rPr>
        <w:lastRenderedPageBreak/>
        <w:t>1.4%, respectively, is found for Western European target; however, once the target industry and acquirer region are controlled for, it decrease to an insignificant 2.27% and 1.28%, respectively. D</w:t>
      </w:r>
      <w:r w:rsidR="00010ADC">
        <w:rPr>
          <w:rFonts w:ascii="Times New Roman" w:hAnsi="Times New Roman" w:cs="Times New Roman"/>
          <w:sz w:val="24"/>
        </w:rPr>
        <w:t>ue to the lack of significance, the first hypothesis is rejected</w:t>
      </w:r>
      <w:r w:rsidRPr="000554E6">
        <w:rPr>
          <w:rFonts w:ascii="Times New Roman" w:hAnsi="Times New Roman" w:cs="Times New Roman"/>
          <w:sz w:val="24"/>
        </w:rPr>
        <w:t>.</w:t>
      </w:r>
      <w:r w:rsidR="00010ADC">
        <w:rPr>
          <w:rFonts w:ascii="Times New Roman" w:hAnsi="Times New Roman" w:cs="Times New Roman"/>
          <w:sz w:val="24"/>
        </w:rPr>
        <w:t xml:space="preserve"> There are no enough evidence to support that </w:t>
      </w:r>
      <w:r w:rsidR="00D14D96">
        <w:rPr>
          <w:rFonts w:ascii="Times New Roman" w:hAnsi="Times New Roman" w:cs="Times New Roman"/>
          <w:sz w:val="24"/>
        </w:rPr>
        <w:t xml:space="preserve">a cross-border premium for Western European target firms. </w:t>
      </w:r>
      <w:r w:rsidR="00CC6B17">
        <w:rPr>
          <w:rFonts w:ascii="Times New Roman" w:hAnsi="Times New Roman" w:cs="Times New Roman"/>
          <w:sz w:val="24"/>
        </w:rPr>
        <w:t xml:space="preserve">The cross-border effect is likely to be driven by other factors, and once these factors are controlled for, there is no evidence of a target firm cross-border effect. </w:t>
      </w:r>
      <w:r w:rsidR="00CC6B17" w:rsidRPr="000554E6">
        <w:rPr>
          <w:rFonts w:ascii="Times New Roman" w:hAnsi="Times New Roman" w:cs="Times New Roman"/>
          <w:sz w:val="24"/>
        </w:rPr>
        <w:t xml:space="preserve">  </w:t>
      </w:r>
    </w:p>
    <w:p w14:paraId="48934615" w14:textId="307C7A8B" w:rsidR="00CC6B17" w:rsidRDefault="00CC6B17" w:rsidP="00CC6B17">
      <w:pPr>
        <w:tabs>
          <w:tab w:val="left" w:pos="1052"/>
        </w:tabs>
        <w:spacing w:after="0" w:line="360" w:lineRule="auto"/>
        <w:ind w:firstLine="284"/>
        <w:jc w:val="both"/>
        <w:rPr>
          <w:rFonts w:ascii="Times New Roman" w:hAnsi="Times New Roman" w:cs="Times New Roman"/>
          <w:sz w:val="24"/>
        </w:rPr>
      </w:pPr>
      <w:r w:rsidRPr="00C03199">
        <w:rPr>
          <w:rFonts w:ascii="Times New Roman" w:hAnsi="Times New Roman" w:cs="Times New Roman"/>
          <w:sz w:val="24"/>
        </w:rPr>
        <w:t>The coefficient for ‘No prior EU operation’ is still found to be positive and highly significant, at 1% statistical significance level, for t0 to t+1 event window and only significant at 10% statistical significance level for t-1 to t+5 event window</w:t>
      </w:r>
      <w:r>
        <w:rPr>
          <w:rFonts w:ascii="Times New Roman" w:hAnsi="Times New Roman" w:cs="Times New Roman"/>
          <w:sz w:val="24"/>
        </w:rPr>
        <w:t>. A</w:t>
      </w:r>
      <w:r w:rsidRPr="00C03199">
        <w:rPr>
          <w:rFonts w:ascii="Times New Roman" w:hAnsi="Times New Roman" w:cs="Times New Roman"/>
          <w:sz w:val="24"/>
        </w:rPr>
        <w:t xml:space="preserve">fter controlling for target industry and acquirer region effects, the coefficient is significant, at </w:t>
      </w:r>
      <w:r>
        <w:rPr>
          <w:rFonts w:ascii="Times New Roman" w:hAnsi="Times New Roman" w:cs="Times New Roman"/>
          <w:sz w:val="24"/>
        </w:rPr>
        <w:t xml:space="preserve">a </w:t>
      </w:r>
      <w:r w:rsidRPr="00C03199">
        <w:rPr>
          <w:rFonts w:ascii="Times New Roman" w:hAnsi="Times New Roman" w:cs="Times New Roman"/>
          <w:sz w:val="24"/>
        </w:rPr>
        <w:t>5%</w:t>
      </w:r>
      <w:r>
        <w:rPr>
          <w:rFonts w:ascii="Times New Roman" w:hAnsi="Times New Roman" w:cs="Times New Roman"/>
          <w:sz w:val="24"/>
        </w:rPr>
        <w:t xml:space="preserve"> and 1%</w:t>
      </w:r>
      <w:r w:rsidRPr="00C03199">
        <w:rPr>
          <w:rFonts w:ascii="Times New Roman" w:hAnsi="Times New Roman" w:cs="Times New Roman"/>
          <w:sz w:val="24"/>
        </w:rPr>
        <w:t xml:space="preserve"> statistical significance level, for the first </w:t>
      </w:r>
      <w:r>
        <w:rPr>
          <w:rFonts w:ascii="Times New Roman" w:hAnsi="Times New Roman" w:cs="Times New Roman"/>
          <w:sz w:val="24"/>
        </w:rPr>
        <w:t>and second event windows, respectively.</w:t>
      </w:r>
      <w:r w:rsidRPr="00C03199">
        <w:rPr>
          <w:rFonts w:ascii="Times New Roman" w:hAnsi="Times New Roman" w:cs="Times New Roman"/>
          <w:sz w:val="24"/>
        </w:rPr>
        <w:t xml:space="preserve">  For the t0 to t+1</w:t>
      </w:r>
      <w:r>
        <w:rPr>
          <w:rFonts w:ascii="Times New Roman" w:hAnsi="Times New Roman" w:cs="Times New Roman"/>
          <w:sz w:val="24"/>
        </w:rPr>
        <w:t xml:space="preserve"> and t-1 to t+5</w:t>
      </w:r>
      <w:r w:rsidRPr="00C03199">
        <w:rPr>
          <w:rFonts w:ascii="Times New Roman" w:hAnsi="Times New Roman" w:cs="Times New Roman"/>
          <w:sz w:val="24"/>
        </w:rPr>
        <w:t xml:space="preserve"> event window</w:t>
      </w:r>
      <w:r>
        <w:rPr>
          <w:rFonts w:ascii="Times New Roman" w:hAnsi="Times New Roman" w:cs="Times New Roman"/>
          <w:sz w:val="24"/>
        </w:rPr>
        <w:t>s</w:t>
      </w:r>
      <w:r w:rsidRPr="00C03199">
        <w:rPr>
          <w:rFonts w:ascii="Times New Roman" w:hAnsi="Times New Roman" w:cs="Times New Roman"/>
          <w:sz w:val="24"/>
        </w:rPr>
        <w:t xml:space="preserve">, Western European target firms will earn, approximately, </w:t>
      </w:r>
      <w:r>
        <w:rPr>
          <w:rFonts w:ascii="Times New Roman" w:hAnsi="Times New Roman" w:cs="Times New Roman"/>
          <w:sz w:val="24"/>
        </w:rPr>
        <w:t xml:space="preserve">6% </w:t>
      </w:r>
      <w:r w:rsidRPr="00C03199">
        <w:rPr>
          <w:rFonts w:ascii="Times New Roman" w:hAnsi="Times New Roman" w:cs="Times New Roman"/>
          <w:sz w:val="24"/>
        </w:rPr>
        <w:t xml:space="preserve">higher cumulative abnormal returns if the </w:t>
      </w:r>
      <w:r w:rsidR="00CD59B8">
        <w:rPr>
          <w:rFonts w:ascii="Times New Roman" w:hAnsi="Times New Roman" w:cs="Times New Roman"/>
          <w:sz w:val="24"/>
        </w:rPr>
        <w:t>bidder</w:t>
      </w:r>
      <w:r w:rsidRPr="00C03199">
        <w:rPr>
          <w:rFonts w:ascii="Times New Roman" w:hAnsi="Times New Roman" w:cs="Times New Roman"/>
          <w:sz w:val="24"/>
        </w:rPr>
        <w:t xml:space="preserve"> had no previous European operations, indicating that </w:t>
      </w:r>
      <w:r w:rsidR="00CD59B8">
        <w:rPr>
          <w:rFonts w:ascii="Times New Roman" w:hAnsi="Times New Roman" w:cs="Times New Roman"/>
          <w:sz w:val="24"/>
        </w:rPr>
        <w:t>acquirers</w:t>
      </w:r>
      <w:r w:rsidRPr="00C03199">
        <w:rPr>
          <w:rFonts w:ascii="Times New Roman" w:hAnsi="Times New Roman" w:cs="Times New Roman"/>
          <w:sz w:val="24"/>
        </w:rPr>
        <w:t xml:space="preserve"> with no European operations paid higher prices for Western European target firms than did bidders with EU presence. Therefore, it can be implied that market access is a driving force for the cross-border effect.</w:t>
      </w:r>
    </w:p>
    <w:p w14:paraId="653C9AEB" w14:textId="008377FF" w:rsidR="00B85E24" w:rsidRDefault="00CC6B17" w:rsidP="00B076C6">
      <w:pPr>
        <w:spacing w:after="0" w:line="360" w:lineRule="auto"/>
        <w:jc w:val="both"/>
        <w:rPr>
          <w:rFonts w:ascii="Times New Roman" w:hAnsi="Times New Roman" w:cs="Times New Roman"/>
          <w:sz w:val="24"/>
        </w:rPr>
      </w:pPr>
      <w:r w:rsidRPr="00CC6B17">
        <w:rPr>
          <w:rFonts w:ascii="Times New Roman" w:hAnsi="Times New Roman" w:cs="Times New Roman"/>
          <w:sz w:val="24"/>
        </w:rPr>
        <w:t xml:space="preserve"> </w:t>
      </w:r>
      <w:r w:rsidRPr="00C03199">
        <w:rPr>
          <w:rFonts w:ascii="Times New Roman" w:hAnsi="Times New Roman" w:cs="Times New Roman"/>
          <w:sz w:val="24"/>
        </w:rPr>
        <w:t>In section 5.4.4 it was established that bid</w:t>
      </w:r>
      <w:r>
        <w:rPr>
          <w:rFonts w:ascii="Times New Roman" w:hAnsi="Times New Roman" w:cs="Times New Roman"/>
          <w:sz w:val="24"/>
        </w:rPr>
        <w:t>-specific</w:t>
      </w:r>
      <w:r w:rsidRPr="00C03199">
        <w:rPr>
          <w:rFonts w:ascii="Times New Roman" w:hAnsi="Times New Roman" w:cs="Times New Roman"/>
          <w:sz w:val="24"/>
        </w:rPr>
        <w:t xml:space="preserve"> and fi</w:t>
      </w:r>
      <w:r>
        <w:rPr>
          <w:rFonts w:ascii="Times New Roman" w:hAnsi="Times New Roman" w:cs="Times New Roman"/>
          <w:sz w:val="24"/>
        </w:rPr>
        <w:t>rm-</w:t>
      </w:r>
      <w:r w:rsidRPr="00C03199">
        <w:rPr>
          <w:rFonts w:ascii="Times New Roman" w:hAnsi="Times New Roman" w:cs="Times New Roman"/>
          <w:sz w:val="24"/>
        </w:rPr>
        <w:t>specific variables explain some of the variation</w:t>
      </w:r>
      <w:r>
        <w:rPr>
          <w:rFonts w:ascii="Times New Roman" w:hAnsi="Times New Roman" w:cs="Times New Roman"/>
          <w:sz w:val="24"/>
        </w:rPr>
        <w:t>s</w:t>
      </w:r>
      <w:r w:rsidRPr="00C03199">
        <w:rPr>
          <w:rFonts w:ascii="Times New Roman" w:hAnsi="Times New Roman" w:cs="Times New Roman"/>
          <w:sz w:val="24"/>
        </w:rPr>
        <w:t xml:space="preserve"> in target firms’ cumulative abnormal returns in cross-border </w:t>
      </w:r>
      <w:r w:rsidR="00CD59B8">
        <w:rPr>
          <w:rFonts w:ascii="Times New Roman" w:hAnsi="Times New Roman" w:cs="Times New Roman"/>
          <w:sz w:val="24"/>
        </w:rPr>
        <w:t>deals</w:t>
      </w:r>
      <w:r w:rsidRPr="00C03199">
        <w:rPr>
          <w:rFonts w:ascii="Times New Roman" w:hAnsi="Times New Roman" w:cs="Times New Roman"/>
          <w:sz w:val="24"/>
        </w:rPr>
        <w:t>.</w:t>
      </w:r>
      <w:r w:rsidRPr="00CC6B17">
        <w:rPr>
          <w:rFonts w:ascii="Times New Roman" w:hAnsi="Times New Roman" w:cs="Times New Roman"/>
          <w:sz w:val="24"/>
        </w:rPr>
        <w:t xml:space="preserve"> </w:t>
      </w:r>
      <w:r w:rsidRPr="00C03199">
        <w:rPr>
          <w:rFonts w:ascii="Times New Roman" w:hAnsi="Times New Roman" w:cs="Times New Roman"/>
          <w:sz w:val="24"/>
        </w:rPr>
        <w:t xml:space="preserve">The analysis is repeated for the whole sample, and it appears that payment method (in the shorter event window) still has an impact on the </w:t>
      </w:r>
      <w:r w:rsidR="00CD59B8">
        <w:rPr>
          <w:rFonts w:ascii="Times New Roman" w:hAnsi="Times New Roman" w:cs="Times New Roman"/>
          <w:sz w:val="24"/>
        </w:rPr>
        <w:t>percentage</w:t>
      </w:r>
      <w:r w:rsidRPr="00C03199">
        <w:rPr>
          <w:rFonts w:ascii="Times New Roman" w:hAnsi="Times New Roman" w:cs="Times New Roman"/>
          <w:sz w:val="24"/>
        </w:rPr>
        <w:t xml:space="preserve"> of cumulative abnormal returns</w:t>
      </w:r>
      <w:r w:rsidR="00CD59B8">
        <w:rPr>
          <w:rFonts w:ascii="Times New Roman" w:hAnsi="Times New Roman" w:cs="Times New Roman"/>
          <w:sz w:val="24"/>
        </w:rPr>
        <w:t xml:space="preserve"> to target firms</w:t>
      </w:r>
      <w:r>
        <w:rPr>
          <w:rFonts w:ascii="Times New Roman" w:hAnsi="Times New Roman" w:cs="Times New Roman"/>
          <w:sz w:val="24"/>
        </w:rPr>
        <w:t>,</w:t>
      </w:r>
      <w:r w:rsidRPr="00CC6B17">
        <w:rPr>
          <w:rFonts w:ascii="Times New Roman" w:hAnsi="Times New Roman" w:cs="Times New Roman"/>
          <w:sz w:val="24"/>
        </w:rPr>
        <w:t xml:space="preserve"> </w:t>
      </w:r>
      <w:r w:rsidRPr="00C03199">
        <w:rPr>
          <w:rFonts w:ascii="Times New Roman" w:hAnsi="Times New Roman" w:cs="Times New Roman"/>
          <w:sz w:val="24"/>
        </w:rPr>
        <w:t>which are significantly</w:t>
      </w:r>
      <w:r w:rsidRPr="00CC6B17">
        <w:rPr>
          <w:rFonts w:ascii="Times New Roman" w:hAnsi="Times New Roman" w:cs="Times New Roman"/>
          <w:sz w:val="24"/>
        </w:rPr>
        <w:t xml:space="preserve"> </w:t>
      </w:r>
      <w:r>
        <w:rPr>
          <w:rFonts w:ascii="Times New Roman" w:hAnsi="Times New Roman" w:cs="Times New Roman"/>
          <w:sz w:val="24"/>
        </w:rPr>
        <w:t>higher (</w:t>
      </w:r>
      <w:r w:rsidRPr="00C03199">
        <w:rPr>
          <w:rFonts w:ascii="Times New Roman" w:hAnsi="Times New Roman" w:cs="Times New Roman"/>
          <w:sz w:val="24"/>
        </w:rPr>
        <w:t>lower</w:t>
      </w:r>
      <w:r>
        <w:rPr>
          <w:rFonts w:ascii="Times New Roman" w:hAnsi="Times New Roman" w:cs="Times New Roman"/>
          <w:sz w:val="24"/>
        </w:rPr>
        <w:t>)</w:t>
      </w:r>
      <w:r w:rsidRPr="00C03199">
        <w:rPr>
          <w:rFonts w:ascii="Times New Roman" w:hAnsi="Times New Roman" w:cs="Times New Roman"/>
          <w:sz w:val="24"/>
        </w:rPr>
        <w:t xml:space="preserve"> in </w:t>
      </w:r>
      <w:r>
        <w:rPr>
          <w:rFonts w:ascii="Times New Roman" w:hAnsi="Times New Roman" w:cs="Times New Roman"/>
          <w:sz w:val="24"/>
        </w:rPr>
        <w:t>cash-only (</w:t>
      </w:r>
      <w:r w:rsidRPr="00C03199">
        <w:rPr>
          <w:rFonts w:ascii="Times New Roman" w:hAnsi="Times New Roman" w:cs="Times New Roman"/>
          <w:sz w:val="24"/>
        </w:rPr>
        <w:t>stock-only</w:t>
      </w:r>
      <w:r>
        <w:rPr>
          <w:rFonts w:ascii="Times New Roman" w:hAnsi="Times New Roman" w:cs="Times New Roman"/>
          <w:sz w:val="24"/>
        </w:rPr>
        <w:t>)</w:t>
      </w:r>
      <w:r w:rsidRPr="00C03199">
        <w:rPr>
          <w:rFonts w:ascii="Times New Roman" w:hAnsi="Times New Roman" w:cs="Times New Roman"/>
          <w:sz w:val="24"/>
        </w:rPr>
        <w:t xml:space="preserve"> offers, </w:t>
      </w:r>
      <w:r>
        <w:rPr>
          <w:rFonts w:ascii="Times New Roman" w:hAnsi="Times New Roman" w:cs="Times New Roman"/>
          <w:sz w:val="24"/>
        </w:rPr>
        <w:t>increasing (</w:t>
      </w:r>
      <w:r w:rsidRPr="00C03199">
        <w:rPr>
          <w:rFonts w:ascii="Times New Roman" w:hAnsi="Times New Roman" w:cs="Times New Roman"/>
          <w:sz w:val="24"/>
        </w:rPr>
        <w:t>decreasing</w:t>
      </w:r>
      <w:r>
        <w:rPr>
          <w:rFonts w:ascii="Times New Roman" w:hAnsi="Times New Roman" w:cs="Times New Roman"/>
          <w:sz w:val="24"/>
        </w:rPr>
        <w:t>) target firms’ CAR by, approximately, 6% (12</w:t>
      </w:r>
      <w:r w:rsidRPr="00C03199">
        <w:rPr>
          <w:rFonts w:ascii="Times New Roman" w:hAnsi="Times New Roman" w:cs="Times New Roman"/>
          <w:sz w:val="24"/>
        </w:rPr>
        <w:t>%</w:t>
      </w:r>
      <w:r>
        <w:rPr>
          <w:rFonts w:ascii="Times New Roman" w:hAnsi="Times New Roman" w:cs="Times New Roman"/>
          <w:sz w:val="24"/>
        </w:rPr>
        <w:t>)</w:t>
      </w:r>
      <w:r w:rsidRPr="00C03199">
        <w:rPr>
          <w:rFonts w:ascii="Times New Roman" w:hAnsi="Times New Roman" w:cs="Times New Roman"/>
          <w:sz w:val="24"/>
        </w:rPr>
        <w:t>.</w:t>
      </w:r>
      <w:r w:rsidRPr="00CC6B17">
        <w:rPr>
          <w:rFonts w:ascii="Times New Roman" w:hAnsi="Times New Roman" w:cs="Times New Roman"/>
          <w:sz w:val="24"/>
        </w:rPr>
        <w:t xml:space="preserve"> </w:t>
      </w:r>
      <w:r w:rsidRPr="00C03199">
        <w:rPr>
          <w:rFonts w:ascii="Times New Roman" w:hAnsi="Times New Roman" w:cs="Times New Roman"/>
          <w:sz w:val="24"/>
        </w:rPr>
        <w:t>As seen in table 1, the proportion of cash-only (stock-only)</w:t>
      </w:r>
      <w:r w:rsidRPr="00CC6B17">
        <w:rPr>
          <w:rFonts w:ascii="Times New Roman" w:hAnsi="Times New Roman" w:cs="Times New Roman"/>
          <w:sz w:val="24"/>
        </w:rPr>
        <w:t xml:space="preserve"> </w:t>
      </w:r>
      <w:r w:rsidRPr="00C03199">
        <w:rPr>
          <w:rFonts w:ascii="Times New Roman" w:hAnsi="Times New Roman" w:cs="Times New Roman"/>
          <w:sz w:val="24"/>
        </w:rPr>
        <w:t xml:space="preserve">offers is significantly higher (lower) in </w:t>
      </w:r>
      <w:r w:rsidR="00CD59B8">
        <w:rPr>
          <w:rFonts w:ascii="Times New Roman" w:hAnsi="Times New Roman" w:cs="Times New Roman"/>
          <w:sz w:val="24"/>
        </w:rPr>
        <w:t>cross-border</w:t>
      </w:r>
      <w:r w:rsidRPr="00C03199">
        <w:rPr>
          <w:rFonts w:ascii="Times New Roman" w:hAnsi="Times New Roman" w:cs="Times New Roman"/>
          <w:sz w:val="24"/>
        </w:rPr>
        <w:t xml:space="preserve"> than domestic deals. Therefore, if the market has a </w:t>
      </w:r>
      <w:r>
        <w:rPr>
          <w:rFonts w:ascii="Times New Roman" w:hAnsi="Times New Roman" w:cs="Times New Roman"/>
          <w:sz w:val="24"/>
        </w:rPr>
        <w:t>better</w:t>
      </w:r>
      <w:r w:rsidRPr="00C03199">
        <w:rPr>
          <w:rFonts w:ascii="Times New Roman" w:hAnsi="Times New Roman" w:cs="Times New Roman"/>
          <w:sz w:val="24"/>
        </w:rPr>
        <w:t xml:space="preserve"> reaction to </w:t>
      </w:r>
      <w:r>
        <w:rPr>
          <w:rFonts w:ascii="Times New Roman" w:hAnsi="Times New Roman" w:cs="Times New Roman"/>
          <w:sz w:val="24"/>
        </w:rPr>
        <w:t>cash</w:t>
      </w:r>
      <w:r w:rsidRPr="00C03199">
        <w:rPr>
          <w:rFonts w:ascii="Times New Roman" w:hAnsi="Times New Roman" w:cs="Times New Roman"/>
          <w:sz w:val="24"/>
        </w:rPr>
        <w:t xml:space="preserve">-only than </w:t>
      </w:r>
      <w:r>
        <w:rPr>
          <w:rFonts w:ascii="Times New Roman" w:hAnsi="Times New Roman" w:cs="Times New Roman"/>
          <w:sz w:val="24"/>
        </w:rPr>
        <w:t>equity</w:t>
      </w:r>
      <w:r w:rsidRPr="00C03199">
        <w:rPr>
          <w:rFonts w:ascii="Times New Roman" w:hAnsi="Times New Roman" w:cs="Times New Roman"/>
          <w:sz w:val="24"/>
        </w:rPr>
        <w:t xml:space="preserve">-only offers and the proportion of </w:t>
      </w:r>
      <w:r>
        <w:rPr>
          <w:rFonts w:ascii="Times New Roman" w:hAnsi="Times New Roman" w:cs="Times New Roman"/>
          <w:sz w:val="24"/>
        </w:rPr>
        <w:t>cash</w:t>
      </w:r>
      <w:r w:rsidRPr="00C03199">
        <w:rPr>
          <w:rFonts w:ascii="Times New Roman" w:hAnsi="Times New Roman" w:cs="Times New Roman"/>
          <w:sz w:val="24"/>
        </w:rPr>
        <w:t>-only (</w:t>
      </w:r>
      <w:r>
        <w:rPr>
          <w:rFonts w:ascii="Times New Roman" w:hAnsi="Times New Roman" w:cs="Times New Roman"/>
          <w:sz w:val="24"/>
        </w:rPr>
        <w:t>stock</w:t>
      </w:r>
      <w:r w:rsidRPr="00C03199">
        <w:rPr>
          <w:rFonts w:ascii="Times New Roman" w:hAnsi="Times New Roman" w:cs="Times New Roman"/>
          <w:sz w:val="24"/>
        </w:rPr>
        <w:t xml:space="preserve">-only) offers is significantly </w:t>
      </w:r>
      <w:r>
        <w:rPr>
          <w:rFonts w:ascii="Times New Roman" w:hAnsi="Times New Roman" w:cs="Times New Roman"/>
          <w:sz w:val="24"/>
        </w:rPr>
        <w:t>higher</w:t>
      </w:r>
      <w:r w:rsidRPr="00C03199">
        <w:rPr>
          <w:rFonts w:ascii="Times New Roman" w:hAnsi="Times New Roman" w:cs="Times New Roman"/>
          <w:sz w:val="24"/>
        </w:rPr>
        <w:t xml:space="preserve"> (</w:t>
      </w:r>
      <w:r>
        <w:rPr>
          <w:rFonts w:ascii="Times New Roman" w:hAnsi="Times New Roman" w:cs="Times New Roman"/>
          <w:sz w:val="24"/>
        </w:rPr>
        <w:t>lower</w:t>
      </w:r>
      <w:r w:rsidRPr="00C03199">
        <w:rPr>
          <w:rFonts w:ascii="Times New Roman" w:hAnsi="Times New Roman" w:cs="Times New Roman"/>
          <w:sz w:val="24"/>
        </w:rPr>
        <w:t xml:space="preserve">) in cross-border than domestic deals, then the payment method appears to be a driving force for the cross-border effect. </w:t>
      </w:r>
      <w:r w:rsidRPr="000F146C">
        <w:rPr>
          <w:rFonts w:ascii="Times New Roman" w:hAnsi="Times New Roman" w:cs="Times New Roman"/>
          <w:sz w:val="24"/>
        </w:rPr>
        <w:t xml:space="preserve">The percentage of stake acquired is also </w:t>
      </w:r>
      <w:r w:rsidR="00CD59B8">
        <w:rPr>
          <w:rFonts w:ascii="Times New Roman" w:hAnsi="Times New Roman" w:cs="Times New Roman"/>
          <w:sz w:val="24"/>
        </w:rPr>
        <w:t>observed</w:t>
      </w:r>
      <w:r w:rsidRPr="000F146C">
        <w:rPr>
          <w:rFonts w:ascii="Times New Roman" w:hAnsi="Times New Roman" w:cs="Times New Roman"/>
          <w:sz w:val="24"/>
        </w:rPr>
        <w:t xml:space="preserve"> to </w:t>
      </w:r>
      <w:r w:rsidR="00CD59B8">
        <w:rPr>
          <w:rFonts w:ascii="Times New Roman" w:hAnsi="Times New Roman" w:cs="Times New Roman"/>
          <w:sz w:val="24"/>
        </w:rPr>
        <w:t>influence</w:t>
      </w:r>
      <w:r w:rsidR="008C0428" w:rsidRPr="000F146C">
        <w:rPr>
          <w:rFonts w:ascii="Times New Roman" w:hAnsi="Times New Roman" w:cs="Times New Roman"/>
          <w:sz w:val="24"/>
        </w:rPr>
        <w:t xml:space="preserve"> the levels of target firms’ cumulative abnormal ret</w:t>
      </w:r>
      <w:r w:rsidR="008C0428">
        <w:rPr>
          <w:rFonts w:ascii="Times New Roman" w:hAnsi="Times New Roman" w:cs="Times New Roman"/>
          <w:sz w:val="24"/>
        </w:rPr>
        <w:t>urns.</w:t>
      </w:r>
      <w:r w:rsidR="00B85E24" w:rsidRPr="00B85E24">
        <w:rPr>
          <w:rFonts w:ascii="Times New Roman" w:hAnsi="Times New Roman" w:cs="Times New Roman"/>
          <w:sz w:val="24"/>
        </w:rPr>
        <w:t xml:space="preserve"> </w:t>
      </w:r>
      <w:r w:rsidR="00B85E24" w:rsidRPr="000F146C">
        <w:rPr>
          <w:rFonts w:ascii="Times New Roman" w:hAnsi="Times New Roman" w:cs="Times New Roman"/>
          <w:sz w:val="24"/>
        </w:rPr>
        <w:t>The coefficient for ‘stake %’</w:t>
      </w:r>
      <w:r w:rsidR="00B85E24">
        <w:rPr>
          <w:rFonts w:ascii="Times New Roman" w:hAnsi="Times New Roman" w:cs="Times New Roman"/>
          <w:sz w:val="24"/>
        </w:rPr>
        <w:t>( in both event windows)</w:t>
      </w:r>
      <w:r w:rsidR="00B85E24" w:rsidRPr="000F146C">
        <w:rPr>
          <w:rFonts w:ascii="Times New Roman" w:hAnsi="Times New Roman" w:cs="Times New Roman"/>
          <w:sz w:val="24"/>
        </w:rPr>
        <w:t xml:space="preserve"> is found to </w:t>
      </w:r>
      <w:r w:rsidR="00B85E24">
        <w:rPr>
          <w:rFonts w:ascii="Times New Roman" w:hAnsi="Times New Roman" w:cs="Times New Roman"/>
          <w:sz w:val="24"/>
        </w:rPr>
        <w:t xml:space="preserve">be negative </w:t>
      </w:r>
      <w:r w:rsidR="00B85E24" w:rsidRPr="000F146C">
        <w:rPr>
          <w:rFonts w:ascii="Times New Roman" w:hAnsi="Times New Roman" w:cs="Times New Roman"/>
          <w:sz w:val="24"/>
        </w:rPr>
        <w:t>and highly significant, at a 1% statistical significance level</w:t>
      </w:r>
      <w:r w:rsidR="00B85E24">
        <w:rPr>
          <w:rFonts w:ascii="Times New Roman" w:hAnsi="Times New Roman" w:cs="Times New Roman"/>
          <w:sz w:val="24"/>
        </w:rPr>
        <w:t>, and it</w:t>
      </w:r>
      <w:r w:rsidR="00B85E24" w:rsidRPr="006C24C0">
        <w:rPr>
          <w:rFonts w:ascii="Times New Roman" w:hAnsi="Times New Roman" w:cs="Times New Roman"/>
          <w:sz w:val="24"/>
        </w:rPr>
        <w:t xml:space="preserve"> shows that acquiring an extra 1% of the target firm will generate</w:t>
      </w:r>
      <w:r w:rsidR="00B85E24">
        <w:rPr>
          <w:rFonts w:ascii="Times New Roman" w:hAnsi="Times New Roman" w:cs="Times New Roman"/>
          <w:sz w:val="24"/>
        </w:rPr>
        <w:t>, approximately,</w:t>
      </w:r>
      <w:r w:rsidR="00B85E24" w:rsidRPr="006C24C0">
        <w:rPr>
          <w:rFonts w:ascii="Times New Roman" w:hAnsi="Times New Roman" w:cs="Times New Roman"/>
          <w:sz w:val="24"/>
        </w:rPr>
        <w:t xml:space="preserve"> 0.1% </w:t>
      </w:r>
      <w:r w:rsidR="00B85E24">
        <w:rPr>
          <w:rFonts w:ascii="Times New Roman" w:hAnsi="Times New Roman" w:cs="Times New Roman"/>
          <w:sz w:val="24"/>
        </w:rPr>
        <w:t>lower</w:t>
      </w:r>
      <w:r w:rsidR="00B85E24" w:rsidRPr="006C24C0">
        <w:rPr>
          <w:rFonts w:ascii="Times New Roman" w:hAnsi="Times New Roman" w:cs="Times New Roman"/>
          <w:sz w:val="24"/>
        </w:rPr>
        <w:t xml:space="preserve"> cumulative abnormal returns to </w:t>
      </w:r>
      <w:r w:rsidR="00B85E24">
        <w:rPr>
          <w:rFonts w:ascii="Times New Roman" w:hAnsi="Times New Roman" w:cs="Times New Roman"/>
          <w:sz w:val="24"/>
        </w:rPr>
        <w:t>the shareholders of target firms,</w:t>
      </w:r>
      <w:r w:rsidR="00B85E24" w:rsidRPr="006C24C0">
        <w:rPr>
          <w:rFonts w:ascii="Times New Roman" w:hAnsi="Times New Roman" w:cs="Times New Roman"/>
          <w:sz w:val="24"/>
        </w:rPr>
        <w:t xml:space="preserve"> around the announcement day.</w:t>
      </w:r>
      <w:r w:rsidR="00B85E24">
        <w:rPr>
          <w:rFonts w:ascii="Times New Roman" w:hAnsi="Times New Roman" w:cs="Times New Roman"/>
          <w:sz w:val="24"/>
        </w:rPr>
        <w:t xml:space="preserve"> In table 1, it is observed that the average stake acquired is </w:t>
      </w:r>
    </w:p>
    <w:p w14:paraId="590A935E" w14:textId="47536453" w:rsidR="001C1B62" w:rsidRPr="00C03199" w:rsidRDefault="001C1B62" w:rsidP="00B85E24">
      <w:pPr>
        <w:tabs>
          <w:tab w:val="center" w:pos="4680"/>
          <w:tab w:val="left" w:pos="5407"/>
        </w:tabs>
        <w:spacing w:after="120" w:line="276" w:lineRule="auto"/>
        <w:jc w:val="center"/>
        <w:rPr>
          <w:rFonts w:ascii="Times New Roman" w:hAnsi="Times New Roman" w:cs="Times New Roman"/>
        </w:rPr>
      </w:pPr>
      <w:r w:rsidRPr="00C03199">
        <w:rPr>
          <w:rFonts w:ascii="Times New Roman" w:hAnsi="Times New Roman" w:cs="Times New Roman"/>
        </w:rPr>
        <w:lastRenderedPageBreak/>
        <w:t>Table 4</w:t>
      </w:r>
    </w:p>
    <w:p w14:paraId="25A65AD8" w14:textId="77777777" w:rsidR="008031A4" w:rsidRPr="00C03199" w:rsidRDefault="008031A4" w:rsidP="008031A4">
      <w:pPr>
        <w:tabs>
          <w:tab w:val="left" w:pos="1052"/>
        </w:tabs>
        <w:spacing w:after="120" w:line="276" w:lineRule="auto"/>
        <w:jc w:val="center"/>
        <w:rPr>
          <w:rFonts w:ascii="Times New Roman" w:hAnsi="Times New Roman" w:cs="Times New Roman"/>
        </w:rPr>
      </w:pPr>
      <w:r>
        <w:rPr>
          <w:rFonts w:ascii="Times New Roman" w:hAnsi="Times New Roman" w:cs="Times New Roman"/>
        </w:rPr>
        <w:t>T</w:t>
      </w:r>
      <w:r w:rsidRPr="008031A4">
        <w:rPr>
          <w:rFonts w:ascii="Times New Roman" w:hAnsi="Times New Roman" w:cs="Times New Roman"/>
        </w:rPr>
        <w:t>arget firms’ cross-sectional analysis</w:t>
      </w:r>
    </w:p>
    <w:p w14:paraId="24A5A08A" w14:textId="3279755D" w:rsidR="001572ED" w:rsidRDefault="00CD59B8" w:rsidP="001C1B62">
      <w:pPr>
        <w:widowControl w:val="0"/>
        <w:autoSpaceDE w:val="0"/>
        <w:autoSpaceDN w:val="0"/>
        <w:adjustRightInd w:val="0"/>
        <w:spacing w:after="0" w:line="240" w:lineRule="auto"/>
        <w:jc w:val="both"/>
        <w:rPr>
          <w:rFonts w:ascii="Times New Roman" w:hAnsi="Times New Roman" w:cs="Times New Roman"/>
        </w:rPr>
      </w:pPr>
      <w:r w:rsidRPr="008031A4">
        <w:rPr>
          <w:rFonts w:ascii="Times New Roman" w:hAnsi="Times New Roman" w:cs="Times New Roman"/>
        </w:rPr>
        <w:t xml:space="preserve">This table presents the </w:t>
      </w:r>
      <w:r>
        <w:rPr>
          <w:rFonts w:ascii="Times New Roman" w:hAnsi="Times New Roman" w:cs="Times New Roman"/>
        </w:rPr>
        <w:t>results of the regressions</w:t>
      </w:r>
      <w:r w:rsidRPr="008031A4">
        <w:rPr>
          <w:rFonts w:ascii="Times New Roman" w:hAnsi="Times New Roman" w:cs="Times New Roman"/>
        </w:rPr>
        <w:t xml:space="preserve"> </w:t>
      </w:r>
      <w:r>
        <w:rPr>
          <w:rFonts w:ascii="Times New Roman" w:hAnsi="Times New Roman" w:cs="Times New Roman"/>
        </w:rPr>
        <w:t>for</w:t>
      </w:r>
      <w:r w:rsidRPr="008031A4">
        <w:rPr>
          <w:rFonts w:ascii="Times New Roman" w:hAnsi="Times New Roman" w:cs="Times New Roman"/>
        </w:rPr>
        <w:t xml:space="preserve"> </w:t>
      </w:r>
      <w:r>
        <w:rPr>
          <w:rFonts w:ascii="Times New Roman" w:hAnsi="Times New Roman" w:cs="Times New Roman"/>
        </w:rPr>
        <w:t xml:space="preserve">the </w:t>
      </w:r>
      <w:r w:rsidRPr="008031A4">
        <w:rPr>
          <w:rFonts w:ascii="Times New Roman" w:hAnsi="Times New Roman" w:cs="Times New Roman"/>
        </w:rPr>
        <w:t xml:space="preserve">cumulative abnormal returns to </w:t>
      </w:r>
      <w:r>
        <w:rPr>
          <w:rFonts w:ascii="Times New Roman" w:hAnsi="Times New Roman" w:cs="Times New Roman"/>
        </w:rPr>
        <w:t>the shareholders of target firms in domestic and cross-border deals</w:t>
      </w:r>
      <w:r w:rsidRPr="008031A4">
        <w:rPr>
          <w:rFonts w:ascii="Times New Roman" w:hAnsi="Times New Roman" w:cs="Times New Roman"/>
        </w:rPr>
        <w:t xml:space="preserve"> in ten distinct European countries</w:t>
      </w:r>
      <w:r w:rsidRPr="00C03199">
        <w:rPr>
          <w:rFonts w:ascii="Times New Roman" w:hAnsi="Times New Roman" w:cs="Times New Roman"/>
        </w:rPr>
        <w:t xml:space="preserve">. </w:t>
      </w:r>
      <w:r w:rsidR="001572ED" w:rsidRPr="001572ED">
        <w:rPr>
          <w:rFonts w:ascii="Times New Roman" w:hAnsi="Times New Roman" w:cs="Times New Roman"/>
        </w:rPr>
        <w:t xml:space="preserve">OLS regressions, adjusted for heteroskedasticity, are used to generate the following output. All details on the definition, type, calculation, and source of the variables are explained in section “A” in the appendix. </w:t>
      </w:r>
      <w:r>
        <w:rPr>
          <w:rFonts w:ascii="Times New Roman" w:hAnsi="Times New Roman" w:cs="Times New Roman"/>
        </w:rPr>
        <w:t>All details of the variables’</w:t>
      </w:r>
      <w:r w:rsidRPr="008031A4">
        <w:rPr>
          <w:rFonts w:ascii="Times New Roman" w:hAnsi="Times New Roman" w:cs="Times New Roman"/>
        </w:rPr>
        <w:t xml:space="preserve"> definition, type, calculation, and source are desc</w:t>
      </w:r>
      <w:r>
        <w:rPr>
          <w:rFonts w:ascii="Times New Roman" w:hAnsi="Times New Roman" w:cs="Times New Roman"/>
        </w:rPr>
        <w:t>ribed in the appendix, section “A”</w:t>
      </w:r>
      <w:r w:rsidRPr="008031A4">
        <w:rPr>
          <w:rFonts w:ascii="Times New Roman" w:hAnsi="Times New Roman" w:cs="Times New Roman"/>
        </w:rPr>
        <w:t xml:space="preserve">. </w:t>
      </w:r>
      <w:r w:rsidR="001572ED" w:rsidRPr="001572ED">
        <w:rPr>
          <w:rFonts w:ascii="Times New Roman" w:hAnsi="Times New Roman" w:cs="Times New Roman"/>
        </w:rPr>
        <w:t>Cross is a dummy variable that takes a value of 1in cross-border acquisitions and 0 otherwise. The coefficient for ‘Cross’ is positive and significant, at a 1</w:t>
      </w:r>
      <w:r w:rsidR="003F0879">
        <w:rPr>
          <w:rFonts w:ascii="Times New Roman" w:hAnsi="Times New Roman" w:cs="Times New Roman"/>
        </w:rPr>
        <w:t>0</w:t>
      </w:r>
      <w:r w:rsidR="001572ED" w:rsidRPr="001572ED">
        <w:rPr>
          <w:rFonts w:ascii="Times New Roman" w:hAnsi="Times New Roman" w:cs="Times New Roman"/>
        </w:rPr>
        <w:t>% statistical significance level; however, after</w:t>
      </w:r>
      <w:r w:rsidR="001572ED">
        <w:rPr>
          <w:rFonts w:ascii="Times New Roman" w:hAnsi="Times New Roman" w:cs="Times New Roman"/>
        </w:rPr>
        <w:t xml:space="preserve"> </w:t>
      </w:r>
      <w:r w:rsidR="001572ED" w:rsidRPr="001572ED">
        <w:rPr>
          <w:rFonts w:ascii="Times New Roman" w:hAnsi="Times New Roman" w:cs="Times New Roman"/>
        </w:rPr>
        <w:t xml:space="preserve">controlling for the target industry effect, it is no longer significant. </w:t>
      </w:r>
      <w:r w:rsidR="00AE17DF">
        <w:rPr>
          <w:rFonts w:ascii="Times New Roman" w:hAnsi="Times New Roman" w:cs="Times New Roman"/>
        </w:rPr>
        <w:t xml:space="preserve">The coefficient for ‘Stake %’ (in both event windows) is negative and significant, at a 1% statistical significance level. </w:t>
      </w:r>
      <w:r>
        <w:rPr>
          <w:rFonts w:ascii="Times New Roman" w:hAnsi="Times New Roman" w:cs="Times New Roman"/>
        </w:rPr>
        <w:t>From days</w:t>
      </w:r>
      <w:r w:rsidR="001572ED" w:rsidRPr="001572ED">
        <w:rPr>
          <w:rFonts w:ascii="Times New Roman" w:hAnsi="Times New Roman" w:cs="Times New Roman"/>
        </w:rPr>
        <w:t xml:space="preserve"> t-1 to t+5, the coefficient for ‘Cro</w:t>
      </w:r>
      <w:r w:rsidR="00750D50">
        <w:rPr>
          <w:rFonts w:ascii="Times New Roman" w:hAnsi="Times New Roman" w:cs="Times New Roman"/>
        </w:rPr>
        <w:t xml:space="preserve">ss’ decrease from 5.6% to 2.6% and </w:t>
      </w:r>
      <w:r w:rsidR="001572ED" w:rsidRPr="001572ED">
        <w:rPr>
          <w:rFonts w:ascii="Times New Roman" w:hAnsi="Times New Roman" w:cs="Times New Roman"/>
        </w:rPr>
        <w:t xml:space="preserve">the coefficient for ‘No prior EU operations’ decreased in significance and magnitude from 6%, at </w:t>
      </w:r>
      <w:r w:rsidR="001572ED">
        <w:rPr>
          <w:rFonts w:ascii="Times New Roman" w:hAnsi="Times New Roman" w:cs="Times New Roman"/>
        </w:rPr>
        <w:t xml:space="preserve">a </w:t>
      </w:r>
      <w:r w:rsidR="001572ED" w:rsidRPr="001572ED">
        <w:rPr>
          <w:rFonts w:ascii="Times New Roman" w:hAnsi="Times New Roman" w:cs="Times New Roman"/>
        </w:rPr>
        <w:t xml:space="preserve">1% statistical significance level, to 2.6%, at </w:t>
      </w:r>
      <w:r w:rsidR="001572ED">
        <w:rPr>
          <w:rFonts w:ascii="Times New Roman" w:hAnsi="Times New Roman" w:cs="Times New Roman"/>
        </w:rPr>
        <w:t xml:space="preserve">a </w:t>
      </w:r>
      <w:r w:rsidR="00010ADC">
        <w:rPr>
          <w:rFonts w:ascii="Times New Roman" w:hAnsi="Times New Roman" w:cs="Times New Roman"/>
        </w:rPr>
        <w:t>10</w:t>
      </w:r>
      <w:r w:rsidR="001572ED" w:rsidRPr="001572ED">
        <w:rPr>
          <w:rFonts w:ascii="Times New Roman" w:hAnsi="Times New Roman" w:cs="Times New Roman"/>
        </w:rPr>
        <w:t>% stati</w:t>
      </w:r>
      <w:r w:rsidR="00750D50">
        <w:rPr>
          <w:rFonts w:ascii="Times New Roman" w:hAnsi="Times New Roman" w:cs="Times New Roman"/>
        </w:rPr>
        <w:t>stical significance level</w:t>
      </w:r>
      <w:r w:rsidR="001572ED" w:rsidRPr="001572ED">
        <w:rPr>
          <w:rFonts w:ascii="Times New Roman" w:hAnsi="Times New Roman" w:cs="Times New Roman"/>
        </w:rPr>
        <w:t>.</w:t>
      </w:r>
      <w:r w:rsidR="00010ADC">
        <w:rPr>
          <w:rFonts w:ascii="Times New Roman" w:hAnsi="Times New Roman" w:cs="Times New Roman"/>
        </w:rPr>
        <w:t xml:space="preserve"> After controlling for target industry effect in the second event window, the coefficient for ‘No prior EU operations’ is found to be positive and highly significant at, a 1% statistical significance level, with a magnitude of 6.56%. </w:t>
      </w:r>
      <w:r w:rsidR="001572ED" w:rsidRPr="001572ED">
        <w:rPr>
          <w:rFonts w:ascii="Times New Roman" w:hAnsi="Times New Roman" w:cs="Times New Roman"/>
        </w:rPr>
        <w:t xml:space="preserve">Although the </w:t>
      </w:r>
      <w:r>
        <w:rPr>
          <w:rFonts w:ascii="Times New Roman" w:hAnsi="Times New Roman" w:cs="Times New Roman"/>
        </w:rPr>
        <w:t>regressions’ overall explanatory powers are low</w:t>
      </w:r>
      <w:r w:rsidR="001572ED" w:rsidRPr="001572ED">
        <w:rPr>
          <w:rFonts w:ascii="Times New Roman" w:hAnsi="Times New Roman" w:cs="Times New Roman"/>
        </w:rPr>
        <w:t xml:space="preserve">, the regressions are highly significant at a 1% statistical significance level. </w:t>
      </w:r>
    </w:p>
    <w:p w14:paraId="7DABABD4" w14:textId="010C90D3" w:rsidR="001C1B62" w:rsidRPr="00C03199" w:rsidRDefault="001C1B62" w:rsidP="001C1B62">
      <w:pPr>
        <w:widowControl w:val="0"/>
        <w:autoSpaceDE w:val="0"/>
        <w:autoSpaceDN w:val="0"/>
        <w:adjustRightInd w:val="0"/>
        <w:spacing w:after="0" w:line="240" w:lineRule="auto"/>
        <w:jc w:val="both"/>
        <w:rPr>
          <w:rFonts w:ascii="Times New Roman" w:eastAsiaTheme="minorEastAsia" w:hAnsi="Times New Roman" w:cs="Times New Roman"/>
        </w:rPr>
      </w:pPr>
      <w:r w:rsidRPr="00C03199">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4458E359" wp14:editId="2116975D">
                <wp:simplePos x="0" y="0"/>
                <wp:positionH relativeFrom="margin">
                  <wp:posOffset>23854</wp:posOffset>
                </wp:positionH>
                <wp:positionV relativeFrom="paragraph">
                  <wp:posOffset>123135</wp:posOffset>
                </wp:positionV>
                <wp:extent cx="5876014"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5876014"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0D391"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9.7pt" to="464.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rJugEAAL4DAAAOAAAAZHJzL2Uyb0RvYy54bWysU8GO0zAQvSPxD5bvNGmBZRU13UNXcEFQ&#10;sfABXmfcWNgea2za9O8Zu20WAdoD4uLY43lv5j1P1neTd+IAlCyGXi4XrRQQNA427Hv57ev7V7dS&#10;pKzCoBwG6OUJkrzbvHyxPsYOVjiiG4AEk4TUHWMvx5xj1zRJj+BVWmCEwJcGyavMR9o3A6kjs3vX&#10;rNr2pjkiDZFQQ0ocvT9fyk3lNwZ0/mxMgixcL7m3XFeq62NZm81adXtScbT60ob6hy68soGLzlT3&#10;Kivxg+wfVN5qwoQmLzT6Bo2xGqoGVrNsf1PzMKoIVQubk+JsU/p/tPrTYUfCDvx2UgTl+YkeMim7&#10;H7PYYghsIJJYFp+OMXWcvg07upxS3FERPRny5ctyxFS9Pc3ewpSF5uDb23c37fKNFPp61zwBI6X8&#10;AdCLsumls6HIVp06fEyZi3HqNaWEXSix0s+5g7rLJwfnyy9gWBHXfF1J6izB1pE4KJ6C4XtVw5Qu&#10;cGaBGOvcDGqfB11yCwzqfM3A1fPAObtWxJBnoLcB6W/gPF1bNef8q+qz1iL7EYdTfY9qBw9JNesy&#10;0GUKfz1X+NNvt/kJAAD//wMAUEsDBBQABgAIAAAAIQDqtusc2wAAAAcBAAAPAAAAZHJzL2Rvd25y&#10;ZXYueG1sTI5PT4NAEMXvJn6HzZh4MXYRiwqyNMbEAyY1sTWepzAFlJ0l7Jbit3eMBz2+P3nvl69m&#10;26uJRt85NnC1iEARV67uuDHwtn26vAPlA3KNvWMy8EUeVsXpSY5Z7Y78StMmNEpG2GdooA1hyLT2&#10;VUsW/cINxJLt3WgxiBwbXY94lHHb6ziKbrTFjuWhxYEeW6o+Nwdr4KN8L5vk4rbbvyyTZ9xOyZqn&#10;0pjzs/nhHlSgOfyV4Qdf0KEQpp07cO1Vb+BawIPY6RKUxGmcxqB2v4Yucv2fv/gGAAD//wMAUEsB&#10;Ai0AFAAGAAgAAAAhALaDOJL+AAAA4QEAABMAAAAAAAAAAAAAAAAAAAAAAFtDb250ZW50X1R5cGVz&#10;XS54bWxQSwECLQAUAAYACAAAACEAOP0h/9YAAACUAQAACwAAAAAAAAAAAAAAAAAvAQAAX3JlbHMv&#10;LnJlbHNQSwECLQAUAAYACAAAACEAlGSqyboBAAC+AwAADgAAAAAAAAAAAAAAAAAuAgAAZHJzL2Uy&#10;b0RvYy54bWxQSwECLQAUAAYACAAAACEA6rbrHNsAAAAHAQAADwAAAAAAAAAAAAAAAAAUBAAAZHJz&#10;L2Rvd25yZXYueG1sUEsFBgAAAAAEAAQA8wAAABwFAAAAAA==&#10;" strokecolor="black [3200]" strokeweight="1.5pt">
                <v:stroke joinstyle="miter"/>
                <w10:wrap anchorx="margin"/>
              </v:line>
            </w:pict>
          </mc:Fallback>
        </mc:AlternateContent>
      </w:r>
    </w:p>
    <w:tbl>
      <w:tblPr>
        <w:tblW w:w="9333" w:type="dxa"/>
        <w:jc w:val="center"/>
        <w:tblLayout w:type="fixed"/>
        <w:tblCellMar>
          <w:left w:w="75" w:type="dxa"/>
          <w:right w:w="75" w:type="dxa"/>
        </w:tblCellMar>
        <w:tblLook w:val="0000" w:firstRow="0" w:lastRow="0" w:firstColumn="0" w:lastColumn="0" w:noHBand="0" w:noVBand="0"/>
      </w:tblPr>
      <w:tblGrid>
        <w:gridCol w:w="1893"/>
        <w:gridCol w:w="1186"/>
        <w:gridCol w:w="1186"/>
        <w:gridCol w:w="1186"/>
        <w:gridCol w:w="1294"/>
        <w:gridCol w:w="1294"/>
        <w:gridCol w:w="1294"/>
      </w:tblGrid>
      <w:tr w:rsidR="001C1B62" w:rsidRPr="00C03199" w14:paraId="438CF3AF" w14:textId="77777777" w:rsidTr="009007EC">
        <w:trPr>
          <w:trHeight w:val="280"/>
          <w:jc w:val="center"/>
        </w:trPr>
        <w:tc>
          <w:tcPr>
            <w:tcW w:w="1893" w:type="dxa"/>
            <w:tcBorders>
              <w:top w:val="nil"/>
              <w:left w:val="nil"/>
              <w:bottom w:val="nil"/>
              <w:right w:val="nil"/>
            </w:tcBorders>
          </w:tcPr>
          <w:p w14:paraId="3DEBD41C"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Event window</w:t>
            </w:r>
          </w:p>
        </w:tc>
        <w:tc>
          <w:tcPr>
            <w:tcW w:w="1186" w:type="dxa"/>
            <w:tcBorders>
              <w:top w:val="nil"/>
              <w:left w:val="nil"/>
              <w:bottom w:val="nil"/>
              <w:right w:val="nil"/>
            </w:tcBorders>
          </w:tcPr>
          <w:p w14:paraId="1B3505D3"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CAR 0, +1</w:t>
            </w:r>
          </w:p>
        </w:tc>
        <w:tc>
          <w:tcPr>
            <w:tcW w:w="1186" w:type="dxa"/>
            <w:tcBorders>
              <w:top w:val="nil"/>
              <w:left w:val="nil"/>
              <w:bottom w:val="nil"/>
              <w:right w:val="nil"/>
            </w:tcBorders>
          </w:tcPr>
          <w:p w14:paraId="5C2D2659"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CAR 0, +1</w:t>
            </w:r>
          </w:p>
        </w:tc>
        <w:tc>
          <w:tcPr>
            <w:tcW w:w="1186" w:type="dxa"/>
            <w:tcBorders>
              <w:top w:val="nil"/>
              <w:left w:val="nil"/>
              <w:bottom w:val="nil"/>
              <w:right w:val="nil"/>
            </w:tcBorders>
          </w:tcPr>
          <w:p w14:paraId="4B251519"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CAR 0, +1</w:t>
            </w:r>
          </w:p>
        </w:tc>
        <w:tc>
          <w:tcPr>
            <w:tcW w:w="1294" w:type="dxa"/>
            <w:tcBorders>
              <w:top w:val="nil"/>
              <w:left w:val="nil"/>
              <w:bottom w:val="nil"/>
              <w:right w:val="nil"/>
            </w:tcBorders>
          </w:tcPr>
          <w:p w14:paraId="68A74815"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CAR -1, +5</w:t>
            </w:r>
          </w:p>
        </w:tc>
        <w:tc>
          <w:tcPr>
            <w:tcW w:w="1294" w:type="dxa"/>
            <w:tcBorders>
              <w:top w:val="nil"/>
              <w:left w:val="nil"/>
              <w:bottom w:val="nil"/>
              <w:right w:val="nil"/>
            </w:tcBorders>
          </w:tcPr>
          <w:p w14:paraId="74852BF6"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CAR -1,+5</w:t>
            </w:r>
          </w:p>
        </w:tc>
        <w:tc>
          <w:tcPr>
            <w:tcW w:w="1294" w:type="dxa"/>
            <w:tcBorders>
              <w:top w:val="nil"/>
              <w:left w:val="nil"/>
              <w:bottom w:val="nil"/>
              <w:right w:val="nil"/>
            </w:tcBorders>
          </w:tcPr>
          <w:p w14:paraId="33F47082"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CAR -1,+5</w:t>
            </w:r>
          </w:p>
        </w:tc>
      </w:tr>
      <w:tr w:rsidR="001C1B62" w:rsidRPr="00C03199" w14:paraId="23BA0B06" w14:textId="77777777" w:rsidTr="009007EC">
        <w:trPr>
          <w:trHeight w:val="264"/>
          <w:jc w:val="center"/>
        </w:trPr>
        <w:tc>
          <w:tcPr>
            <w:tcW w:w="1893" w:type="dxa"/>
            <w:tcBorders>
              <w:top w:val="nil"/>
              <w:left w:val="nil"/>
              <w:bottom w:val="single" w:sz="6" w:space="0" w:color="auto"/>
              <w:right w:val="nil"/>
            </w:tcBorders>
          </w:tcPr>
          <w:p w14:paraId="116D4CDB"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p>
        </w:tc>
        <w:tc>
          <w:tcPr>
            <w:tcW w:w="1186" w:type="dxa"/>
            <w:tcBorders>
              <w:top w:val="nil"/>
              <w:left w:val="nil"/>
              <w:bottom w:val="single" w:sz="6" w:space="0" w:color="auto"/>
              <w:right w:val="nil"/>
            </w:tcBorders>
          </w:tcPr>
          <w:p w14:paraId="292A1D97"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w:t>
            </w:r>
          </w:p>
        </w:tc>
        <w:tc>
          <w:tcPr>
            <w:tcW w:w="1186" w:type="dxa"/>
            <w:tcBorders>
              <w:top w:val="nil"/>
              <w:left w:val="nil"/>
              <w:bottom w:val="single" w:sz="6" w:space="0" w:color="auto"/>
              <w:right w:val="nil"/>
            </w:tcBorders>
          </w:tcPr>
          <w:p w14:paraId="4FBDEDE4"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(2)</w:t>
            </w:r>
          </w:p>
        </w:tc>
        <w:tc>
          <w:tcPr>
            <w:tcW w:w="1186" w:type="dxa"/>
            <w:tcBorders>
              <w:top w:val="nil"/>
              <w:left w:val="nil"/>
              <w:bottom w:val="single" w:sz="6" w:space="0" w:color="auto"/>
              <w:right w:val="nil"/>
            </w:tcBorders>
          </w:tcPr>
          <w:p w14:paraId="445C1AF8"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w:t>
            </w:r>
          </w:p>
        </w:tc>
        <w:tc>
          <w:tcPr>
            <w:tcW w:w="1294" w:type="dxa"/>
            <w:tcBorders>
              <w:top w:val="nil"/>
              <w:left w:val="nil"/>
              <w:bottom w:val="single" w:sz="6" w:space="0" w:color="auto"/>
              <w:right w:val="nil"/>
            </w:tcBorders>
          </w:tcPr>
          <w:p w14:paraId="1C837F73"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w:t>
            </w:r>
          </w:p>
        </w:tc>
        <w:tc>
          <w:tcPr>
            <w:tcW w:w="1294" w:type="dxa"/>
            <w:tcBorders>
              <w:top w:val="nil"/>
              <w:left w:val="nil"/>
              <w:bottom w:val="single" w:sz="6" w:space="0" w:color="auto"/>
              <w:right w:val="nil"/>
            </w:tcBorders>
          </w:tcPr>
          <w:p w14:paraId="7BBD3311"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(2)</w:t>
            </w:r>
          </w:p>
        </w:tc>
        <w:tc>
          <w:tcPr>
            <w:tcW w:w="1294" w:type="dxa"/>
            <w:tcBorders>
              <w:top w:val="nil"/>
              <w:left w:val="nil"/>
              <w:bottom w:val="single" w:sz="6" w:space="0" w:color="auto"/>
              <w:right w:val="nil"/>
            </w:tcBorders>
          </w:tcPr>
          <w:p w14:paraId="245D20A4"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w:t>
            </w:r>
          </w:p>
        </w:tc>
      </w:tr>
      <w:tr w:rsidR="001C1B62" w:rsidRPr="00C03199" w14:paraId="74F5C32F" w14:textId="77777777" w:rsidTr="009007EC">
        <w:trPr>
          <w:trHeight w:val="264"/>
          <w:jc w:val="center"/>
        </w:trPr>
        <w:tc>
          <w:tcPr>
            <w:tcW w:w="1893" w:type="dxa"/>
            <w:tcBorders>
              <w:top w:val="nil"/>
              <w:left w:val="nil"/>
              <w:bottom w:val="nil"/>
              <w:right w:val="nil"/>
            </w:tcBorders>
          </w:tcPr>
          <w:p w14:paraId="334597AF"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No prior EU Operation</w:t>
            </w:r>
          </w:p>
        </w:tc>
        <w:tc>
          <w:tcPr>
            <w:tcW w:w="1186" w:type="dxa"/>
            <w:tcBorders>
              <w:top w:val="nil"/>
              <w:left w:val="nil"/>
              <w:bottom w:val="nil"/>
              <w:right w:val="nil"/>
            </w:tcBorders>
          </w:tcPr>
          <w:p w14:paraId="0FD8D863"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0.0604***</w:t>
            </w:r>
          </w:p>
        </w:tc>
        <w:tc>
          <w:tcPr>
            <w:tcW w:w="1186" w:type="dxa"/>
            <w:tcBorders>
              <w:top w:val="nil"/>
              <w:left w:val="nil"/>
              <w:bottom w:val="nil"/>
              <w:right w:val="nil"/>
            </w:tcBorders>
          </w:tcPr>
          <w:p w14:paraId="0CF21034" w14:textId="1219A488"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0.0661</w:t>
            </w:r>
            <w:r w:rsidR="0048254B" w:rsidRPr="00C03199">
              <w:rPr>
                <w:rFonts w:ascii="Times New Roman" w:hAnsi="Times New Roman" w:cs="Times New Roman"/>
                <w:sz w:val="18"/>
                <w:szCs w:val="18"/>
              </w:rPr>
              <w:t>**</w:t>
            </w:r>
          </w:p>
        </w:tc>
        <w:tc>
          <w:tcPr>
            <w:tcW w:w="1186" w:type="dxa"/>
            <w:tcBorders>
              <w:top w:val="nil"/>
              <w:left w:val="nil"/>
              <w:bottom w:val="nil"/>
              <w:right w:val="nil"/>
            </w:tcBorders>
          </w:tcPr>
          <w:p w14:paraId="3D64643F" w14:textId="267D74D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0.0641</w:t>
            </w:r>
            <w:r w:rsidR="00E814C7" w:rsidRPr="00C03199">
              <w:rPr>
                <w:rFonts w:ascii="Times New Roman" w:hAnsi="Times New Roman" w:cs="Times New Roman"/>
                <w:sz w:val="18"/>
                <w:szCs w:val="18"/>
              </w:rPr>
              <w:t>**</w:t>
            </w:r>
          </w:p>
        </w:tc>
        <w:tc>
          <w:tcPr>
            <w:tcW w:w="1294" w:type="dxa"/>
            <w:tcBorders>
              <w:top w:val="nil"/>
              <w:left w:val="nil"/>
              <w:bottom w:val="nil"/>
              <w:right w:val="nil"/>
            </w:tcBorders>
          </w:tcPr>
          <w:p w14:paraId="4F66980E"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0.0257*</w:t>
            </w:r>
          </w:p>
        </w:tc>
        <w:tc>
          <w:tcPr>
            <w:tcW w:w="1294" w:type="dxa"/>
            <w:tcBorders>
              <w:top w:val="nil"/>
              <w:left w:val="nil"/>
              <w:bottom w:val="nil"/>
              <w:right w:val="nil"/>
            </w:tcBorders>
          </w:tcPr>
          <w:p w14:paraId="2DE442C1" w14:textId="59BA914B"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0.0669</w:t>
            </w:r>
            <w:r w:rsidR="003F0879">
              <w:rPr>
                <w:rFonts w:ascii="Times New Roman" w:hAnsi="Times New Roman" w:cs="Times New Roman"/>
                <w:sz w:val="18"/>
                <w:szCs w:val="18"/>
              </w:rPr>
              <w:t>***</w:t>
            </w:r>
          </w:p>
        </w:tc>
        <w:tc>
          <w:tcPr>
            <w:tcW w:w="1294" w:type="dxa"/>
            <w:tcBorders>
              <w:top w:val="nil"/>
              <w:left w:val="nil"/>
              <w:bottom w:val="nil"/>
              <w:right w:val="nil"/>
            </w:tcBorders>
          </w:tcPr>
          <w:p w14:paraId="28E1AEA5" w14:textId="6564D565"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0.0656</w:t>
            </w:r>
            <w:r w:rsidR="003F0879">
              <w:rPr>
                <w:rFonts w:ascii="Times New Roman" w:hAnsi="Times New Roman" w:cs="Times New Roman"/>
                <w:sz w:val="18"/>
                <w:szCs w:val="18"/>
              </w:rPr>
              <w:t>***</w:t>
            </w:r>
          </w:p>
        </w:tc>
      </w:tr>
      <w:tr w:rsidR="003F0879" w:rsidRPr="00C03199" w14:paraId="53A1ED4E" w14:textId="77777777" w:rsidTr="009007EC">
        <w:trPr>
          <w:trHeight w:val="264"/>
          <w:jc w:val="center"/>
        </w:trPr>
        <w:tc>
          <w:tcPr>
            <w:tcW w:w="1893" w:type="dxa"/>
            <w:tcBorders>
              <w:top w:val="nil"/>
              <w:left w:val="nil"/>
              <w:bottom w:val="nil"/>
              <w:right w:val="nil"/>
            </w:tcBorders>
          </w:tcPr>
          <w:p w14:paraId="134DDAB6"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Cross </w:t>
            </w:r>
          </w:p>
        </w:tc>
        <w:tc>
          <w:tcPr>
            <w:tcW w:w="1186" w:type="dxa"/>
            <w:tcBorders>
              <w:top w:val="nil"/>
              <w:left w:val="nil"/>
              <w:bottom w:val="nil"/>
              <w:right w:val="nil"/>
            </w:tcBorders>
          </w:tcPr>
          <w:p w14:paraId="2CCC3CAE" w14:textId="48B9C893"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0.0259*</w:t>
            </w:r>
          </w:p>
        </w:tc>
        <w:tc>
          <w:tcPr>
            <w:tcW w:w="1186" w:type="dxa"/>
            <w:tcBorders>
              <w:top w:val="nil"/>
              <w:left w:val="nil"/>
              <w:bottom w:val="nil"/>
              <w:right w:val="nil"/>
            </w:tcBorders>
          </w:tcPr>
          <w:p w14:paraId="32409A68" w14:textId="215162CE"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0.0267*</w:t>
            </w:r>
          </w:p>
        </w:tc>
        <w:tc>
          <w:tcPr>
            <w:tcW w:w="1186" w:type="dxa"/>
            <w:tcBorders>
              <w:top w:val="nil"/>
              <w:left w:val="nil"/>
              <w:bottom w:val="nil"/>
              <w:right w:val="nil"/>
            </w:tcBorders>
          </w:tcPr>
          <w:p w14:paraId="73704E49" w14:textId="521FF976"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0.0227</w:t>
            </w:r>
          </w:p>
        </w:tc>
        <w:tc>
          <w:tcPr>
            <w:tcW w:w="1294" w:type="dxa"/>
            <w:tcBorders>
              <w:top w:val="nil"/>
              <w:left w:val="nil"/>
              <w:bottom w:val="nil"/>
              <w:right w:val="nil"/>
            </w:tcBorders>
          </w:tcPr>
          <w:p w14:paraId="367843CD" w14:textId="5AB7F66A"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0.0137</w:t>
            </w:r>
          </w:p>
        </w:tc>
        <w:tc>
          <w:tcPr>
            <w:tcW w:w="1294" w:type="dxa"/>
            <w:tcBorders>
              <w:top w:val="nil"/>
              <w:left w:val="nil"/>
              <w:bottom w:val="nil"/>
              <w:right w:val="nil"/>
            </w:tcBorders>
          </w:tcPr>
          <w:p w14:paraId="3ECDDDEC" w14:textId="51494E6C"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0.0141</w:t>
            </w:r>
          </w:p>
        </w:tc>
        <w:tc>
          <w:tcPr>
            <w:tcW w:w="1294" w:type="dxa"/>
            <w:tcBorders>
              <w:top w:val="nil"/>
              <w:left w:val="nil"/>
              <w:bottom w:val="nil"/>
              <w:right w:val="nil"/>
            </w:tcBorders>
          </w:tcPr>
          <w:p w14:paraId="7AC78763" w14:textId="65DCDBAB"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0.0128</w:t>
            </w:r>
          </w:p>
        </w:tc>
      </w:tr>
      <w:tr w:rsidR="003F0879" w:rsidRPr="003F0879" w14:paraId="5BF4FF97" w14:textId="77777777" w:rsidTr="009007EC">
        <w:trPr>
          <w:trHeight w:val="264"/>
          <w:jc w:val="center"/>
        </w:trPr>
        <w:tc>
          <w:tcPr>
            <w:tcW w:w="1893" w:type="dxa"/>
            <w:tcBorders>
              <w:top w:val="nil"/>
              <w:left w:val="nil"/>
              <w:bottom w:val="nil"/>
              <w:right w:val="nil"/>
            </w:tcBorders>
          </w:tcPr>
          <w:p w14:paraId="61C3CCA6"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CASH</w:t>
            </w:r>
          </w:p>
        </w:tc>
        <w:tc>
          <w:tcPr>
            <w:tcW w:w="1186" w:type="dxa"/>
            <w:tcBorders>
              <w:top w:val="nil"/>
              <w:left w:val="nil"/>
              <w:bottom w:val="nil"/>
              <w:right w:val="nil"/>
            </w:tcBorders>
          </w:tcPr>
          <w:p w14:paraId="2F8ED52C" w14:textId="3E8F02A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0.0632**</w:t>
            </w:r>
          </w:p>
        </w:tc>
        <w:tc>
          <w:tcPr>
            <w:tcW w:w="1186" w:type="dxa"/>
            <w:tcBorders>
              <w:top w:val="nil"/>
              <w:left w:val="nil"/>
              <w:bottom w:val="nil"/>
              <w:right w:val="nil"/>
            </w:tcBorders>
          </w:tcPr>
          <w:p w14:paraId="1594BCCC" w14:textId="488D674C"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0.0632**</w:t>
            </w:r>
          </w:p>
        </w:tc>
        <w:tc>
          <w:tcPr>
            <w:tcW w:w="1186" w:type="dxa"/>
            <w:tcBorders>
              <w:top w:val="nil"/>
              <w:left w:val="nil"/>
              <w:bottom w:val="nil"/>
              <w:right w:val="nil"/>
            </w:tcBorders>
          </w:tcPr>
          <w:p w14:paraId="061BA05A" w14:textId="3ED1EF0E"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0.0642**</w:t>
            </w:r>
          </w:p>
        </w:tc>
        <w:tc>
          <w:tcPr>
            <w:tcW w:w="1294" w:type="dxa"/>
            <w:tcBorders>
              <w:top w:val="nil"/>
              <w:left w:val="nil"/>
              <w:bottom w:val="nil"/>
              <w:right w:val="nil"/>
            </w:tcBorders>
          </w:tcPr>
          <w:p w14:paraId="6CE33FAF" w14:textId="45FD07F5"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0.0066</w:t>
            </w:r>
          </w:p>
        </w:tc>
        <w:tc>
          <w:tcPr>
            <w:tcW w:w="1294" w:type="dxa"/>
            <w:tcBorders>
              <w:top w:val="nil"/>
              <w:left w:val="nil"/>
              <w:bottom w:val="nil"/>
              <w:right w:val="nil"/>
            </w:tcBorders>
          </w:tcPr>
          <w:p w14:paraId="650F161B" w14:textId="347E9BFF"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0.00845</w:t>
            </w:r>
          </w:p>
        </w:tc>
        <w:tc>
          <w:tcPr>
            <w:tcW w:w="1294" w:type="dxa"/>
            <w:tcBorders>
              <w:top w:val="nil"/>
              <w:left w:val="nil"/>
              <w:bottom w:val="nil"/>
              <w:right w:val="nil"/>
            </w:tcBorders>
          </w:tcPr>
          <w:p w14:paraId="0ECFFBA1" w14:textId="6319BD10"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0.00627</w:t>
            </w:r>
          </w:p>
        </w:tc>
      </w:tr>
      <w:tr w:rsidR="003F0879" w:rsidRPr="009007EC" w14:paraId="2CCB0516" w14:textId="77777777" w:rsidTr="009007EC">
        <w:trPr>
          <w:trHeight w:val="264"/>
          <w:jc w:val="center"/>
        </w:trPr>
        <w:tc>
          <w:tcPr>
            <w:tcW w:w="1893" w:type="dxa"/>
            <w:tcBorders>
              <w:top w:val="nil"/>
              <w:left w:val="nil"/>
              <w:bottom w:val="nil"/>
              <w:right w:val="nil"/>
            </w:tcBorders>
          </w:tcPr>
          <w:p w14:paraId="60FE3538" w14:textId="77777777" w:rsidR="003F0879" w:rsidRPr="00C03199" w:rsidRDefault="003F0879" w:rsidP="009007EC">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STOCK</w:t>
            </w:r>
          </w:p>
        </w:tc>
        <w:tc>
          <w:tcPr>
            <w:tcW w:w="1186" w:type="dxa"/>
            <w:tcBorders>
              <w:top w:val="nil"/>
              <w:left w:val="nil"/>
              <w:bottom w:val="nil"/>
              <w:right w:val="nil"/>
            </w:tcBorders>
          </w:tcPr>
          <w:p w14:paraId="134C9EBB" w14:textId="6216EFE6" w:rsidR="003F0879" w:rsidRPr="00C03199" w:rsidRDefault="003F0879" w:rsidP="009007EC">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-0.115***</w:t>
            </w:r>
          </w:p>
        </w:tc>
        <w:tc>
          <w:tcPr>
            <w:tcW w:w="1186" w:type="dxa"/>
            <w:tcBorders>
              <w:top w:val="nil"/>
              <w:left w:val="nil"/>
              <w:bottom w:val="nil"/>
              <w:right w:val="nil"/>
            </w:tcBorders>
          </w:tcPr>
          <w:p w14:paraId="7D72294C" w14:textId="471A0D98" w:rsidR="003F0879" w:rsidRPr="00C03199" w:rsidRDefault="003F0879" w:rsidP="009007EC">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-0.117***</w:t>
            </w:r>
          </w:p>
        </w:tc>
        <w:tc>
          <w:tcPr>
            <w:tcW w:w="1186" w:type="dxa"/>
            <w:tcBorders>
              <w:top w:val="nil"/>
              <w:left w:val="nil"/>
              <w:bottom w:val="nil"/>
              <w:right w:val="nil"/>
            </w:tcBorders>
          </w:tcPr>
          <w:p w14:paraId="1FA73FBF" w14:textId="38BEAEEC" w:rsidR="003F0879" w:rsidRPr="00C03199" w:rsidRDefault="009007EC"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-0.118</w:t>
            </w:r>
            <w:r w:rsidR="003F0879" w:rsidRPr="003F0879">
              <w:rPr>
                <w:rFonts w:ascii="Times New Roman" w:hAnsi="Times New Roman" w:cs="Times New Roman"/>
                <w:sz w:val="18"/>
                <w:szCs w:val="18"/>
              </w:rPr>
              <w:t>***</w:t>
            </w:r>
          </w:p>
        </w:tc>
        <w:tc>
          <w:tcPr>
            <w:tcW w:w="1294" w:type="dxa"/>
            <w:tcBorders>
              <w:top w:val="nil"/>
              <w:left w:val="nil"/>
              <w:bottom w:val="nil"/>
              <w:right w:val="nil"/>
            </w:tcBorders>
          </w:tcPr>
          <w:p w14:paraId="6E455508" w14:textId="525B5F87" w:rsidR="003F0879" w:rsidRPr="00C03199" w:rsidRDefault="003F0879"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0.0022</w:t>
            </w:r>
          </w:p>
        </w:tc>
        <w:tc>
          <w:tcPr>
            <w:tcW w:w="1294" w:type="dxa"/>
            <w:tcBorders>
              <w:top w:val="nil"/>
              <w:left w:val="nil"/>
              <w:bottom w:val="nil"/>
              <w:right w:val="nil"/>
            </w:tcBorders>
          </w:tcPr>
          <w:p w14:paraId="74DBFB28" w14:textId="62EA63EC" w:rsidR="003F0879" w:rsidRPr="00C03199" w:rsidRDefault="003F0879" w:rsidP="009007EC">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0.00166</w:t>
            </w:r>
          </w:p>
        </w:tc>
        <w:tc>
          <w:tcPr>
            <w:tcW w:w="1294" w:type="dxa"/>
            <w:tcBorders>
              <w:top w:val="nil"/>
              <w:left w:val="nil"/>
              <w:bottom w:val="nil"/>
              <w:right w:val="nil"/>
            </w:tcBorders>
          </w:tcPr>
          <w:p w14:paraId="363F130F" w14:textId="35E57F7E" w:rsidR="003F0879" w:rsidRPr="00C03199" w:rsidRDefault="003F0879" w:rsidP="009007EC">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0.00657</w:t>
            </w:r>
          </w:p>
        </w:tc>
      </w:tr>
      <w:tr w:rsidR="009007EC" w:rsidRPr="009007EC" w14:paraId="08EAB5E6" w14:textId="77777777" w:rsidTr="009007EC">
        <w:trPr>
          <w:trHeight w:val="264"/>
          <w:jc w:val="center"/>
        </w:trPr>
        <w:tc>
          <w:tcPr>
            <w:tcW w:w="1893" w:type="dxa"/>
            <w:tcBorders>
              <w:top w:val="nil"/>
              <w:left w:val="nil"/>
              <w:bottom w:val="nil"/>
              <w:right w:val="nil"/>
            </w:tcBorders>
          </w:tcPr>
          <w:p w14:paraId="038EE048" w14:textId="77777777" w:rsidR="009007EC" w:rsidRPr="00C03199" w:rsidRDefault="009007EC" w:rsidP="009007EC">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Stake %</w:t>
            </w:r>
          </w:p>
        </w:tc>
        <w:tc>
          <w:tcPr>
            <w:tcW w:w="1186" w:type="dxa"/>
            <w:tcBorders>
              <w:top w:val="nil"/>
              <w:left w:val="nil"/>
              <w:bottom w:val="nil"/>
              <w:right w:val="nil"/>
            </w:tcBorders>
          </w:tcPr>
          <w:p w14:paraId="1B3EE1FB" w14:textId="736E2CC2" w:rsidR="009007EC" w:rsidRPr="00C03199" w:rsidRDefault="009007EC"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-0.0013</w:t>
            </w:r>
            <w:r w:rsidRPr="009007EC">
              <w:rPr>
                <w:rFonts w:ascii="Times New Roman" w:hAnsi="Times New Roman" w:cs="Times New Roman"/>
                <w:sz w:val="18"/>
                <w:szCs w:val="18"/>
              </w:rPr>
              <w:t>***</w:t>
            </w:r>
          </w:p>
        </w:tc>
        <w:tc>
          <w:tcPr>
            <w:tcW w:w="1186" w:type="dxa"/>
            <w:tcBorders>
              <w:top w:val="nil"/>
              <w:left w:val="nil"/>
              <w:bottom w:val="nil"/>
              <w:right w:val="nil"/>
            </w:tcBorders>
          </w:tcPr>
          <w:p w14:paraId="56701A05" w14:textId="64B7F607" w:rsidR="009007EC" w:rsidRPr="00C03199" w:rsidRDefault="009007EC"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-0.0013</w:t>
            </w:r>
            <w:r w:rsidRPr="009007EC">
              <w:rPr>
                <w:rFonts w:ascii="Times New Roman" w:hAnsi="Times New Roman" w:cs="Times New Roman"/>
                <w:sz w:val="18"/>
                <w:szCs w:val="18"/>
              </w:rPr>
              <w:t>***</w:t>
            </w:r>
          </w:p>
        </w:tc>
        <w:tc>
          <w:tcPr>
            <w:tcW w:w="1186" w:type="dxa"/>
            <w:tcBorders>
              <w:top w:val="nil"/>
              <w:left w:val="nil"/>
              <w:bottom w:val="nil"/>
              <w:right w:val="nil"/>
            </w:tcBorders>
          </w:tcPr>
          <w:p w14:paraId="25A328BB" w14:textId="00664596" w:rsidR="009007EC" w:rsidRPr="00C03199" w:rsidRDefault="009007EC"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-0.0013</w:t>
            </w:r>
            <w:r w:rsidRPr="009007EC">
              <w:rPr>
                <w:rFonts w:ascii="Times New Roman" w:hAnsi="Times New Roman" w:cs="Times New Roman"/>
                <w:sz w:val="18"/>
                <w:szCs w:val="18"/>
              </w:rPr>
              <w:t>***</w:t>
            </w:r>
          </w:p>
        </w:tc>
        <w:tc>
          <w:tcPr>
            <w:tcW w:w="1294" w:type="dxa"/>
            <w:tcBorders>
              <w:top w:val="nil"/>
              <w:left w:val="nil"/>
              <w:bottom w:val="nil"/>
              <w:right w:val="nil"/>
            </w:tcBorders>
          </w:tcPr>
          <w:p w14:paraId="7F5E4B85" w14:textId="698F5492" w:rsidR="009007EC" w:rsidRPr="00C03199" w:rsidRDefault="009007EC"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-0.0011</w:t>
            </w:r>
            <w:r w:rsidRPr="009007EC">
              <w:rPr>
                <w:rFonts w:ascii="Times New Roman" w:hAnsi="Times New Roman" w:cs="Times New Roman"/>
                <w:sz w:val="18"/>
                <w:szCs w:val="18"/>
              </w:rPr>
              <w:t>***</w:t>
            </w:r>
          </w:p>
        </w:tc>
        <w:tc>
          <w:tcPr>
            <w:tcW w:w="1294" w:type="dxa"/>
            <w:tcBorders>
              <w:top w:val="nil"/>
              <w:left w:val="nil"/>
              <w:bottom w:val="nil"/>
              <w:right w:val="nil"/>
            </w:tcBorders>
          </w:tcPr>
          <w:p w14:paraId="5F84395B" w14:textId="7EC0FAB7" w:rsidR="009007EC" w:rsidRPr="00C03199" w:rsidRDefault="009007EC"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-0.0011</w:t>
            </w:r>
            <w:r w:rsidRPr="009007EC">
              <w:rPr>
                <w:rFonts w:ascii="Times New Roman" w:hAnsi="Times New Roman" w:cs="Times New Roman"/>
                <w:sz w:val="18"/>
                <w:szCs w:val="18"/>
              </w:rPr>
              <w:t>***</w:t>
            </w:r>
          </w:p>
        </w:tc>
        <w:tc>
          <w:tcPr>
            <w:tcW w:w="1294" w:type="dxa"/>
            <w:tcBorders>
              <w:top w:val="nil"/>
              <w:left w:val="nil"/>
              <w:bottom w:val="nil"/>
              <w:right w:val="nil"/>
            </w:tcBorders>
          </w:tcPr>
          <w:p w14:paraId="6E9944A1" w14:textId="7BCF5E82" w:rsidR="009007EC" w:rsidRPr="00C03199" w:rsidRDefault="009007EC" w:rsidP="009007E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-0.0011</w:t>
            </w:r>
            <w:r w:rsidRPr="009007EC">
              <w:rPr>
                <w:rFonts w:ascii="Times New Roman" w:hAnsi="Times New Roman" w:cs="Times New Roman"/>
                <w:sz w:val="18"/>
                <w:szCs w:val="18"/>
              </w:rPr>
              <w:t>***</w:t>
            </w:r>
          </w:p>
        </w:tc>
      </w:tr>
      <w:tr w:rsidR="001C1B62" w:rsidRPr="00C03199" w14:paraId="7093F0D5" w14:textId="77777777" w:rsidTr="009007EC">
        <w:trPr>
          <w:trHeight w:val="280"/>
          <w:jc w:val="center"/>
        </w:trPr>
        <w:tc>
          <w:tcPr>
            <w:tcW w:w="1893" w:type="dxa"/>
            <w:tcBorders>
              <w:top w:val="nil"/>
              <w:left w:val="nil"/>
              <w:bottom w:val="nil"/>
              <w:right w:val="nil"/>
            </w:tcBorders>
          </w:tcPr>
          <w:p w14:paraId="2F50F120"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Log Market-Value</w:t>
            </w:r>
          </w:p>
        </w:tc>
        <w:tc>
          <w:tcPr>
            <w:tcW w:w="1186" w:type="dxa"/>
            <w:tcBorders>
              <w:top w:val="nil"/>
              <w:left w:val="nil"/>
              <w:bottom w:val="nil"/>
              <w:right w:val="nil"/>
            </w:tcBorders>
          </w:tcPr>
          <w:p w14:paraId="4F3F37C9"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-0.0042</w:t>
            </w:r>
          </w:p>
        </w:tc>
        <w:tc>
          <w:tcPr>
            <w:tcW w:w="1186" w:type="dxa"/>
            <w:tcBorders>
              <w:top w:val="nil"/>
              <w:left w:val="nil"/>
              <w:bottom w:val="nil"/>
              <w:right w:val="nil"/>
            </w:tcBorders>
          </w:tcPr>
          <w:p w14:paraId="474BE7B8"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-0.0025</w:t>
            </w:r>
          </w:p>
        </w:tc>
        <w:tc>
          <w:tcPr>
            <w:tcW w:w="1186" w:type="dxa"/>
            <w:tcBorders>
              <w:top w:val="nil"/>
              <w:left w:val="nil"/>
              <w:bottom w:val="nil"/>
              <w:right w:val="nil"/>
            </w:tcBorders>
          </w:tcPr>
          <w:p w14:paraId="4605658B"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0.0015</w:t>
            </w:r>
          </w:p>
        </w:tc>
        <w:tc>
          <w:tcPr>
            <w:tcW w:w="1294" w:type="dxa"/>
            <w:tcBorders>
              <w:top w:val="nil"/>
              <w:left w:val="nil"/>
              <w:bottom w:val="nil"/>
              <w:right w:val="nil"/>
            </w:tcBorders>
          </w:tcPr>
          <w:p w14:paraId="58156E52"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-0.0018</w:t>
            </w:r>
          </w:p>
        </w:tc>
        <w:tc>
          <w:tcPr>
            <w:tcW w:w="1294" w:type="dxa"/>
            <w:tcBorders>
              <w:top w:val="nil"/>
              <w:left w:val="nil"/>
              <w:bottom w:val="nil"/>
              <w:right w:val="nil"/>
            </w:tcBorders>
          </w:tcPr>
          <w:p w14:paraId="49361E0C"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-0.0010</w:t>
            </w:r>
          </w:p>
        </w:tc>
        <w:tc>
          <w:tcPr>
            <w:tcW w:w="1294" w:type="dxa"/>
            <w:tcBorders>
              <w:top w:val="nil"/>
              <w:left w:val="nil"/>
              <w:bottom w:val="nil"/>
              <w:right w:val="nil"/>
            </w:tcBorders>
          </w:tcPr>
          <w:p w14:paraId="3C2B9F88"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0.0009</w:t>
            </w:r>
          </w:p>
        </w:tc>
      </w:tr>
      <w:tr w:rsidR="00BF2649" w:rsidRPr="00C03199" w14:paraId="5910274B" w14:textId="77777777" w:rsidTr="009007EC">
        <w:trPr>
          <w:trHeight w:val="264"/>
          <w:jc w:val="center"/>
        </w:trPr>
        <w:tc>
          <w:tcPr>
            <w:tcW w:w="1893" w:type="dxa"/>
            <w:tcBorders>
              <w:top w:val="nil"/>
              <w:left w:val="nil"/>
              <w:bottom w:val="nil"/>
              <w:right w:val="nil"/>
            </w:tcBorders>
          </w:tcPr>
          <w:p w14:paraId="768AFFB4"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Stock run-up </w:t>
            </w:r>
          </w:p>
        </w:tc>
        <w:tc>
          <w:tcPr>
            <w:tcW w:w="1186" w:type="dxa"/>
            <w:tcBorders>
              <w:top w:val="nil"/>
              <w:left w:val="nil"/>
              <w:bottom w:val="nil"/>
              <w:right w:val="nil"/>
            </w:tcBorders>
          </w:tcPr>
          <w:p w14:paraId="4D80A4FC" w14:textId="53D0D07B"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186" w:type="dxa"/>
            <w:tcBorders>
              <w:top w:val="nil"/>
              <w:left w:val="nil"/>
              <w:bottom w:val="nil"/>
              <w:right w:val="nil"/>
            </w:tcBorders>
          </w:tcPr>
          <w:p w14:paraId="5B46367B" w14:textId="7E2E4265"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86" w:type="dxa"/>
            <w:tcBorders>
              <w:top w:val="nil"/>
              <w:left w:val="nil"/>
              <w:bottom w:val="nil"/>
              <w:right w:val="nil"/>
            </w:tcBorders>
          </w:tcPr>
          <w:p w14:paraId="2FA4EBD8" w14:textId="697ED689"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64F88B2B" w14:textId="2E01DBAA"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94" w:type="dxa"/>
            <w:tcBorders>
              <w:top w:val="nil"/>
              <w:left w:val="nil"/>
              <w:bottom w:val="nil"/>
              <w:right w:val="nil"/>
            </w:tcBorders>
          </w:tcPr>
          <w:p w14:paraId="2DFFD853" w14:textId="0B7696B1"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294" w:type="dxa"/>
            <w:tcBorders>
              <w:top w:val="nil"/>
              <w:left w:val="nil"/>
              <w:bottom w:val="nil"/>
              <w:right w:val="nil"/>
            </w:tcBorders>
          </w:tcPr>
          <w:p w14:paraId="4B1AAA9D" w14:textId="1E361C5C"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r>
      <w:tr w:rsidR="00BF2649" w:rsidRPr="00C03199" w14:paraId="728A609C" w14:textId="77777777" w:rsidTr="009007EC">
        <w:trPr>
          <w:trHeight w:val="264"/>
          <w:jc w:val="center"/>
        </w:trPr>
        <w:tc>
          <w:tcPr>
            <w:tcW w:w="1893" w:type="dxa"/>
            <w:tcBorders>
              <w:top w:val="nil"/>
              <w:left w:val="nil"/>
              <w:bottom w:val="nil"/>
              <w:right w:val="nil"/>
            </w:tcBorders>
          </w:tcPr>
          <w:p w14:paraId="5BC0556A"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EVtoEBIT</w:t>
            </w:r>
          </w:p>
        </w:tc>
        <w:tc>
          <w:tcPr>
            <w:tcW w:w="1186" w:type="dxa"/>
            <w:tcBorders>
              <w:top w:val="nil"/>
              <w:left w:val="nil"/>
              <w:bottom w:val="nil"/>
              <w:right w:val="nil"/>
            </w:tcBorders>
          </w:tcPr>
          <w:p w14:paraId="7C99B64B" w14:textId="433D24E5"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-0.0001</w:t>
            </w:r>
          </w:p>
        </w:tc>
        <w:tc>
          <w:tcPr>
            <w:tcW w:w="1186" w:type="dxa"/>
            <w:tcBorders>
              <w:top w:val="nil"/>
              <w:left w:val="nil"/>
              <w:bottom w:val="nil"/>
              <w:right w:val="nil"/>
            </w:tcBorders>
          </w:tcPr>
          <w:p w14:paraId="2FF365F1" w14:textId="4336BA5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-0.0001</w:t>
            </w:r>
          </w:p>
        </w:tc>
        <w:tc>
          <w:tcPr>
            <w:tcW w:w="1186" w:type="dxa"/>
            <w:tcBorders>
              <w:top w:val="nil"/>
              <w:left w:val="nil"/>
              <w:bottom w:val="nil"/>
              <w:right w:val="nil"/>
            </w:tcBorders>
          </w:tcPr>
          <w:p w14:paraId="279A8A6C" w14:textId="3A34799E"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-0.0001</w:t>
            </w:r>
          </w:p>
        </w:tc>
        <w:tc>
          <w:tcPr>
            <w:tcW w:w="1294" w:type="dxa"/>
            <w:tcBorders>
              <w:top w:val="nil"/>
              <w:left w:val="nil"/>
              <w:bottom w:val="nil"/>
              <w:right w:val="nil"/>
            </w:tcBorders>
          </w:tcPr>
          <w:p w14:paraId="6EBD09BA" w14:textId="45B1A661"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652B231F" w14:textId="4875BD18"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42EF5486" w14:textId="5D2A93A4"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BF2649" w:rsidRPr="00C03199" w14:paraId="6F5438B1" w14:textId="77777777" w:rsidTr="009007EC">
        <w:trPr>
          <w:trHeight w:val="264"/>
          <w:jc w:val="center"/>
        </w:trPr>
        <w:tc>
          <w:tcPr>
            <w:tcW w:w="1893" w:type="dxa"/>
            <w:tcBorders>
              <w:top w:val="nil"/>
              <w:left w:val="nil"/>
              <w:bottom w:val="nil"/>
              <w:right w:val="nil"/>
            </w:tcBorders>
          </w:tcPr>
          <w:p w14:paraId="41A928E6"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Target EPS</w:t>
            </w:r>
          </w:p>
        </w:tc>
        <w:tc>
          <w:tcPr>
            <w:tcW w:w="1186" w:type="dxa"/>
            <w:tcBorders>
              <w:top w:val="nil"/>
              <w:left w:val="nil"/>
              <w:bottom w:val="nil"/>
              <w:right w:val="nil"/>
            </w:tcBorders>
          </w:tcPr>
          <w:p w14:paraId="1192CC82" w14:textId="1BAD992B"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-0.0002</w:t>
            </w:r>
          </w:p>
        </w:tc>
        <w:tc>
          <w:tcPr>
            <w:tcW w:w="1186" w:type="dxa"/>
            <w:tcBorders>
              <w:top w:val="nil"/>
              <w:left w:val="nil"/>
              <w:bottom w:val="nil"/>
              <w:right w:val="nil"/>
            </w:tcBorders>
          </w:tcPr>
          <w:p w14:paraId="47BC5F9B" w14:textId="64DB8C6D"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-0.0001</w:t>
            </w:r>
          </w:p>
        </w:tc>
        <w:tc>
          <w:tcPr>
            <w:tcW w:w="1186" w:type="dxa"/>
            <w:tcBorders>
              <w:top w:val="nil"/>
              <w:left w:val="nil"/>
              <w:bottom w:val="nil"/>
              <w:right w:val="nil"/>
            </w:tcBorders>
          </w:tcPr>
          <w:p w14:paraId="20ACA8FC" w14:textId="7E1EF07B"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-0.0001</w:t>
            </w:r>
          </w:p>
        </w:tc>
        <w:tc>
          <w:tcPr>
            <w:tcW w:w="1294" w:type="dxa"/>
            <w:tcBorders>
              <w:top w:val="nil"/>
              <w:left w:val="nil"/>
              <w:bottom w:val="nil"/>
              <w:right w:val="nil"/>
            </w:tcBorders>
          </w:tcPr>
          <w:p w14:paraId="1ADB7FB3" w14:textId="59514E60"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0.0007</w:t>
            </w:r>
          </w:p>
        </w:tc>
        <w:tc>
          <w:tcPr>
            <w:tcW w:w="1294" w:type="dxa"/>
            <w:tcBorders>
              <w:top w:val="nil"/>
              <w:left w:val="nil"/>
              <w:bottom w:val="nil"/>
              <w:right w:val="nil"/>
            </w:tcBorders>
          </w:tcPr>
          <w:p w14:paraId="71BEB9AF" w14:textId="5B2A2814"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0.0008</w:t>
            </w:r>
          </w:p>
        </w:tc>
        <w:tc>
          <w:tcPr>
            <w:tcW w:w="1294" w:type="dxa"/>
            <w:tcBorders>
              <w:top w:val="nil"/>
              <w:left w:val="nil"/>
              <w:bottom w:val="nil"/>
              <w:right w:val="nil"/>
            </w:tcBorders>
          </w:tcPr>
          <w:p w14:paraId="3CE66F9A" w14:textId="57A9C37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0.0008</w:t>
            </w:r>
          </w:p>
        </w:tc>
      </w:tr>
      <w:tr w:rsidR="00BF2649" w:rsidRPr="00C03199" w14:paraId="148AA921" w14:textId="77777777" w:rsidTr="009007EC">
        <w:trPr>
          <w:trHeight w:val="280"/>
          <w:jc w:val="center"/>
        </w:trPr>
        <w:tc>
          <w:tcPr>
            <w:tcW w:w="1893" w:type="dxa"/>
            <w:tcBorders>
              <w:top w:val="nil"/>
              <w:left w:val="nil"/>
              <w:bottom w:val="nil"/>
              <w:right w:val="nil"/>
            </w:tcBorders>
          </w:tcPr>
          <w:p w14:paraId="0D0FBEA9"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Assets growth rate</w:t>
            </w:r>
          </w:p>
        </w:tc>
        <w:tc>
          <w:tcPr>
            <w:tcW w:w="1186" w:type="dxa"/>
            <w:tcBorders>
              <w:top w:val="nil"/>
              <w:left w:val="nil"/>
              <w:bottom w:val="nil"/>
              <w:right w:val="nil"/>
            </w:tcBorders>
          </w:tcPr>
          <w:p w14:paraId="301223A6" w14:textId="1A32999F"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86" w:type="dxa"/>
            <w:tcBorders>
              <w:top w:val="nil"/>
              <w:left w:val="nil"/>
              <w:bottom w:val="nil"/>
              <w:right w:val="nil"/>
            </w:tcBorders>
          </w:tcPr>
          <w:p w14:paraId="42EE715E" w14:textId="6607E092"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86" w:type="dxa"/>
            <w:tcBorders>
              <w:top w:val="nil"/>
              <w:left w:val="nil"/>
              <w:bottom w:val="nil"/>
              <w:right w:val="nil"/>
            </w:tcBorders>
          </w:tcPr>
          <w:p w14:paraId="508009B9" w14:textId="48A1E0CA"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5B01F198" w14:textId="266CF919"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749E49EE" w14:textId="34303233"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77871702" w14:textId="5F5601C0"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BF2649" w:rsidRPr="00C03199" w14:paraId="5B8B3ACA" w14:textId="77777777" w:rsidTr="009007EC">
        <w:trPr>
          <w:trHeight w:val="264"/>
          <w:jc w:val="center"/>
        </w:trPr>
        <w:tc>
          <w:tcPr>
            <w:tcW w:w="1893" w:type="dxa"/>
            <w:tcBorders>
              <w:top w:val="nil"/>
              <w:left w:val="nil"/>
              <w:bottom w:val="nil"/>
              <w:right w:val="nil"/>
            </w:tcBorders>
          </w:tcPr>
          <w:p w14:paraId="26872524"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EBIT growth rate</w:t>
            </w:r>
          </w:p>
        </w:tc>
        <w:tc>
          <w:tcPr>
            <w:tcW w:w="1186" w:type="dxa"/>
            <w:tcBorders>
              <w:top w:val="nil"/>
              <w:left w:val="nil"/>
              <w:bottom w:val="nil"/>
              <w:right w:val="nil"/>
            </w:tcBorders>
          </w:tcPr>
          <w:p w14:paraId="29A89ADD" w14:textId="3F926A63"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86" w:type="dxa"/>
            <w:tcBorders>
              <w:top w:val="nil"/>
              <w:left w:val="nil"/>
              <w:bottom w:val="nil"/>
              <w:right w:val="nil"/>
            </w:tcBorders>
          </w:tcPr>
          <w:p w14:paraId="4449E062" w14:textId="0362EB98"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86" w:type="dxa"/>
            <w:tcBorders>
              <w:top w:val="nil"/>
              <w:left w:val="nil"/>
              <w:bottom w:val="nil"/>
              <w:right w:val="nil"/>
            </w:tcBorders>
          </w:tcPr>
          <w:p w14:paraId="6131F01C" w14:textId="465EC1D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53D53A36" w14:textId="210E872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362713DE" w14:textId="44F4018E"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1431F4DB" w14:textId="16D5027C"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BF2649" w:rsidRPr="00C03199" w14:paraId="42976A10" w14:textId="77777777" w:rsidTr="009007EC">
        <w:trPr>
          <w:trHeight w:val="264"/>
          <w:jc w:val="center"/>
        </w:trPr>
        <w:tc>
          <w:tcPr>
            <w:tcW w:w="1893" w:type="dxa"/>
            <w:tcBorders>
              <w:top w:val="nil"/>
              <w:left w:val="nil"/>
              <w:bottom w:val="nil"/>
              <w:right w:val="nil"/>
            </w:tcBorders>
          </w:tcPr>
          <w:p w14:paraId="075B514C" w14:textId="77777777" w:rsidR="00BF2649" w:rsidRPr="00C03199" w:rsidRDefault="00BF2649" w:rsidP="00BF264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EPS growth rate</w:t>
            </w:r>
          </w:p>
        </w:tc>
        <w:tc>
          <w:tcPr>
            <w:tcW w:w="1186" w:type="dxa"/>
            <w:tcBorders>
              <w:top w:val="nil"/>
              <w:left w:val="nil"/>
              <w:bottom w:val="nil"/>
              <w:right w:val="nil"/>
            </w:tcBorders>
          </w:tcPr>
          <w:p w14:paraId="554A7207" w14:textId="14107FC7"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86" w:type="dxa"/>
            <w:tcBorders>
              <w:top w:val="nil"/>
              <w:left w:val="nil"/>
              <w:bottom w:val="nil"/>
              <w:right w:val="nil"/>
            </w:tcBorders>
          </w:tcPr>
          <w:p w14:paraId="240550D5" w14:textId="1B4E43E6"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86" w:type="dxa"/>
            <w:tcBorders>
              <w:top w:val="nil"/>
              <w:left w:val="nil"/>
              <w:bottom w:val="nil"/>
              <w:right w:val="nil"/>
            </w:tcBorders>
          </w:tcPr>
          <w:p w14:paraId="7AFAD07F" w14:textId="0CC6D712"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031D7F2B" w14:textId="1E685DAB"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1DA43ECF" w14:textId="03DC8673"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94" w:type="dxa"/>
            <w:tcBorders>
              <w:top w:val="nil"/>
              <w:left w:val="nil"/>
              <w:bottom w:val="nil"/>
              <w:right w:val="nil"/>
            </w:tcBorders>
          </w:tcPr>
          <w:p w14:paraId="410A48CB" w14:textId="6207D5B4" w:rsidR="00BF2649" w:rsidRPr="00C03199" w:rsidRDefault="00BF2649" w:rsidP="00BF264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1C1B62" w:rsidRPr="00C03199" w14:paraId="5DDACF01" w14:textId="77777777" w:rsidTr="009007EC">
        <w:trPr>
          <w:trHeight w:val="264"/>
          <w:jc w:val="center"/>
        </w:trPr>
        <w:tc>
          <w:tcPr>
            <w:tcW w:w="1893" w:type="dxa"/>
            <w:tcBorders>
              <w:top w:val="nil"/>
              <w:left w:val="nil"/>
              <w:bottom w:val="nil"/>
              <w:right w:val="nil"/>
            </w:tcBorders>
          </w:tcPr>
          <w:p w14:paraId="45CCCB3E"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Related</w:t>
            </w:r>
          </w:p>
        </w:tc>
        <w:tc>
          <w:tcPr>
            <w:tcW w:w="1186" w:type="dxa"/>
            <w:tcBorders>
              <w:top w:val="nil"/>
              <w:left w:val="nil"/>
              <w:bottom w:val="nil"/>
              <w:right w:val="nil"/>
            </w:tcBorders>
          </w:tcPr>
          <w:p w14:paraId="5C9DE4C9"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0.0109</w:t>
            </w:r>
          </w:p>
        </w:tc>
        <w:tc>
          <w:tcPr>
            <w:tcW w:w="1186" w:type="dxa"/>
            <w:tcBorders>
              <w:top w:val="nil"/>
              <w:left w:val="nil"/>
              <w:bottom w:val="nil"/>
              <w:right w:val="nil"/>
            </w:tcBorders>
          </w:tcPr>
          <w:p w14:paraId="305ED600"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0.0148</w:t>
            </w:r>
          </w:p>
        </w:tc>
        <w:tc>
          <w:tcPr>
            <w:tcW w:w="1186" w:type="dxa"/>
            <w:tcBorders>
              <w:top w:val="nil"/>
              <w:left w:val="nil"/>
              <w:bottom w:val="nil"/>
              <w:right w:val="nil"/>
            </w:tcBorders>
          </w:tcPr>
          <w:p w14:paraId="414495D1"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0.0191</w:t>
            </w:r>
          </w:p>
        </w:tc>
        <w:tc>
          <w:tcPr>
            <w:tcW w:w="1294" w:type="dxa"/>
            <w:tcBorders>
              <w:top w:val="nil"/>
              <w:left w:val="nil"/>
              <w:bottom w:val="nil"/>
              <w:right w:val="nil"/>
            </w:tcBorders>
          </w:tcPr>
          <w:p w14:paraId="7F344844" w14:textId="49D1A9A8" w:rsidR="001C1B62" w:rsidRPr="00C03199" w:rsidRDefault="00AE2ABD"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-0.0158</w:t>
            </w:r>
          </w:p>
        </w:tc>
        <w:tc>
          <w:tcPr>
            <w:tcW w:w="1294" w:type="dxa"/>
            <w:tcBorders>
              <w:top w:val="nil"/>
              <w:left w:val="nil"/>
              <w:bottom w:val="nil"/>
              <w:right w:val="nil"/>
            </w:tcBorders>
          </w:tcPr>
          <w:p w14:paraId="13C554A3"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-0.0157</w:t>
            </w:r>
          </w:p>
        </w:tc>
        <w:tc>
          <w:tcPr>
            <w:tcW w:w="1294" w:type="dxa"/>
            <w:tcBorders>
              <w:top w:val="nil"/>
              <w:left w:val="nil"/>
              <w:bottom w:val="nil"/>
              <w:right w:val="nil"/>
            </w:tcBorders>
          </w:tcPr>
          <w:p w14:paraId="144CB57A" w14:textId="735D8A8B" w:rsidR="001C1B62" w:rsidRPr="00C03199" w:rsidRDefault="00AE2ABD"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-0.0167</w:t>
            </w:r>
          </w:p>
        </w:tc>
      </w:tr>
      <w:tr w:rsidR="001C1B62" w:rsidRPr="00C03199" w14:paraId="7B01C197" w14:textId="77777777" w:rsidTr="009007EC">
        <w:trPr>
          <w:trHeight w:val="264"/>
          <w:jc w:val="center"/>
        </w:trPr>
        <w:tc>
          <w:tcPr>
            <w:tcW w:w="1893" w:type="dxa"/>
            <w:tcBorders>
              <w:top w:val="nil"/>
              <w:left w:val="nil"/>
              <w:bottom w:val="nil"/>
              <w:right w:val="nil"/>
            </w:tcBorders>
          </w:tcPr>
          <w:p w14:paraId="2E44305B"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Hostile</w:t>
            </w:r>
          </w:p>
        </w:tc>
        <w:tc>
          <w:tcPr>
            <w:tcW w:w="1186" w:type="dxa"/>
            <w:tcBorders>
              <w:top w:val="nil"/>
              <w:left w:val="nil"/>
              <w:bottom w:val="nil"/>
              <w:right w:val="nil"/>
            </w:tcBorders>
          </w:tcPr>
          <w:p w14:paraId="08FFE87B"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0.0065</w:t>
            </w:r>
          </w:p>
        </w:tc>
        <w:tc>
          <w:tcPr>
            <w:tcW w:w="1186" w:type="dxa"/>
            <w:tcBorders>
              <w:top w:val="nil"/>
              <w:left w:val="nil"/>
              <w:bottom w:val="nil"/>
              <w:right w:val="nil"/>
            </w:tcBorders>
          </w:tcPr>
          <w:p w14:paraId="5C866CDB"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0.0054</w:t>
            </w:r>
          </w:p>
        </w:tc>
        <w:tc>
          <w:tcPr>
            <w:tcW w:w="1186" w:type="dxa"/>
            <w:tcBorders>
              <w:top w:val="nil"/>
              <w:left w:val="nil"/>
              <w:bottom w:val="nil"/>
              <w:right w:val="nil"/>
            </w:tcBorders>
          </w:tcPr>
          <w:p w14:paraId="2C0AF3EA"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0.0045</w:t>
            </w:r>
          </w:p>
        </w:tc>
        <w:tc>
          <w:tcPr>
            <w:tcW w:w="1294" w:type="dxa"/>
            <w:tcBorders>
              <w:top w:val="nil"/>
              <w:left w:val="nil"/>
              <w:bottom w:val="nil"/>
              <w:right w:val="nil"/>
            </w:tcBorders>
          </w:tcPr>
          <w:p w14:paraId="3B3C1021"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0.0089</w:t>
            </w:r>
          </w:p>
        </w:tc>
        <w:tc>
          <w:tcPr>
            <w:tcW w:w="1294" w:type="dxa"/>
            <w:tcBorders>
              <w:top w:val="nil"/>
              <w:left w:val="nil"/>
              <w:bottom w:val="nil"/>
              <w:right w:val="nil"/>
            </w:tcBorders>
          </w:tcPr>
          <w:p w14:paraId="0A439DB4"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0.0078</w:t>
            </w:r>
          </w:p>
        </w:tc>
        <w:tc>
          <w:tcPr>
            <w:tcW w:w="1294" w:type="dxa"/>
            <w:tcBorders>
              <w:top w:val="nil"/>
              <w:left w:val="nil"/>
              <w:bottom w:val="nil"/>
              <w:right w:val="nil"/>
            </w:tcBorders>
          </w:tcPr>
          <w:p w14:paraId="5F05C274"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0.0045</w:t>
            </w:r>
          </w:p>
        </w:tc>
      </w:tr>
      <w:tr w:rsidR="003F0879" w:rsidRPr="00C03199" w14:paraId="667242E3" w14:textId="77777777" w:rsidTr="009007EC">
        <w:trPr>
          <w:trHeight w:val="264"/>
          <w:jc w:val="center"/>
        </w:trPr>
        <w:tc>
          <w:tcPr>
            <w:tcW w:w="1893" w:type="dxa"/>
            <w:tcBorders>
              <w:top w:val="nil"/>
              <w:left w:val="nil"/>
              <w:bottom w:val="nil"/>
              <w:right w:val="nil"/>
            </w:tcBorders>
          </w:tcPr>
          <w:p w14:paraId="0C8D22B2" w14:textId="7D628D5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EU</w:t>
            </w:r>
          </w:p>
        </w:tc>
        <w:tc>
          <w:tcPr>
            <w:tcW w:w="1186" w:type="dxa"/>
            <w:tcBorders>
              <w:top w:val="nil"/>
              <w:left w:val="nil"/>
              <w:bottom w:val="nil"/>
              <w:right w:val="nil"/>
            </w:tcBorders>
          </w:tcPr>
          <w:p w14:paraId="1D78C083"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3C7E1DC2" w14:textId="561EE2F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0.0822</w:t>
            </w:r>
          </w:p>
        </w:tc>
        <w:tc>
          <w:tcPr>
            <w:tcW w:w="1186" w:type="dxa"/>
            <w:tcBorders>
              <w:top w:val="nil"/>
              <w:left w:val="nil"/>
              <w:bottom w:val="nil"/>
              <w:right w:val="nil"/>
            </w:tcBorders>
          </w:tcPr>
          <w:p w14:paraId="4D486FD8" w14:textId="79F61084"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-0.0415</w:t>
            </w:r>
          </w:p>
        </w:tc>
        <w:tc>
          <w:tcPr>
            <w:tcW w:w="1294" w:type="dxa"/>
            <w:tcBorders>
              <w:top w:val="nil"/>
              <w:left w:val="nil"/>
              <w:bottom w:val="nil"/>
              <w:right w:val="nil"/>
            </w:tcBorders>
          </w:tcPr>
          <w:p w14:paraId="6EF79F89"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2CB04474" w14:textId="6FE4A2A5"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0.122***</w:t>
            </w:r>
          </w:p>
        </w:tc>
        <w:tc>
          <w:tcPr>
            <w:tcW w:w="1294" w:type="dxa"/>
            <w:tcBorders>
              <w:top w:val="nil"/>
              <w:left w:val="nil"/>
              <w:bottom w:val="nil"/>
              <w:right w:val="nil"/>
            </w:tcBorders>
          </w:tcPr>
          <w:p w14:paraId="013EEF62" w14:textId="3140762C"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0.123***</w:t>
            </w:r>
          </w:p>
        </w:tc>
      </w:tr>
      <w:tr w:rsidR="003F0879" w:rsidRPr="00C03199" w14:paraId="7CCDB5E0" w14:textId="77777777" w:rsidTr="009007EC">
        <w:trPr>
          <w:trHeight w:val="264"/>
          <w:jc w:val="center"/>
        </w:trPr>
        <w:tc>
          <w:tcPr>
            <w:tcW w:w="1893" w:type="dxa"/>
            <w:tcBorders>
              <w:top w:val="nil"/>
              <w:left w:val="nil"/>
              <w:bottom w:val="nil"/>
              <w:right w:val="nil"/>
            </w:tcBorders>
          </w:tcPr>
          <w:p w14:paraId="0D6CBBD0"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US</w:t>
            </w:r>
          </w:p>
        </w:tc>
        <w:tc>
          <w:tcPr>
            <w:tcW w:w="1186" w:type="dxa"/>
            <w:tcBorders>
              <w:top w:val="nil"/>
              <w:left w:val="nil"/>
              <w:bottom w:val="nil"/>
              <w:right w:val="nil"/>
            </w:tcBorders>
          </w:tcPr>
          <w:p w14:paraId="1F6DDB14"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547A50CD" w14:textId="66FC8B09"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0.0751</w:t>
            </w:r>
          </w:p>
        </w:tc>
        <w:tc>
          <w:tcPr>
            <w:tcW w:w="1186" w:type="dxa"/>
            <w:tcBorders>
              <w:top w:val="nil"/>
              <w:left w:val="nil"/>
              <w:bottom w:val="nil"/>
              <w:right w:val="nil"/>
            </w:tcBorders>
          </w:tcPr>
          <w:p w14:paraId="737AADB3" w14:textId="122EC5C1"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-0.0564</w:t>
            </w:r>
          </w:p>
        </w:tc>
        <w:tc>
          <w:tcPr>
            <w:tcW w:w="1294" w:type="dxa"/>
            <w:tcBorders>
              <w:top w:val="nil"/>
              <w:left w:val="nil"/>
              <w:bottom w:val="nil"/>
              <w:right w:val="nil"/>
            </w:tcBorders>
          </w:tcPr>
          <w:p w14:paraId="44669514"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2E71ED38" w14:textId="73F9C081"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0.0840</w:t>
            </w:r>
          </w:p>
        </w:tc>
        <w:tc>
          <w:tcPr>
            <w:tcW w:w="1294" w:type="dxa"/>
            <w:tcBorders>
              <w:top w:val="nil"/>
              <w:left w:val="nil"/>
              <w:bottom w:val="nil"/>
              <w:right w:val="nil"/>
            </w:tcBorders>
          </w:tcPr>
          <w:p w14:paraId="63A645B9" w14:textId="71B8EC40"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-0.0399</w:t>
            </w:r>
          </w:p>
        </w:tc>
      </w:tr>
      <w:tr w:rsidR="003F0879" w:rsidRPr="00C03199" w14:paraId="58B8F6C2" w14:textId="77777777" w:rsidTr="009007EC">
        <w:trPr>
          <w:trHeight w:val="280"/>
          <w:jc w:val="center"/>
        </w:trPr>
        <w:tc>
          <w:tcPr>
            <w:tcW w:w="1893" w:type="dxa"/>
            <w:tcBorders>
              <w:top w:val="nil"/>
              <w:left w:val="nil"/>
              <w:bottom w:val="nil"/>
              <w:right w:val="nil"/>
            </w:tcBorders>
          </w:tcPr>
          <w:p w14:paraId="7AC75340"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Asia</w:t>
            </w:r>
          </w:p>
        </w:tc>
        <w:tc>
          <w:tcPr>
            <w:tcW w:w="1186" w:type="dxa"/>
            <w:tcBorders>
              <w:top w:val="nil"/>
              <w:left w:val="nil"/>
              <w:bottom w:val="nil"/>
              <w:right w:val="nil"/>
            </w:tcBorders>
          </w:tcPr>
          <w:p w14:paraId="4BD1A846"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4531602B" w14:textId="48B21800"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0.0408</w:t>
            </w:r>
          </w:p>
        </w:tc>
        <w:tc>
          <w:tcPr>
            <w:tcW w:w="1186" w:type="dxa"/>
            <w:tcBorders>
              <w:top w:val="nil"/>
              <w:left w:val="nil"/>
              <w:bottom w:val="nil"/>
              <w:right w:val="nil"/>
            </w:tcBorders>
          </w:tcPr>
          <w:p w14:paraId="12432A30" w14:textId="12552C6E"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0.103</w:t>
            </w:r>
          </w:p>
        </w:tc>
        <w:tc>
          <w:tcPr>
            <w:tcW w:w="1294" w:type="dxa"/>
            <w:tcBorders>
              <w:top w:val="nil"/>
              <w:left w:val="nil"/>
              <w:bottom w:val="nil"/>
              <w:right w:val="nil"/>
            </w:tcBorders>
          </w:tcPr>
          <w:p w14:paraId="35B641BD"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2C04C262"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0.00963</w:t>
            </w:r>
          </w:p>
        </w:tc>
        <w:tc>
          <w:tcPr>
            <w:tcW w:w="1294" w:type="dxa"/>
            <w:tcBorders>
              <w:top w:val="nil"/>
              <w:left w:val="nil"/>
              <w:bottom w:val="nil"/>
              <w:right w:val="nil"/>
            </w:tcBorders>
          </w:tcPr>
          <w:p w14:paraId="4DA1F175"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0.00249</w:t>
            </w:r>
          </w:p>
        </w:tc>
      </w:tr>
      <w:tr w:rsidR="003F0879" w:rsidRPr="00C03199" w14:paraId="14714020" w14:textId="77777777" w:rsidTr="009007EC">
        <w:trPr>
          <w:trHeight w:val="264"/>
          <w:jc w:val="center"/>
        </w:trPr>
        <w:tc>
          <w:tcPr>
            <w:tcW w:w="1893" w:type="dxa"/>
            <w:tcBorders>
              <w:top w:val="nil"/>
              <w:left w:val="nil"/>
              <w:bottom w:val="nil"/>
              <w:right w:val="nil"/>
            </w:tcBorders>
          </w:tcPr>
          <w:p w14:paraId="4ADF67D6"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Rest of World</w:t>
            </w:r>
          </w:p>
        </w:tc>
        <w:tc>
          <w:tcPr>
            <w:tcW w:w="1186" w:type="dxa"/>
            <w:tcBorders>
              <w:top w:val="nil"/>
              <w:left w:val="nil"/>
              <w:bottom w:val="nil"/>
              <w:right w:val="nil"/>
            </w:tcBorders>
          </w:tcPr>
          <w:p w14:paraId="779F6424"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38D1AC65" w14:textId="6F21442E"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3F0879">
              <w:rPr>
                <w:rFonts w:ascii="Times New Roman" w:hAnsi="Times New Roman" w:cs="Times New Roman"/>
                <w:sz w:val="18"/>
                <w:szCs w:val="18"/>
              </w:rPr>
              <w:t>0.0462</w:t>
            </w:r>
          </w:p>
        </w:tc>
        <w:tc>
          <w:tcPr>
            <w:tcW w:w="1186" w:type="dxa"/>
            <w:tcBorders>
              <w:top w:val="nil"/>
              <w:left w:val="nil"/>
              <w:bottom w:val="nil"/>
              <w:right w:val="nil"/>
            </w:tcBorders>
          </w:tcPr>
          <w:p w14:paraId="5ECF6725" w14:textId="612FECF5"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-0.0694</w:t>
            </w:r>
          </w:p>
        </w:tc>
        <w:tc>
          <w:tcPr>
            <w:tcW w:w="1294" w:type="dxa"/>
            <w:tcBorders>
              <w:top w:val="nil"/>
              <w:left w:val="nil"/>
              <w:bottom w:val="nil"/>
              <w:right w:val="nil"/>
            </w:tcBorders>
          </w:tcPr>
          <w:p w14:paraId="55B4E915"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185EA106" w14:textId="6A4191A5"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3F0879">
              <w:rPr>
                <w:rFonts w:ascii="Times New Roman" w:hAnsi="Times New Roman" w:cs="Times New Roman"/>
                <w:sz w:val="18"/>
                <w:szCs w:val="18"/>
              </w:rPr>
              <w:t>0.0647</w:t>
            </w:r>
          </w:p>
        </w:tc>
        <w:tc>
          <w:tcPr>
            <w:tcW w:w="1294" w:type="dxa"/>
            <w:tcBorders>
              <w:top w:val="nil"/>
              <w:left w:val="nil"/>
              <w:bottom w:val="nil"/>
              <w:right w:val="nil"/>
            </w:tcBorders>
          </w:tcPr>
          <w:p w14:paraId="01542738" w14:textId="1127FEF3"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-0.0512</w:t>
            </w:r>
          </w:p>
        </w:tc>
      </w:tr>
      <w:tr w:rsidR="003F0879" w:rsidRPr="00C03199" w14:paraId="06BFE2CF" w14:textId="77777777" w:rsidTr="009007EC">
        <w:trPr>
          <w:trHeight w:val="264"/>
          <w:jc w:val="center"/>
        </w:trPr>
        <w:tc>
          <w:tcPr>
            <w:tcW w:w="1893" w:type="dxa"/>
            <w:tcBorders>
              <w:top w:val="nil"/>
              <w:left w:val="nil"/>
              <w:bottom w:val="nil"/>
              <w:right w:val="nil"/>
            </w:tcBorders>
          </w:tcPr>
          <w:p w14:paraId="57B5C89E"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Consumer Products </w:t>
            </w:r>
          </w:p>
        </w:tc>
        <w:tc>
          <w:tcPr>
            <w:tcW w:w="1186" w:type="dxa"/>
            <w:tcBorders>
              <w:top w:val="nil"/>
              <w:left w:val="nil"/>
              <w:bottom w:val="nil"/>
              <w:right w:val="nil"/>
            </w:tcBorders>
          </w:tcPr>
          <w:p w14:paraId="73DE3531"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2EAB8E97"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0689FF04" w14:textId="61E723C5"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0.117</w:t>
            </w:r>
          </w:p>
        </w:tc>
        <w:tc>
          <w:tcPr>
            <w:tcW w:w="1294" w:type="dxa"/>
            <w:tcBorders>
              <w:top w:val="nil"/>
              <w:left w:val="nil"/>
              <w:bottom w:val="nil"/>
              <w:right w:val="nil"/>
            </w:tcBorders>
          </w:tcPr>
          <w:p w14:paraId="7708ECDB"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2C737470"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6446AF4C" w14:textId="668FE70F"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0.0949**</w:t>
            </w:r>
          </w:p>
        </w:tc>
      </w:tr>
      <w:tr w:rsidR="003F0879" w:rsidRPr="00C03199" w14:paraId="3A70D138" w14:textId="77777777" w:rsidTr="009007EC">
        <w:trPr>
          <w:trHeight w:val="264"/>
          <w:jc w:val="center"/>
        </w:trPr>
        <w:tc>
          <w:tcPr>
            <w:tcW w:w="1893" w:type="dxa"/>
            <w:tcBorders>
              <w:top w:val="nil"/>
              <w:left w:val="nil"/>
              <w:bottom w:val="nil"/>
              <w:right w:val="nil"/>
            </w:tcBorders>
          </w:tcPr>
          <w:p w14:paraId="0A6CDDC5"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Consumer Staples</w:t>
            </w:r>
          </w:p>
        </w:tc>
        <w:tc>
          <w:tcPr>
            <w:tcW w:w="1186" w:type="dxa"/>
            <w:tcBorders>
              <w:top w:val="nil"/>
              <w:left w:val="nil"/>
              <w:bottom w:val="nil"/>
              <w:right w:val="nil"/>
            </w:tcBorders>
          </w:tcPr>
          <w:p w14:paraId="0D847562"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2D97E787"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3799DEFD" w14:textId="20EBB244"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0.101</w:t>
            </w:r>
          </w:p>
        </w:tc>
        <w:tc>
          <w:tcPr>
            <w:tcW w:w="1294" w:type="dxa"/>
            <w:tcBorders>
              <w:top w:val="nil"/>
              <w:left w:val="nil"/>
              <w:bottom w:val="nil"/>
              <w:right w:val="nil"/>
            </w:tcBorders>
          </w:tcPr>
          <w:p w14:paraId="250C6B8D"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6886B951"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13804201" w14:textId="35429D5E"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0.120</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3BC90738" w14:textId="77777777" w:rsidTr="009007EC">
        <w:trPr>
          <w:trHeight w:val="280"/>
          <w:jc w:val="center"/>
        </w:trPr>
        <w:tc>
          <w:tcPr>
            <w:tcW w:w="1893" w:type="dxa"/>
            <w:tcBorders>
              <w:top w:val="nil"/>
              <w:left w:val="nil"/>
              <w:bottom w:val="nil"/>
              <w:right w:val="nil"/>
            </w:tcBorders>
          </w:tcPr>
          <w:p w14:paraId="1517154F"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Energy &amp; Power</w:t>
            </w:r>
          </w:p>
        </w:tc>
        <w:tc>
          <w:tcPr>
            <w:tcW w:w="1186" w:type="dxa"/>
            <w:tcBorders>
              <w:top w:val="nil"/>
              <w:left w:val="nil"/>
              <w:bottom w:val="nil"/>
              <w:right w:val="nil"/>
            </w:tcBorders>
          </w:tcPr>
          <w:p w14:paraId="31992183"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5AA75FB4"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620F504F" w14:textId="588D855F"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0.0998</w:t>
            </w:r>
          </w:p>
        </w:tc>
        <w:tc>
          <w:tcPr>
            <w:tcW w:w="1294" w:type="dxa"/>
            <w:tcBorders>
              <w:top w:val="nil"/>
              <w:left w:val="nil"/>
              <w:bottom w:val="nil"/>
              <w:right w:val="nil"/>
            </w:tcBorders>
          </w:tcPr>
          <w:p w14:paraId="0088D154"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1BD322D7"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0DEC42BD" w14:textId="579BF5C4"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0.102</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24919669" w14:textId="77777777" w:rsidTr="009007EC">
        <w:trPr>
          <w:trHeight w:val="264"/>
          <w:jc w:val="center"/>
        </w:trPr>
        <w:tc>
          <w:tcPr>
            <w:tcW w:w="1893" w:type="dxa"/>
            <w:tcBorders>
              <w:top w:val="nil"/>
              <w:left w:val="nil"/>
              <w:bottom w:val="nil"/>
              <w:right w:val="nil"/>
            </w:tcBorders>
          </w:tcPr>
          <w:p w14:paraId="2A26B42B"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Health Care</w:t>
            </w:r>
          </w:p>
        </w:tc>
        <w:tc>
          <w:tcPr>
            <w:tcW w:w="1186" w:type="dxa"/>
            <w:tcBorders>
              <w:top w:val="nil"/>
              <w:left w:val="nil"/>
              <w:bottom w:val="nil"/>
              <w:right w:val="nil"/>
            </w:tcBorders>
          </w:tcPr>
          <w:p w14:paraId="29DA9610"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41BB9F61"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55DE3596" w14:textId="2ECA1540"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0.162</w:t>
            </w:r>
            <w:r w:rsidR="00883FBE">
              <w:rPr>
                <w:rFonts w:ascii="Times New Roman" w:hAnsi="Times New Roman" w:cs="Times New Roman"/>
                <w:sz w:val="18"/>
                <w:szCs w:val="18"/>
              </w:rPr>
              <w:t>0</w:t>
            </w:r>
          </w:p>
        </w:tc>
        <w:tc>
          <w:tcPr>
            <w:tcW w:w="1294" w:type="dxa"/>
            <w:tcBorders>
              <w:top w:val="nil"/>
              <w:left w:val="nil"/>
              <w:bottom w:val="nil"/>
              <w:right w:val="nil"/>
            </w:tcBorders>
          </w:tcPr>
          <w:p w14:paraId="48BAA42B"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3B38D5F2"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0E7473F7" w14:textId="15303925"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0.151</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314C534E" w14:textId="77777777" w:rsidTr="009007EC">
        <w:trPr>
          <w:trHeight w:val="264"/>
          <w:jc w:val="center"/>
        </w:trPr>
        <w:tc>
          <w:tcPr>
            <w:tcW w:w="1893" w:type="dxa"/>
            <w:tcBorders>
              <w:top w:val="nil"/>
              <w:left w:val="nil"/>
              <w:bottom w:val="nil"/>
              <w:right w:val="nil"/>
            </w:tcBorders>
          </w:tcPr>
          <w:p w14:paraId="0043FF28"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High-Tech</w:t>
            </w:r>
          </w:p>
        </w:tc>
        <w:tc>
          <w:tcPr>
            <w:tcW w:w="1186" w:type="dxa"/>
            <w:tcBorders>
              <w:top w:val="nil"/>
              <w:left w:val="nil"/>
              <w:bottom w:val="nil"/>
              <w:right w:val="nil"/>
            </w:tcBorders>
          </w:tcPr>
          <w:p w14:paraId="4BA0602C"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62964C21"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3AF3758A" w14:textId="199DFA31"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0.136</w:t>
            </w:r>
            <w:r w:rsidR="00883FBE">
              <w:rPr>
                <w:rFonts w:ascii="Times New Roman" w:hAnsi="Times New Roman" w:cs="Times New Roman"/>
                <w:sz w:val="18"/>
                <w:szCs w:val="18"/>
              </w:rPr>
              <w:t>0</w:t>
            </w:r>
          </w:p>
        </w:tc>
        <w:tc>
          <w:tcPr>
            <w:tcW w:w="1294" w:type="dxa"/>
            <w:tcBorders>
              <w:top w:val="nil"/>
              <w:left w:val="nil"/>
              <w:bottom w:val="nil"/>
              <w:right w:val="nil"/>
            </w:tcBorders>
          </w:tcPr>
          <w:p w14:paraId="28F10A06"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421A4852"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055537DA" w14:textId="760D0B38"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0.132</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44ABFCC8" w14:textId="77777777" w:rsidTr="009007EC">
        <w:trPr>
          <w:trHeight w:val="264"/>
          <w:jc w:val="center"/>
        </w:trPr>
        <w:tc>
          <w:tcPr>
            <w:tcW w:w="1893" w:type="dxa"/>
            <w:tcBorders>
              <w:top w:val="nil"/>
              <w:left w:val="nil"/>
              <w:bottom w:val="nil"/>
              <w:right w:val="nil"/>
            </w:tcBorders>
          </w:tcPr>
          <w:p w14:paraId="58249826"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Industrial</w:t>
            </w:r>
          </w:p>
        </w:tc>
        <w:tc>
          <w:tcPr>
            <w:tcW w:w="1186" w:type="dxa"/>
            <w:tcBorders>
              <w:top w:val="nil"/>
              <w:left w:val="nil"/>
              <w:bottom w:val="nil"/>
              <w:right w:val="nil"/>
            </w:tcBorders>
          </w:tcPr>
          <w:p w14:paraId="0EEDC838"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5326BAB9"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0FD635C2" w14:textId="5C93D748"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0.102</w:t>
            </w:r>
            <w:r w:rsidR="00883FBE">
              <w:rPr>
                <w:rFonts w:ascii="Times New Roman" w:hAnsi="Times New Roman" w:cs="Times New Roman"/>
                <w:sz w:val="18"/>
                <w:szCs w:val="18"/>
              </w:rPr>
              <w:t>0</w:t>
            </w:r>
          </w:p>
        </w:tc>
        <w:tc>
          <w:tcPr>
            <w:tcW w:w="1294" w:type="dxa"/>
            <w:tcBorders>
              <w:top w:val="nil"/>
              <w:left w:val="nil"/>
              <w:bottom w:val="nil"/>
              <w:right w:val="nil"/>
            </w:tcBorders>
          </w:tcPr>
          <w:p w14:paraId="27D91231"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4D9BBCEA"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6AAB320D" w14:textId="6D7447D2"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0.117</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4468D635" w14:textId="77777777" w:rsidTr="009007EC">
        <w:trPr>
          <w:trHeight w:val="280"/>
          <w:jc w:val="center"/>
        </w:trPr>
        <w:tc>
          <w:tcPr>
            <w:tcW w:w="1893" w:type="dxa"/>
            <w:tcBorders>
              <w:top w:val="nil"/>
              <w:left w:val="nil"/>
              <w:bottom w:val="nil"/>
              <w:right w:val="nil"/>
            </w:tcBorders>
          </w:tcPr>
          <w:p w14:paraId="150D5941"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Materials</w:t>
            </w:r>
          </w:p>
        </w:tc>
        <w:tc>
          <w:tcPr>
            <w:tcW w:w="1186" w:type="dxa"/>
            <w:tcBorders>
              <w:top w:val="nil"/>
              <w:left w:val="nil"/>
              <w:bottom w:val="nil"/>
              <w:right w:val="nil"/>
            </w:tcBorders>
          </w:tcPr>
          <w:p w14:paraId="3C25C8DD"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10978D3F"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21125DE4" w14:textId="60D83B58"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0.0965</w:t>
            </w:r>
          </w:p>
        </w:tc>
        <w:tc>
          <w:tcPr>
            <w:tcW w:w="1294" w:type="dxa"/>
            <w:tcBorders>
              <w:top w:val="nil"/>
              <w:left w:val="nil"/>
              <w:bottom w:val="nil"/>
              <w:right w:val="nil"/>
            </w:tcBorders>
          </w:tcPr>
          <w:p w14:paraId="58A8A98D"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597D6920"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3B36E7D6" w14:textId="20F43375"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0.107</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1403F325" w14:textId="77777777" w:rsidTr="009007EC">
        <w:trPr>
          <w:trHeight w:val="264"/>
          <w:jc w:val="center"/>
        </w:trPr>
        <w:tc>
          <w:tcPr>
            <w:tcW w:w="1893" w:type="dxa"/>
            <w:tcBorders>
              <w:top w:val="nil"/>
              <w:left w:val="nil"/>
              <w:bottom w:val="nil"/>
              <w:right w:val="nil"/>
            </w:tcBorders>
          </w:tcPr>
          <w:p w14:paraId="04EE8474"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M&amp;E</w:t>
            </w:r>
          </w:p>
        </w:tc>
        <w:tc>
          <w:tcPr>
            <w:tcW w:w="1186" w:type="dxa"/>
            <w:tcBorders>
              <w:top w:val="nil"/>
              <w:left w:val="nil"/>
              <w:bottom w:val="nil"/>
              <w:right w:val="nil"/>
            </w:tcBorders>
          </w:tcPr>
          <w:p w14:paraId="4D5BF769"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5C2F437F"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1C3D3C80" w14:textId="2EB6C8D0"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0.112</w:t>
            </w:r>
            <w:r w:rsidR="00883FBE">
              <w:rPr>
                <w:rFonts w:ascii="Times New Roman" w:hAnsi="Times New Roman" w:cs="Times New Roman"/>
                <w:sz w:val="18"/>
                <w:szCs w:val="18"/>
              </w:rPr>
              <w:t>0</w:t>
            </w:r>
          </w:p>
        </w:tc>
        <w:tc>
          <w:tcPr>
            <w:tcW w:w="1294" w:type="dxa"/>
            <w:tcBorders>
              <w:top w:val="nil"/>
              <w:left w:val="nil"/>
              <w:bottom w:val="nil"/>
              <w:right w:val="nil"/>
            </w:tcBorders>
          </w:tcPr>
          <w:p w14:paraId="7446BA69"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586A4C06"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00F36204" w14:textId="5366E632"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0.110</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5E607A50" w14:textId="77777777" w:rsidTr="009007EC">
        <w:trPr>
          <w:trHeight w:val="264"/>
          <w:jc w:val="center"/>
        </w:trPr>
        <w:tc>
          <w:tcPr>
            <w:tcW w:w="1893" w:type="dxa"/>
            <w:tcBorders>
              <w:top w:val="nil"/>
              <w:left w:val="nil"/>
              <w:bottom w:val="nil"/>
              <w:right w:val="nil"/>
            </w:tcBorders>
          </w:tcPr>
          <w:p w14:paraId="7693950D"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Retail</w:t>
            </w:r>
          </w:p>
        </w:tc>
        <w:tc>
          <w:tcPr>
            <w:tcW w:w="1186" w:type="dxa"/>
            <w:tcBorders>
              <w:top w:val="nil"/>
              <w:left w:val="nil"/>
              <w:bottom w:val="nil"/>
              <w:right w:val="nil"/>
            </w:tcBorders>
          </w:tcPr>
          <w:p w14:paraId="16CA0B6C"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6024FB7C"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05D0A84E" w14:textId="601A195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0.0638</w:t>
            </w:r>
          </w:p>
        </w:tc>
        <w:tc>
          <w:tcPr>
            <w:tcW w:w="1294" w:type="dxa"/>
            <w:tcBorders>
              <w:top w:val="nil"/>
              <w:left w:val="nil"/>
              <w:bottom w:val="nil"/>
              <w:right w:val="nil"/>
            </w:tcBorders>
          </w:tcPr>
          <w:p w14:paraId="30D56D29"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06C999E9"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7F223537" w14:textId="2D99EC13"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0.100</w:t>
            </w:r>
            <w:r w:rsidR="00883FBE">
              <w:rPr>
                <w:rFonts w:ascii="Times New Roman" w:hAnsi="Times New Roman" w:cs="Times New Roman"/>
                <w:sz w:val="18"/>
                <w:szCs w:val="18"/>
              </w:rPr>
              <w:t>0</w:t>
            </w:r>
            <w:r w:rsidRPr="003F0879">
              <w:rPr>
                <w:rFonts w:ascii="Times New Roman" w:hAnsi="Times New Roman" w:cs="Times New Roman"/>
                <w:sz w:val="18"/>
                <w:szCs w:val="18"/>
              </w:rPr>
              <w:t>**</w:t>
            </w:r>
          </w:p>
        </w:tc>
      </w:tr>
      <w:tr w:rsidR="003F0879" w:rsidRPr="00C03199" w14:paraId="098B4158" w14:textId="77777777" w:rsidTr="009007EC">
        <w:trPr>
          <w:trHeight w:val="264"/>
          <w:jc w:val="center"/>
        </w:trPr>
        <w:tc>
          <w:tcPr>
            <w:tcW w:w="1893" w:type="dxa"/>
            <w:tcBorders>
              <w:top w:val="nil"/>
              <w:left w:val="nil"/>
              <w:bottom w:val="nil"/>
              <w:right w:val="nil"/>
            </w:tcBorders>
          </w:tcPr>
          <w:p w14:paraId="3641284E" w14:textId="77777777" w:rsidR="003F0879" w:rsidRPr="00C03199" w:rsidRDefault="003F0879" w:rsidP="003F0879">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Telecommunications </w:t>
            </w:r>
          </w:p>
        </w:tc>
        <w:tc>
          <w:tcPr>
            <w:tcW w:w="1186" w:type="dxa"/>
            <w:tcBorders>
              <w:top w:val="nil"/>
              <w:left w:val="nil"/>
              <w:bottom w:val="nil"/>
              <w:right w:val="nil"/>
            </w:tcBorders>
          </w:tcPr>
          <w:p w14:paraId="7CB3F89F"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1F55E61F"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186" w:type="dxa"/>
            <w:tcBorders>
              <w:top w:val="nil"/>
              <w:left w:val="nil"/>
              <w:bottom w:val="nil"/>
              <w:right w:val="nil"/>
            </w:tcBorders>
          </w:tcPr>
          <w:p w14:paraId="3D69FE91" w14:textId="578810B8"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0.0604</w:t>
            </w:r>
          </w:p>
        </w:tc>
        <w:tc>
          <w:tcPr>
            <w:tcW w:w="1294" w:type="dxa"/>
            <w:tcBorders>
              <w:top w:val="nil"/>
              <w:left w:val="nil"/>
              <w:bottom w:val="nil"/>
              <w:right w:val="nil"/>
            </w:tcBorders>
          </w:tcPr>
          <w:p w14:paraId="2657C935"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10CEC981" w14:textId="77777777"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p>
        </w:tc>
        <w:tc>
          <w:tcPr>
            <w:tcW w:w="1294" w:type="dxa"/>
            <w:tcBorders>
              <w:top w:val="nil"/>
              <w:left w:val="nil"/>
              <w:bottom w:val="nil"/>
              <w:right w:val="nil"/>
            </w:tcBorders>
          </w:tcPr>
          <w:p w14:paraId="681505C5" w14:textId="2A44DC74" w:rsidR="003F0879" w:rsidRPr="00C03199" w:rsidRDefault="003F0879" w:rsidP="003F0879">
            <w:pPr>
              <w:widowControl w:val="0"/>
              <w:autoSpaceDE w:val="0"/>
              <w:autoSpaceDN w:val="0"/>
              <w:adjustRightInd w:val="0"/>
              <w:spacing w:after="0" w:line="240" w:lineRule="auto"/>
              <w:jc w:val="center"/>
              <w:rPr>
                <w:rFonts w:ascii="Times New Roman" w:hAnsi="Times New Roman" w:cs="Times New Roman"/>
                <w:sz w:val="18"/>
                <w:szCs w:val="18"/>
              </w:rPr>
            </w:pPr>
            <w:r w:rsidRPr="003F0879">
              <w:rPr>
                <w:rFonts w:ascii="Times New Roman" w:hAnsi="Times New Roman" w:cs="Times New Roman"/>
                <w:sz w:val="18"/>
                <w:szCs w:val="18"/>
              </w:rPr>
              <w:t>0.0897*</w:t>
            </w:r>
            <w:r w:rsidR="00883FBE">
              <w:rPr>
                <w:rFonts w:ascii="Times New Roman" w:hAnsi="Times New Roman" w:cs="Times New Roman"/>
                <w:sz w:val="18"/>
                <w:szCs w:val="18"/>
              </w:rPr>
              <w:t>*</w:t>
            </w:r>
          </w:p>
        </w:tc>
      </w:tr>
    </w:tbl>
    <w:p w14:paraId="5F62C72D" w14:textId="77777777" w:rsidR="00296A60" w:rsidRPr="00C03199" w:rsidRDefault="00296A60" w:rsidP="00883FBE">
      <w:pPr>
        <w:spacing w:after="0" w:line="360" w:lineRule="auto"/>
        <w:rPr>
          <w:rFonts w:ascii="Times New Roman" w:hAnsi="Times New Roman" w:cs="Times New Roman"/>
          <w:sz w:val="20"/>
          <w:szCs w:val="20"/>
        </w:rPr>
      </w:pPr>
    </w:p>
    <w:p w14:paraId="12D01F28" w14:textId="24E59566" w:rsidR="00296A60" w:rsidRPr="00C03199" w:rsidRDefault="00F1552D" w:rsidP="00296A60">
      <w:pPr>
        <w:spacing w:after="0" w:line="360" w:lineRule="auto"/>
        <w:jc w:val="center"/>
        <w:rPr>
          <w:rFonts w:ascii="Times New Roman" w:hAnsi="Times New Roman" w:cs="Times New Roman"/>
          <w:sz w:val="20"/>
          <w:szCs w:val="20"/>
        </w:rPr>
      </w:pPr>
      <w:r w:rsidRPr="00C03199">
        <w:rPr>
          <w:rFonts w:ascii="Times New Roman" w:hAnsi="Times New Roman" w:cs="Times New Roman"/>
          <w:sz w:val="20"/>
          <w:szCs w:val="20"/>
        </w:rPr>
        <w:t>Table 4</w:t>
      </w:r>
    </w:p>
    <w:p w14:paraId="5548014B" w14:textId="77777777" w:rsidR="00296A60" w:rsidRPr="00C03199" w:rsidRDefault="00296A60" w:rsidP="00296A60">
      <w:pPr>
        <w:spacing w:after="0" w:line="360" w:lineRule="auto"/>
        <w:jc w:val="center"/>
        <w:rPr>
          <w:rFonts w:ascii="Times New Roman" w:hAnsi="Times New Roman" w:cs="Times New Roman"/>
          <w:sz w:val="20"/>
          <w:szCs w:val="20"/>
        </w:rPr>
      </w:pPr>
      <w:r w:rsidRPr="00C03199">
        <w:rPr>
          <w:rFonts w:ascii="Times New Roman" w:hAnsi="Times New Roman" w:cs="Times New Roman"/>
          <w:sz w:val="20"/>
          <w:szCs w:val="20"/>
        </w:rPr>
        <w:t>Continued.</w:t>
      </w:r>
    </w:p>
    <w:p w14:paraId="46668A30" w14:textId="77777777" w:rsidR="00296A60" w:rsidRPr="00C03199" w:rsidRDefault="00296A60" w:rsidP="00296A60">
      <w:pPr>
        <w:spacing w:after="0" w:line="360" w:lineRule="auto"/>
        <w:jc w:val="both"/>
        <w:rPr>
          <w:rFonts w:ascii="Times New Roman" w:hAnsi="Times New Roman" w:cs="Times New Roman"/>
          <w:noProof/>
          <w:sz w:val="20"/>
          <w:szCs w:val="20"/>
        </w:rPr>
      </w:pPr>
      <w:r w:rsidRPr="00C03199">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3F114C5B" wp14:editId="532F1B91">
                <wp:simplePos x="0" y="0"/>
                <wp:positionH relativeFrom="margin">
                  <wp:align>left</wp:align>
                </wp:positionH>
                <wp:positionV relativeFrom="paragraph">
                  <wp:posOffset>46879</wp:posOffset>
                </wp:positionV>
                <wp:extent cx="5788550" cy="0"/>
                <wp:effectExtent l="0" t="0" r="22225" b="19050"/>
                <wp:wrapNone/>
                <wp:docPr id="15" name="Straight Connector 15"/>
                <wp:cNvGraphicFramePr/>
                <a:graphic xmlns:a="http://schemas.openxmlformats.org/drawingml/2006/main">
                  <a:graphicData uri="http://schemas.microsoft.com/office/word/2010/wordprocessingShape">
                    <wps:wsp>
                      <wps:cNvCnPr/>
                      <wps:spPr>
                        <a:xfrm>
                          <a:off x="0" y="0"/>
                          <a:ext cx="5788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2E20F" id="Straight Connector 15" o:spid="_x0000_s1026" style="position:absolute;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pt" to="455.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DvzgEAAPkDAAAOAAAAZHJzL2Uyb0RvYy54bWysU8GO0zAQvSPxD5bvNOlKhSpquoeulgta&#10;KhY+wOvYjYXtscbeJv17xk6bVoAQQlwmGXvem3kz48396Cw7KowGfMuXi5oz5SV0xh9a/u3r47s1&#10;ZzEJ3wkLXrX8pCK/3759sxlCo+6gB9spZETiYzOElvcphaaqouyVE3EBQXm61IBOJHLxUHUoBmJ3&#10;trqr6/fVANgFBKlipNOH6ZJvC7/WSqbPWkeVmG051ZaKxWJfsq22G9EcUITeyHMZ4h+qcMJ4SjpT&#10;PYgk2CuaX6ickQgRdFpIcBVobaQqGkjNsv5JzXMvgipaqDkxzG2K/49WPh33yExHs1tx5oWjGT0n&#10;FObQJ7YD76mDgIwuqVNDiA0Bdn6PZy+GPWbZo0aXvySIjaW7p7m7akxM0uHqw3q9WtEQ5OWuugID&#10;xvRRgWP5p+XW+CxcNOL4KSZKRqGXkHxsfbYRrOkejbXFySujdhbZUdCw07jMJRPuJoq8jKyykKn0&#10;8pdOVk2sX5SmZlCxy5K9rOGVs/t+4bSeIjNEU/YZVP8ZdI7NMFVW82+Bc3TJCD7NQGc84O+yXuXr&#10;Kf6ietKaZb9AdyqDLO2g/SrdOr+FvMC3foFfX+z2BwAAAP//AwBQSwMEFAAGAAgAAAAhAHawKo7b&#10;AAAABAEAAA8AAABkcnMvZG93bnJldi54bWxMj81OwzAQhO9IvIO1SFxQ64SfACFOhSL1wgGJBlU9&#10;uvE2jojXUew26duzcIHjaEYz3xSr2fXihGPoPClIlwkIpMabjloFn/V68QQiRE1G955QwRkDrMrL&#10;i0Lnxk/0gadNbAWXUMi1AhvjkEsZGotOh6UfkNg7+NHpyHJspRn1xOWul7dJkkmnO+IFqwesLDZf&#10;m6NTsGtv7tbbmuqpiu+HzM7n7dtDpdT11fz6AiLiHP/C8IPP6FAy094fyQTRK+AjUcHjPQg2n9M0&#10;A7H/1bIs5H/48hsAAP//AwBQSwECLQAUAAYACAAAACEAtoM4kv4AAADhAQAAEwAAAAAAAAAAAAAA&#10;AAAAAAAAW0NvbnRlbnRfVHlwZXNdLnhtbFBLAQItABQABgAIAAAAIQA4/SH/1gAAAJQBAAALAAAA&#10;AAAAAAAAAAAAAC8BAABfcmVscy8ucmVsc1BLAQItABQABgAIAAAAIQBt9FDvzgEAAPkDAAAOAAAA&#10;AAAAAAAAAAAAAC4CAABkcnMvZTJvRG9jLnhtbFBLAQItABQABgAIAAAAIQB2sCqO2wAAAAQBAAAP&#10;AAAAAAAAAAAAAAAAACgEAABkcnMvZG93bnJldi54bWxQSwUGAAAAAAQABADzAAAAMAUAAAAA&#10;" strokecolor="black [3213]" strokeweight=".5pt">
                <v:stroke joinstyle="miter"/>
                <w10:wrap anchorx="margin"/>
              </v:line>
            </w:pict>
          </mc:Fallback>
        </mc:AlternateContent>
      </w:r>
      <w:r w:rsidRPr="00C03199">
        <w:rPr>
          <w:rFonts w:ascii="Times New Roman" w:hAnsi="Times New Roman" w:cs="Times New Roman"/>
        </w:rPr>
        <w:tab/>
      </w:r>
    </w:p>
    <w:tbl>
      <w:tblPr>
        <w:tblW w:w="9112" w:type="dxa"/>
        <w:tblLayout w:type="fixed"/>
        <w:tblCellMar>
          <w:left w:w="75" w:type="dxa"/>
          <w:right w:w="75" w:type="dxa"/>
        </w:tblCellMar>
        <w:tblLook w:val="0000" w:firstRow="0" w:lastRow="0" w:firstColumn="0" w:lastColumn="0" w:noHBand="0" w:noVBand="0"/>
      </w:tblPr>
      <w:tblGrid>
        <w:gridCol w:w="1912"/>
        <w:gridCol w:w="1200"/>
        <w:gridCol w:w="1200"/>
        <w:gridCol w:w="1200"/>
        <w:gridCol w:w="1200"/>
        <w:gridCol w:w="1200"/>
        <w:gridCol w:w="1200"/>
      </w:tblGrid>
      <w:tr w:rsidR="00296A60" w:rsidRPr="00C03199" w14:paraId="3F1F24B2" w14:textId="77777777" w:rsidTr="00A55327">
        <w:trPr>
          <w:trHeight w:val="273"/>
        </w:trPr>
        <w:tc>
          <w:tcPr>
            <w:tcW w:w="1912" w:type="dxa"/>
            <w:tcBorders>
              <w:top w:val="nil"/>
              <w:left w:val="nil"/>
              <w:bottom w:val="nil"/>
              <w:right w:val="nil"/>
            </w:tcBorders>
          </w:tcPr>
          <w:p w14:paraId="66D03B83"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Event window</w:t>
            </w:r>
          </w:p>
        </w:tc>
        <w:tc>
          <w:tcPr>
            <w:tcW w:w="1200" w:type="dxa"/>
            <w:tcBorders>
              <w:top w:val="nil"/>
              <w:left w:val="nil"/>
              <w:bottom w:val="nil"/>
              <w:right w:val="nil"/>
            </w:tcBorders>
          </w:tcPr>
          <w:p w14:paraId="5D87F5E4"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43F11BD9"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13C61C84"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3240AEC6"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 +5</w:t>
            </w:r>
          </w:p>
        </w:tc>
        <w:tc>
          <w:tcPr>
            <w:tcW w:w="1200" w:type="dxa"/>
            <w:tcBorders>
              <w:top w:val="nil"/>
              <w:left w:val="nil"/>
              <w:bottom w:val="nil"/>
              <w:right w:val="nil"/>
            </w:tcBorders>
          </w:tcPr>
          <w:p w14:paraId="767DABF5"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c>
          <w:tcPr>
            <w:tcW w:w="1200" w:type="dxa"/>
            <w:tcBorders>
              <w:top w:val="nil"/>
              <w:left w:val="nil"/>
              <w:bottom w:val="nil"/>
              <w:right w:val="nil"/>
            </w:tcBorders>
          </w:tcPr>
          <w:p w14:paraId="4E3AC187"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r>
      <w:tr w:rsidR="00296A60" w:rsidRPr="00C03199" w14:paraId="6873D723" w14:textId="77777777" w:rsidTr="00A55327">
        <w:trPr>
          <w:trHeight w:val="273"/>
        </w:trPr>
        <w:tc>
          <w:tcPr>
            <w:tcW w:w="1912" w:type="dxa"/>
            <w:tcBorders>
              <w:top w:val="nil"/>
              <w:left w:val="nil"/>
              <w:bottom w:val="single" w:sz="6" w:space="0" w:color="auto"/>
              <w:right w:val="nil"/>
            </w:tcBorders>
          </w:tcPr>
          <w:p w14:paraId="28CF9389" w14:textId="77777777" w:rsidR="00296A60" w:rsidRPr="00C03199" w:rsidRDefault="00296A60" w:rsidP="00A55327">
            <w:pPr>
              <w:widowControl w:val="0"/>
              <w:autoSpaceDE w:val="0"/>
              <w:autoSpaceDN w:val="0"/>
              <w:adjustRightInd w:val="0"/>
              <w:spacing w:after="0" w:line="240" w:lineRule="auto"/>
              <w:rPr>
                <w:rFonts w:ascii="Times New Roman" w:hAnsi="Times New Roman" w:cs="Times New Roman"/>
                <w:sz w:val="18"/>
                <w:szCs w:val="24"/>
              </w:rPr>
            </w:pPr>
          </w:p>
        </w:tc>
        <w:tc>
          <w:tcPr>
            <w:tcW w:w="1200" w:type="dxa"/>
            <w:tcBorders>
              <w:top w:val="nil"/>
              <w:left w:val="nil"/>
              <w:bottom w:val="single" w:sz="6" w:space="0" w:color="auto"/>
              <w:right w:val="nil"/>
            </w:tcBorders>
          </w:tcPr>
          <w:p w14:paraId="3E5BC490" w14:textId="77777777" w:rsidR="00296A60" w:rsidRPr="00C03199" w:rsidRDefault="00296A60" w:rsidP="00A55327">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6190A153" w14:textId="77777777" w:rsidR="00296A60" w:rsidRPr="00C03199" w:rsidRDefault="00296A60" w:rsidP="00A55327">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0489E544" w14:textId="77777777" w:rsidR="00296A60" w:rsidRPr="00C03199" w:rsidRDefault="00296A60" w:rsidP="00A55327">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c>
          <w:tcPr>
            <w:tcW w:w="1200" w:type="dxa"/>
            <w:tcBorders>
              <w:top w:val="nil"/>
              <w:left w:val="nil"/>
              <w:bottom w:val="single" w:sz="6" w:space="0" w:color="auto"/>
              <w:right w:val="nil"/>
            </w:tcBorders>
          </w:tcPr>
          <w:p w14:paraId="392D1BB3" w14:textId="77777777" w:rsidR="00296A60" w:rsidRPr="00C03199" w:rsidRDefault="00296A60" w:rsidP="00A55327">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128C6C22" w14:textId="77777777" w:rsidR="00296A60" w:rsidRPr="00C03199" w:rsidRDefault="00296A60" w:rsidP="00A55327">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301D207B" w14:textId="77777777" w:rsidR="00296A60" w:rsidRPr="00C03199" w:rsidRDefault="00296A60" w:rsidP="00A55327">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r>
    </w:tbl>
    <w:p w14:paraId="669441CC" w14:textId="77777777" w:rsidR="00296A60" w:rsidRPr="00C03199" w:rsidRDefault="00296A60" w:rsidP="00296A60">
      <w:pPr>
        <w:spacing w:after="0" w:line="240" w:lineRule="auto"/>
        <w:rPr>
          <w:rFonts w:ascii="Times New Roman" w:hAnsi="Times New Roman" w:cs="Times New Roman"/>
        </w:rPr>
      </w:pPr>
    </w:p>
    <w:tbl>
      <w:tblPr>
        <w:tblW w:w="9291" w:type="dxa"/>
        <w:jc w:val="center"/>
        <w:tblLayout w:type="fixed"/>
        <w:tblCellMar>
          <w:left w:w="75" w:type="dxa"/>
          <w:right w:w="75" w:type="dxa"/>
        </w:tblCellMar>
        <w:tblLook w:val="0000" w:firstRow="0" w:lastRow="0" w:firstColumn="0" w:lastColumn="0" w:noHBand="0" w:noVBand="0"/>
      </w:tblPr>
      <w:tblGrid>
        <w:gridCol w:w="1884"/>
        <w:gridCol w:w="1181"/>
        <w:gridCol w:w="1181"/>
        <w:gridCol w:w="1181"/>
        <w:gridCol w:w="1288"/>
        <w:gridCol w:w="1288"/>
        <w:gridCol w:w="1288"/>
      </w:tblGrid>
      <w:tr w:rsidR="00E12C3D" w:rsidRPr="00C03199" w14:paraId="0C466998" w14:textId="77777777" w:rsidTr="00422382">
        <w:trPr>
          <w:trHeight w:val="283"/>
          <w:jc w:val="center"/>
        </w:trPr>
        <w:tc>
          <w:tcPr>
            <w:tcW w:w="1884" w:type="dxa"/>
            <w:tcBorders>
              <w:top w:val="nil"/>
              <w:left w:val="nil"/>
              <w:bottom w:val="nil"/>
              <w:right w:val="nil"/>
            </w:tcBorders>
          </w:tcPr>
          <w:p w14:paraId="5E2CE975" w14:textId="081169F1" w:rsidR="00E12C3D" w:rsidRPr="00C03199" w:rsidRDefault="00E12C3D" w:rsidP="009F59B7">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009F59B7">
              <w:rPr>
                <w:rFonts w:ascii="Times New Roman" w:hAnsi="Times New Roman" w:cs="Times New Roman"/>
                <w:sz w:val="18"/>
                <w:szCs w:val="18"/>
              </w:rPr>
              <w:t xml:space="preserve">Real estate </w:t>
            </w:r>
          </w:p>
        </w:tc>
        <w:tc>
          <w:tcPr>
            <w:tcW w:w="1181" w:type="dxa"/>
            <w:tcBorders>
              <w:top w:val="nil"/>
              <w:left w:val="nil"/>
              <w:bottom w:val="nil"/>
              <w:right w:val="nil"/>
            </w:tcBorders>
          </w:tcPr>
          <w:p w14:paraId="7C051042" w14:textId="77777777" w:rsidR="00E12C3D" w:rsidRDefault="00E12C3D" w:rsidP="003652F1">
            <w:pPr>
              <w:widowControl w:val="0"/>
              <w:autoSpaceDE w:val="0"/>
              <w:autoSpaceDN w:val="0"/>
              <w:adjustRightInd w:val="0"/>
              <w:spacing w:after="0" w:line="240" w:lineRule="auto"/>
              <w:jc w:val="center"/>
              <w:rPr>
                <w:rFonts w:ascii="Times New Roman" w:hAnsi="Times New Roman" w:cs="Times New Roman"/>
                <w:sz w:val="18"/>
                <w:szCs w:val="18"/>
              </w:rPr>
            </w:pPr>
          </w:p>
        </w:tc>
        <w:tc>
          <w:tcPr>
            <w:tcW w:w="1181" w:type="dxa"/>
            <w:tcBorders>
              <w:top w:val="nil"/>
              <w:left w:val="nil"/>
              <w:bottom w:val="nil"/>
              <w:right w:val="nil"/>
            </w:tcBorders>
          </w:tcPr>
          <w:p w14:paraId="694D9D40" w14:textId="77777777" w:rsidR="00E12C3D" w:rsidRDefault="00E12C3D" w:rsidP="003652F1">
            <w:pPr>
              <w:widowControl w:val="0"/>
              <w:autoSpaceDE w:val="0"/>
              <w:autoSpaceDN w:val="0"/>
              <w:adjustRightInd w:val="0"/>
              <w:spacing w:after="0" w:line="240" w:lineRule="auto"/>
              <w:jc w:val="center"/>
              <w:rPr>
                <w:rFonts w:ascii="Times New Roman" w:hAnsi="Times New Roman" w:cs="Times New Roman"/>
                <w:sz w:val="18"/>
                <w:szCs w:val="18"/>
              </w:rPr>
            </w:pPr>
          </w:p>
        </w:tc>
        <w:tc>
          <w:tcPr>
            <w:tcW w:w="1181" w:type="dxa"/>
            <w:tcBorders>
              <w:top w:val="nil"/>
              <w:left w:val="nil"/>
              <w:bottom w:val="nil"/>
              <w:right w:val="nil"/>
            </w:tcBorders>
          </w:tcPr>
          <w:p w14:paraId="61968208" w14:textId="7FA3B301" w:rsidR="00E12C3D" w:rsidRDefault="00E12C3D"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0.0638</w:t>
            </w:r>
          </w:p>
        </w:tc>
        <w:tc>
          <w:tcPr>
            <w:tcW w:w="1288" w:type="dxa"/>
            <w:tcBorders>
              <w:top w:val="nil"/>
              <w:left w:val="nil"/>
              <w:bottom w:val="nil"/>
              <w:right w:val="nil"/>
            </w:tcBorders>
          </w:tcPr>
          <w:p w14:paraId="66074851" w14:textId="77777777" w:rsidR="00E12C3D" w:rsidRDefault="00E12C3D" w:rsidP="003652F1">
            <w:pPr>
              <w:widowControl w:val="0"/>
              <w:autoSpaceDE w:val="0"/>
              <w:autoSpaceDN w:val="0"/>
              <w:adjustRightInd w:val="0"/>
              <w:spacing w:after="0" w:line="240" w:lineRule="auto"/>
              <w:jc w:val="center"/>
              <w:rPr>
                <w:rFonts w:ascii="Times New Roman" w:hAnsi="Times New Roman" w:cs="Times New Roman"/>
                <w:sz w:val="18"/>
                <w:szCs w:val="18"/>
              </w:rPr>
            </w:pPr>
          </w:p>
        </w:tc>
        <w:tc>
          <w:tcPr>
            <w:tcW w:w="1288" w:type="dxa"/>
            <w:tcBorders>
              <w:top w:val="nil"/>
              <w:left w:val="nil"/>
              <w:bottom w:val="nil"/>
              <w:right w:val="nil"/>
            </w:tcBorders>
          </w:tcPr>
          <w:p w14:paraId="406E3C58" w14:textId="77777777" w:rsidR="00E12C3D" w:rsidRDefault="00E12C3D" w:rsidP="003652F1">
            <w:pPr>
              <w:widowControl w:val="0"/>
              <w:autoSpaceDE w:val="0"/>
              <w:autoSpaceDN w:val="0"/>
              <w:adjustRightInd w:val="0"/>
              <w:spacing w:after="0" w:line="240" w:lineRule="auto"/>
              <w:jc w:val="center"/>
              <w:rPr>
                <w:rFonts w:ascii="Times New Roman" w:hAnsi="Times New Roman" w:cs="Times New Roman"/>
                <w:sz w:val="18"/>
                <w:szCs w:val="18"/>
              </w:rPr>
            </w:pPr>
          </w:p>
        </w:tc>
        <w:tc>
          <w:tcPr>
            <w:tcW w:w="1288" w:type="dxa"/>
            <w:tcBorders>
              <w:top w:val="nil"/>
              <w:left w:val="nil"/>
              <w:bottom w:val="nil"/>
              <w:right w:val="nil"/>
            </w:tcBorders>
          </w:tcPr>
          <w:p w14:paraId="600DCB8A" w14:textId="46171849" w:rsidR="00E12C3D" w:rsidRDefault="00E12C3D"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0.1000***</w:t>
            </w:r>
          </w:p>
        </w:tc>
      </w:tr>
      <w:tr w:rsidR="003652F1" w:rsidRPr="00C03199" w14:paraId="50E32458" w14:textId="77777777" w:rsidTr="00422382">
        <w:trPr>
          <w:trHeight w:val="283"/>
          <w:jc w:val="center"/>
        </w:trPr>
        <w:tc>
          <w:tcPr>
            <w:tcW w:w="1884" w:type="dxa"/>
            <w:tcBorders>
              <w:top w:val="nil"/>
              <w:left w:val="nil"/>
              <w:bottom w:val="nil"/>
              <w:right w:val="nil"/>
            </w:tcBorders>
          </w:tcPr>
          <w:p w14:paraId="3E567A3A" w14:textId="77777777" w:rsidR="003652F1" w:rsidRPr="00C03199" w:rsidRDefault="003652F1" w:rsidP="003652F1">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Constant</w:t>
            </w:r>
          </w:p>
        </w:tc>
        <w:tc>
          <w:tcPr>
            <w:tcW w:w="1181" w:type="dxa"/>
            <w:tcBorders>
              <w:top w:val="nil"/>
              <w:left w:val="nil"/>
              <w:bottom w:val="nil"/>
              <w:right w:val="nil"/>
            </w:tcBorders>
          </w:tcPr>
          <w:p w14:paraId="169BD1D3" w14:textId="40E1D42A" w:rsidR="003652F1" w:rsidRPr="00C03199" w:rsidRDefault="003652F1"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181" w:type="dxa"/>
            <w:tcBorders>
              <w:top w:val="nil"/>
              <w:left w:val="nil"/>
              <w:bottom w:val="nil"/>
              <w:right w:val="nil"/>
            </w:tcBorders>
          </w:tcPr>
          <w:p w14:paraId="72CD3B74" w14:textId="7DEEF6F9" w:rsidR="003652F1" w:rsidRPr="00C03199" w:rsidRDefault="003652F1"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181" w:type="dxa"/>
            <w:tcBorders>
              <w:top w:val="nil"/>
              <w:left w:val="nil"/>
              <w:bottom w:val="nil"/>
              <w:right w:val="nil"/>
            </w:tcBorders>
          </w:tcPr>
          <w:p w14:paraId="466ECCFF" w14:textId="62ECB250" w:rsidR="003652F1" w:rsidRPr="00C03199" w:rsidRDefault="003652F1"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88" w:type="dxa"/>
            <w:tcBorders>
              <w:top w:val="nil"/>
              <w:left w:val="nil"/>
              <w:bottom w:val="nil"/>
              <w:right w:val="nil"/>
            </w:tcBorders>
          </w:tcPr>
          <w:p w14:paraId="23BB3638" w14:textId="0C50FC68" w:rsidR="003652F1" w:rsidRPr="00C03199" w:rsidRDefault="003652F1"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88" w:type="dxa"/>
            <w:tcBorders>
              <w:top w:val="nil"/>
              <w:left w:val="nil"/>
              <w:bottom w:val="nil"/>
              <w:right w:val="nil"/>
            </w:tcBorders>
          </w:tcPr>
          <w:p w14:paraId="601BC52E" w14:textId="3E594CFC" w:rsidR="003652F1" w:rsidRPr="00C03199" w:rsidRDefault="003652F1"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88" w:type="dxa"/>
            <w:tcBorders>
              <w:top w:val="nil"/>
              <w:left w:val="nil"/>
              <w:bottom w:val="nil"/>
              <w:right w:val="nil"/>
            </w:tcBorders>
          </w:tcPr>
          <w:p w14:paraId="24685073" w14:textId="335C26E1" w:rsidR="003652F1" w:rsidRPr="00C03199" w:rsidRDefault="003652F1" w:rsidP="003652F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r>
      <w:tr w:rsidR="001C1B62" w:rsidRPr="00C03199" w14:paraId="7AAEC3FD" w14:textId="77777777" w:rsidTr="00422382">
        <w:trPr>
          <w:trHeight w:val="267"/>
          <w:jc w:val="center"/>
        </w:trPr>
        <w:tc>
          <w:tcPr>
            <w:tcW w:w="1884" w:type="dxa"/>
            <w:tcBorders>
              <w:top w:val="nil"/>
              <w:left w:val="nil"/>
              <w:bottom w:val="nil"/>
              <w:right w:val="nil"/>
            </w:tcBorders>
          </w:tcPr>
          <w:p w14:paraId="34F61245"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Observations</w:t>
            </w:r>
          </w:p>
        </w:tc>
        <w:tc>
          <w:tcPr>
            <w:tcW w:w="1181" w:type="dxa"/>
            <w:tcBorders>
              <w:top w:val="nil"/>
              <w:left w:val="nil"/>
              <w:bottom w:val="nil"/>
              <w:right w:val="nil"/>
            </w:tcBorders>
          </w:tcPr>
          <w:p w14:paraId="5F27B3C9"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1,089</w:t>
            </w:r>
          </w:p>
        </w:tc>
        <w:tc>
          <w:tcPr>
            <w:tcW w:w="1181" w:type="dxa"/>
            <w:tcBorders>
              <w:top w:val="nil"/>
              <w:left w:val="nil"/>
              <w:bottom w:val="nil"/>
              <w:right w:val="nil"/>
            </w:tcBorders>
          </w:tcPr>
          <w:p w14:paraId="1129143E"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1,089</w:t>
            </w:r>
          </w:p>
        </w:tc>
        <w:tc>
          <w:tcPr>
            <w:tcW w:w="1181" w:type="dxa"/>
            <w:tcBorders>
              <w:top w:val="nil"/>
              <w:left w:val="nil"/>
              <w:bottom w:val="nil"/>
              <w:right w:val="nil"/>
            </w:tcBorders>
          </w:tcPr>
          <w:p w14:paraId="6FFA496A"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1,089</w:t>
            </w:r>
          </w:p>
        </w:tc>
        <w:tc>
          <w:tcPr>
            <w:tcW w:w="1288" w:type="dxa"/>
            <w:tcBorders>
              <w:top w:val="nil"/>
              <w:left w:val="nil"/>
              <w:bottom w:val="nil"/>
              <w:right w:val="nil"/>
            </w:tcBorders>
          </w:tcPr>
          <w:p w14:paraId="6FDF5EDE"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1,089</w:t>
            </w:r>
          </w:p>
        </w:tc>
        <w:tc>
          <w:tcPr>
            <w:tcW w:w="1288" w:type="dxa"/>
            <w:tcBorders>
              <w:top w:val="nil"/>
              <w:left w:val="nil"/>
              <w:bottom w:val="nil"/>
              <w:right w:val="nil"/>
            </w:tcBorders>
          </w:tcPr>
          <w:p w14:paraId="6747521F"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1,089</w:t>
            </w:r>
          </w:p>
        </w:tc>
        <w:tc>
          <w:tcPr>
            <w:tcW w:w="1288" w:type="dxa"/>
            <w:tcBorders>
              <w:top w:val="nil"/>
              <w:left w:val="nil"/>
              <w:bottom w:val="nil"/>
              <w:right w:val="nil"/>
            </w:tcBorders>
          </w:tcPr>
          <w:p w14:paraId="3626699F"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1,089</w:t>
            </w:r>
          </w:p>
        </w:tc>
      </w:tr>
      <w:tr w:rsidR="001C1B62" w:rsidRPr="00C03199" w14:paraId="186CBE1B" w14:textId="77777777" w:rsidTr="00422382">
        <w:tblPrEx>
          <w:tblBorders>
            <w:bottom w:val="single" w:sz="6" w:space="0" w:color="auto"/>
          </w:tblBorders>
        </w:tblPrEx>
        <w:trPr>
          <w:trHeight w:val="267"/>
          <w:jc w:val="center"/>
        </w:trPr>
        <w:tc>
          <w:tcPr>
            <w:tcW w:w="1884" w:type="dxa"/>
            <w:tcBorders>
              <w:top w:val="nil"/>
              <w:left w:val="nil"/>
              <w:bottom w:val="nil"/>
              <w:right w:val="nil"/>
            </w:tcBorders>
          </w:tcPr>
          <w:p w14:paraId="1DA1A8D7" w14:textId="77777777" w:rsidR="001C1B62" w:rsidRPr="00C03199" w:rsidRDefault="001C1B62" w:rsidP="00422382">
            <w:pPr>
              <w:widowControl w:val="0"/>
              <w:autoSpaceDE w:val="0"/>
              <w:autoSpaceDN w:val="0"/>
              <w:adjustRightInd w:val="0"/>
              <w:spacing w:after="0" w:line="240" w:lineRule="auto"/>
              <w:rPr>
                <w:rFonts w:ascii="Times New Roman" w:eastAsiaTheme="minorEastAsia" w:hAnsi="Times New Roman" w:cs="Times New Roman"/>
                <w:sz w:val="18"/>
                <w:szCs w:val="18"/>
              </w:rPr>
            </w:pPr>
            <w:r w:rsidRPr="00C03199">
              <w:rPr>
                <w:rFonts w:ascii="Times New Roman" w:hAnsi="Times New Roman" w:cs="Times New Roman"/>
                <w:sz w:val="18"/>
                <w:szCs w:val="18"/>
              </w:rPr>
              <w:t xml:space="preserve">  Adjusted </w:t>
            </w:r>
            <m:oMath>
              <m:sSup>
                <m:sSupPr>
                  <m:ctrlPr>
                    <w:rPr>
                      <w:rFonts w:ascii="Cambria Math" w:hAnsi="Cambria Math" w:cs="Times New Roman"/>
                      <w:i/>
                      <w:sz w:val="18"/>
                      <w:szCs w:val="18"/>
                    </w:rPr>
                  </m:ctrlPr>
                </m:sSupPr>
                <m:e>
                  <m:r>
                    <w:rPr>
                      <w:rFonts w:ascii="Cambria Math" w:hAnsi="Cambria Math" w:cs="Times New Roman"/>
                      <w:sz w:val="18"/>
                      <w:szCs w:val="18"/>
                    </w:rPr>
                    <m:t>R</m:t>
                  </m:r>
                </m:e>
                <m:sup>
                  <m:r>
                    <w:rPr>
                      <w:rFonts w:ascii="Cambria Math" w:hAnsi="Cambria Math" w:cs="Times New Roman"/>
                      <w:sz w:val="18"/>
                      <w:szCs w:val="18"/>
                    </w:rPr>
                    <m:t>2</m:t>
                  </m:r>
                </m:sup>
              </m:sSup>
            </m:oMath>
          </w:p>
          <w:p w14:paraId="5DD6F12F" w14:textId="77777777" w:rsidR="001C1B62" w:rsidRPr="00C03199" w:rsidRDefault="001C1B62" w:rsidP="00422382">
            <w:pPr>
              <w:widowControl w:val="0"/>
              <w:autoSpaceDE w:val="0"/>
              <w:autoSpaceDN w:val="0"/>
              <w:adjustRightInd w:val="0"/>
              <w:spacing w:after="0" w:line="240" w:lineRule="auto"/>
              <w:rPr>
                <w:rFonts w:ascii="Times New Roman" w:eastAsiaTheme="minorEastAsia" w:hAnsi="Times New Roman" w:cs="Times New Roman"/>
                <w:sz w:val="18"/>
                <w:szCs w:val="18"/>
              </w:rPr>
            </w:pPr>
            <w:r w:rsidRPr="00C03199">
              <w:rPr>
                <w:rFonts w:ascii="Times New Roman" w:eastAsiaTheme="minorEastAsia" w:hAnsi="Times New Roman" w:cs="Times New Roman"/>
                <w:sz w:val="18"/>
                <w:szCs w:val="18"/>
              </w:rPr>
              <w:t xml:space="preserve">  F-value</w:t>
            </w:r>
          </w:p>
          <w:p w14:paraId="19EF70F1" w14:textId="77777777" w:rsidR="001C1B62" w:rsidRPr="00C03199" w:rsidRDefault="001C1B62" w:rsidP="00422382">
            <w:pPr>
              <w:spacing w:after="0" w:line="240" w:lineRule="auto"/>
              <w:rPr>
                <w:rFonts w:ascii="Times New Roman" w:eastAsiaTheme="minorEastAsia" w:hAnsi="Times New Roman" w:cs="Times New Roman"/>
                <w:sz w:val="18"/>
                <w:szCs w:val="18"/>
              </w:rPr>
            </w:pPr>
            <w:r w:rsidRPr="00C03199">
              <w:rPr>
                <w:rFonts w:ascii="Times New Roman" w:eastAsiaTheme="minorEastAsia" w:hAnsi="Times New Roman" w:cs="Times New Roman"/>
                <w:sz w:val="18"/>
                <w:szCs w:val="18"/>
              </w:rPr>
              <w:t xml:space="preserve">  P-value</w:t>
            </w:r>
          </w:p>
        </w:tc>
        <w:tc>
          <w:tcPr>
            <w:tcW w:w="1181" w:type="dxa"/>
            <w:tcBorders>
              <w:top w:val="nil"/>
              <w:left w:val="nil"/>
              <w:bottom w:val="nil"/>
              <w:right w:val="nil"/>
            </w:tcBorders>
          </w:tcPr>
          <w:p w14:paraId="11CC915D"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5.1%</w:t>
            </w:r>
          </w:p>
          <w:p w14:paraId="6FF15F05" w14:textId="19A51ED2"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5.19***</w:t>
            </w:r>
          </w:p>
          <w:p w14:paraId="19D7328A"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w:t>
            </w:r>
          </w:p>
        </w:tc>
        <w:tc>
          <w:tcPr>
            <w:tcW w:w="1181" w:type="dxa"/>
            <w:tcBorders>
              <w:top w:val="nil"/>
              <w:left w:val="nil"/>
              <w:bottom w:val="nil"/>
              <w:right w:val="nil"/>
            </w:tcBorders>
          </w:tcPr>
          <w:p w14:paraId="6FBA8503"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5.1%</w:t>
            </w:r>
          </w:p>
          <w:p w14:paraId="618DBCB9"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4.43***</w:t>
            </w:r>
          </w:p>
          <w:p w14:paraId="158DF022"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w:t>
            </w:r>
          </w:p>
        </w:tc>
        <w:tc>
          <w:tcPr>
            <w:tcW w:w="1181" w:type="dxa"/>
            <w:tcBorders>
              <w:top w:val="nil"/>
              <w:left w:val="nil"/>
              <w:bottom w:val="nil"/>
              <w:right w:val="nil"/>
            </w:tcBorders>
          </w:tcPr>
          <w:p w14:paraId="0142038D"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3.3%</w:t>
            </w:r>
          </w:p>
          <w:p w14:paraId="5C8ED85E"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3.3***</w:t>
            </w:r>
          </w:p>
          <w:p w14:paraId="6F0F6510"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w:t>
            </w:r>
          </w:p>
        </w:tc>
        <w:tc>
          <w:tcPr>
            <w:tcW w:w="1288" w:type="dxa"/>
            <w:tcBorders>
              <w:top w:val="nil"/>
              <w:left w:val="nil"/>
              <w:bottom w:val="nil"/>
              <w:right w:val="nil"/>
            </w:tcBorders>
          </w:tcPr>
          <w:p w14:paraId="3CA51717"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4.1%</w:t>
            </w:r>
          </w:p>
          <w:p w14:paraId="2473A5FF" w14:textId="6E9C29AA"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4.31***</w:t>
            </w:r>
          </w:p>
          <w:p w14:paraId="03B3FCE9"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w:t>
            </w:r>
          </w:p>
        </w:tc>
        <w:tc>
          <w:tcPr>
            <w:tcW w:w="1288" w:type="dxa"/>
            <w:tcBorders>
              <w:top w:val="nil"/>
              <w:left w:val="nil"/>
              <w:bottom w:val="nil"/>
              <w:right w:val="nil"/>
            </w:tcBorders>
          </w:tcPr>
          <w:p w14:paraId="2AFA1EE2"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3.9%</w:t>
            </w:r>
          </w:p>
          <w:p w14:paraId="587F8C55"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3.61**</w:t>
            </w:r>
          </w:p>
          <w:p w14:paraId="3037769E"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w:t>
            </w:r>
          </w:p>
        </w:tc>
        <w:tc>
          <w:tcPr>
            <w:tcW w:w="1288" w:type="dxa"/>
            <w:tcBorders>
              <w:top w:val="nil"/>
              <w:left w:val="nil"/>
              <w:bottom w:val="nil"/>
              <w:right w:val="nil"/>
            </w:tcBorders>
          </w:tcPr>
          <w:p w14:paraId="5ACE47CA"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4%</w:t>
            </w:r>
          </w:p>
          <w:p w14:paraId="36A4F9A8"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2.68***</w:t>
            </w:r>
          </w:p>
          <w:p w14:paraId="720A83BC"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0.000</w:t>
            </w:r>
          </w:p>
        </w:tc>
      </w:tr>
      <w:tr w:rsidR="001C1B62" w:rsidRPr="00C03199" w14:paraId="02B5F135" w14:textId="77777777" w:rsidTr="00422382">
        <w:tblPrEx>
          <w:tblBorders>
            <w:bottom w:val="single" w:sz="6" w:space="0" w:color="auto"/>
          </w:tblBorders>
        </w:tblPrEx>
        <w:trPr>
          <w:trHeight w:val="267"/>
          <w:jc w:val="center"/>
        </w:trPr>
        <w:tc>
          <w:tcPr>
            <w:tcW w:w="1884" w:type="dxa"/>
            <w:tcBorders>
              <w:top w:val="nil"/>
              <w:left w:val="nil"/>
              <w:bottom w:val="nil"/>
              <w:right w:val="nil"/>
            </w:tcBorders>
          </w:tcPr>
          <w:p w14:paraId="1EC5E090"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Region  Effect</w:t>
            </w:r>
          </w:p>
          <w:p w14:paraId="6731ADD9" w14:textId="77777777" w:rsidR="001C1B62" w:rsidRPr="00C03199" w:rsidRDefault="001C1B62" w:rsidP="00422382">
            <w:pPr>
              <w:widowControl w:val="0"/>
              <w:autoSpaceDE w:val="0"/>
              <w:autoSpaceDN w:val="0"/>
              <w:adjustRightInd w:val="0"/>
              <w:spacing w:after="0" w:line="240" w:lineRule="auto"/>
              <w:rPr>
                <w:rFonts w:ascii="Times New Roman" w:hAnsi="Times New Roman" w:cs="Times New Roman"/>
                <w:sz w:val="18"/>
                <w:szCs w:val="18"/>
              </w:rPr>
            </w:pPr>
            <w:r w:rsidRPr="00C03199">
              <w:rPr>
                <w:rFonts w:ascii="Times New Roman" w:hAnsi="Times New Roman" w:cs="Times New Roman"/>
                <w:sz w:val="18"/>
                <w:szCs w:val="18"/>
              </w:rPr>
              <w:t xml:space="preserve">  Industry Effect</w:t>
            </w:r>
          </w:p>
          <w:p w14:paraId="2844A41E" w14:textId="77777777" w:rsidR="00CC2616" w:rsidRPr="00C03199" w:rsidRDefault="00CC2616" w:rsidP="00CC2616">
            <w:pPr>
              <w:widowControl w:val="0"/>
              <w:autoSpaceDE w:val="0"/>
              <w:autoSpaceDN w:val="0"/>
              <w:adjustRightInd w:val="0"/>
              <w:spacing w:after="0" w:line="240" w:lineRule="auto"/>
              <w:jc w:val="center"/>
              <w:rPr>
                <w:rFonts w:ascii="Times New Roman" w:hAnsi="Times New Roman" w:cs="Times New Roman"/>
                <w:sz w:val="18"/>
                <w:szCs w:val="18"/>
              </w:rPr>
            </w:pPr>
          </w:p>
        </w:tc>
        <w:tc>
          <w:tcPr>
            <w:tcW w:w="1181" w:type="dxa"/>
            <w:tcBorders>
              <w:top w:val="nil"/>
              <w:left w:val="nil"/>
              <w:bottom w:val="nil"/>
              <w:right w:val="nil"/>
            </w:tcBorders>
          </w:tcPr>
          <w:p w14:paraId="6C58E864"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p>
        </w:tc>
        <w:tc>
          <w:tcPr>
            <w:tcW w:w="1181" w:type="dxa"/>
            <w:tcBorders>
              <w:top w:val="nil"/>
              <w:left w:val="nil"/>
              <w:bottom w:val="nil"/>
              <w:right w:val="nil"/>
            </w:tcBorders>
          </w:tcPr>
          <w:p w14:paraId="647CF89C" w14:textId="7E66716D"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tc>
        <w:tc>
          <w:tcPr>
            <w:tcW w:w="1181" w:type="dxa"/>
            <w:tcBorders>
              <w:top w:val="nil"/>
              <w:left w:val="nil"/>
              <w:bottom w:val="nil"/>
              <w:right w:val="nil"/>
            </w:tcBorders>
          </w:tcPr>
          <w:p w14:paraId="295A5788"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p w14:paraId="09DCD49A"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tc>
        <w:tc>
          <w:tcPr>
            <w:tcW w:w="1288" w:type="dxa"/>
            <w:tcBorders>
              <w:top w:val="nil"/>
              <w:left w:val="nil"/>
              <w:bottom w:val="nil"/>
              <w:right w:val="nil"/>
            </w:tcBorders>
          </w:tcPr>
          <w:p w14:paraId="77D4C367"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p>
        </w:tc>
        <w:tc>
          <w:tcPr>
            <w:tcW w:w="1288" w:type="dxa"/>
            <w:tcBorders>
              <w:top w:val="nil"/>
              <w:left w:val="nil"/>
              <w:bottom w:val="nil"/>
              <w:right w:val="nil"/>
            </w:tcBorders>
          </w:tcPr>
          <w:p w14:paraId="38592DBF"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tc>
        <w:tc>
          <w:tcPr>
            <w:tcW w:w="1288" w:type="dxa"/>
            <w:tcBorders>
              <w:top w:val="nil"/>
              <w:left w:val="nil"/>
              <w:bottom w:val="nil"/>
              <w:right w:val="nil"/>
            </w:tcBorders>
          </w:tcPr>
          <w:p w14:paraId="503CBE72"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p w14:paraId="4562EEE2"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r w:rsidRPr="00C03199">
              <w:rPr>
                <w:rFonts w:ascii="Times New Roman" w:hAnsi="Times New Roman" w:cs="Times New Roman"/>
                <w:sz w:val="18"/>
                <w:szCs w:val="18"/>
              </w:rPr>
              <w:t>YES</w:t>
            </w:r>
          </w:p>
          <w:p w14:paraId="7F733B46" w14:textId="77777777" w:rsidR="001C1B62" w:rsidRPr="00C03199" w:rsidRDefault="001C1B62" w:rsidP="009A2266">
            <w:pPr>
              <w:widowControl w:val="0"/>
              <w:autoSpaceDE w:val="0"/>
              <w:autoSpaceDN w:val="0"/>
              <w:adjustRightInd w:val="0"/>
              <w:spacing w:after="0" w:line="240" w:lineRule="auto"/>
              <w:jc w:val="center"/>
              <w:rPr>
                <w:rFonts w:ascii="Times New Roman" w:hAnsi="Times New Roman" w:cs="Times New Roman"/>
                <w:sz w:val="18"/>
                <w:szCs w:val="18"/>
              </w:rPr>
            </w:pPr>
          </w:p>
        </w:tc>
      </w:tr>
      <w:tr w:rsidR="001C1B62" w:rsidRPr="00C03199" w14:paraId="28865433" w14:textId="77777777" w:rsidTr="00CC2616">
        <w:tblPrEx>
          <w:tblBorders>
            <w:bottom w:val="single" w:sz="6" w:space="0" w:color="auto"/>
          </w:tblBorders>
        </w:tblPrEx>
        <w:trPr>
          <w:trHeight w:val="70"/>
          <w:jc w:val="center"/>
        </w:trPr>
        <w:tc>
          <w:tcPr>
            <w:tcW w:w="1884" w:type="dxa"/>
            <w:tcBorders>
              <w:top w:val="nil"/>
              <w:left w:val="nil"/>
              <w:bottom w:val="single" w:sz="6" w:space="0" w:color="auto"/>
              <w:right w:val="nil"/>
            </w:tcBorders>
          </w:tcPr>
          <w:p w14:paraId="18F32CA3" w14:textId="77777777" w:rsidR="001C1B62" w:rsidRPr="00C03199" w:rsidRDefault="001C1B62" w:rsidP="00296A60">
            <w:pPr>
              <w:widowControl w:val="0"/>
              <w:autoSpaceDE w:val="0"/>
              <w:autoSpaceDN w:val="0"/>
              <w:adjustRightInd w:val="0"/>
              <w:spacing w:after="0" w:line="240" w:lineRule="auto"/>
              <w:rPr>
                <w:rFonts w:ascii="Times New Roman" w:hAnsi="Times New Roman" w:cs="Times New Roman"/>
                <w:sz w:val="20"/>
                <w:szCs w:val="24"/>
              </w:rPr>
            </w:pPr>
          </w:p>
        </w:tc>
        <w:tc>
          <w:tcPr>
            <w:tcW w:w="1181" w:type="dxa"/>
            <w:tcBorders>
              <w:top w:val="nil"/>
              <w:left w:val="nil"/>
              <w:bottom w:val="single" w:sz="6" w:space="0" w:color="auto"/>
              <w:right w:val="nil"/>
            </w:tcBorders>
          </w:tcPr>
          <w:p w14:paraId="44042D67"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20"/>
                <w:szCs w:val="24"/>
              </w:rPr>
            </w:pPr>
          </w:p>
        </w:tc>
        <w:tc>
          <w:tcPr>
            <w:tcW w:w="1181" w:type="dxa"/>
            <w:tcBorders>
              <w:top w:val="nil"/>
              <w:left w:val="nil"/>
              <w:bottom w:val="single" w:sz="6" w:space="0" w:color="auto"/>
              <w:right w:val="nil"/>
            </w:tcBorders>
          </w:tcPr>
          <w:p w14:paraId="6F4E9E22"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20"/>
                <w:szCs w:val="24"/>
              </w:rPr>
            </w:pPr>
          </w:p>
        </w:tc>
        <w:tc>
          <w:tcPr>
            <w:tcW w:w="1181" w:type="dxa"/>
            <w:tcBorders>
              <w:top w:val="nil"/>
              <w:left w:val="nil"/>
              <w:bottom w:val="single" w:sz="6" w:space="0" w:color="auto"/>
              <w:right w:val="nil"/>
            </w:tcBorders>
          </w:tcPr>
          <w:p w14:paraId="361576C3" w14:textId="77777777" w:rsidR="001C1B62" w:rsidRPr="00C03199" w:rsidRDefault="001C1B62" w:rsidP="00CC2616">
            <w:pPr>
              <w:widowControl w:val="0"/>
              <w:autoSpaceDE w:val="0"/>
              <w:autoSpaceDN w:val="0"/>
              <w:adjustRightInd w:val="0"/>
              <w:spacing w:after="0" w:line="240" w:lineRule="auto"/>
              <w:rPr>
                <w:rFonts w:ascii="Times New Roman" w:hAnsi="Times New Roman" w:cs="Times New Roman"/>
                <w:sz w:val="20"/>
                <w:szCs w:val="24"/>
              </w:rPr>
            </w:pPr>
          </w:p>
        </w:tc>
        <w:tc>
          <w:tcPr>
            <w:tcW w:w="1288" w:type="dxa"/>
            <w:tcBorders>
              <w:top w:val="nil"/>
              <w:left w:val="nil"/>
              <w:bottom w:val="single" w:sz="6" w:space="0" w:color="auto"/>
              <w:right w:val="nil"/>
            </w:tcBorders>
          </w:tcPr>
          <w:p w14:paraId="7079ECC8"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20"/>
                <w:szCs w:val="24"/>
              </w:rPr>
            </w:pPr>
          </w:p>
        </w:tc>
        <w:tc>
          <w:tcPr>
            <w:tcW w:w="1288" w:type="dxa"/>
            <w:tcBorders>
              <w:top w:val="nil"/>
              <w:left w:val="nil"/>
              <w:bottom w:val="single" w:sz="6" w:space="0" w:color="auto"/>
              <w:right w:val="nil"/>
            </w:tcBorders>
          </w:tcPr>
          <w:p w14:paraId="107D9B9C"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20"/>
                <w:szCs w:val="24"/>
              </w:rPr>
            </w:pPr>
          </w:p>
        </w:tc>
        <w:tc>
          <w:tcPr>
            <w:tcW w:w="1288" w:type="dxa"/>
            <w:tcBorders>
              <w:top w:val="nil"/>
              <w:left w:val="nil"/>
              <w:bottom w:val="single" w:sz="6" w:space="0" w:color="auto"/>
              <w:right w:val="nil"/>
            </w:tcBorders>
          </w:tcPr>
          <w:p w14:paraId="3DC77954" w14:textId="77777777" w:rsidR="001C1B62" w:rsidRPr="00C03199" w:rsidRDefault="001C1B62" w:rsidP="00422382">
            <w:pPr>
              <w:widowControl w:val="0"/>
              <w:autoSpaceDE w:val="0"/>
              <w:autoSpaceDN w:val="0"/>
              <w:adjustRightInd w:val="0"/>
              <w:spacing w:after="0" w:line="240" w:lineRule="auto"/>
              <w:jc w:val="center"/>
              <w:rPr>
                <w:rFonts w:ascii="Times New Roman" w:hAnsi="Times New Roman" w:cs="Times New Roman"/>
                <w:sz w:val="20"/>
                <w:szCs w:val="24"/>
              </w:rPr>
            </w:pPr>
          </w:p>
        </w:tc>
      </w:tr>
    </w:tbl>
    <w:p w14:paraId="79F0F9A7" w14:textId="044881BC" w:rsidR="00020E11" w:rsidRPr="00611454" w:rsidRDefault="00CC2616" w:rsidP="00611454">
      <w:pPr>
        <w:spacing w:after="0"/>
        <w:rPr>
          <w:rFonts w:ascii="Times New Roman" w:hAnsi="Times New Roman" w:cs="Times New Roman"/>
          <w:sz w:val="28"/>
        </w:rPr>
      </w:pPr>
      <w:r w:rsidRPr="00611454">
        <w:rPr>
          <w:rFonts w:ascii="Times New Roman" w:hAnsi="Times New Roman" w:cs="Times New Roman"/>
        </w:rPr>
        <w:t>*, **, and *** indicate a statistical significance level of 10%, 5%, and 1% (using two-tailed tests), respectively.</w:t>
      </w:r>
    </w:p>
    <w:p w14:paraId="71F12DAE" w14:textId="77777777" w:rsidR="0024206F" w:rsidRDefault="0024206F" w:rsidP="0024206F">
      <w:pPr>
        <w:tabs>
          <w:tab w:val="left" w:pos="1052"/>
        </w:tabs>
        <w:spacing w:after="0" w:line="360" w:lineRule="auto"/>
        <w:jc w:val="both"/>
        <w:rPr>
          <w:rFonts w:ascii="Times New Roman" w:hAnsi="Times New Roman" w:cs="Times New Roman"/>
          <w:sz w:val="24"/>
        </w:rPr>
      </w:pPr>
    </w:p>
    <w:p w14:paraId="4E9F2C74" w14:textId="4B794E89" w:rsidR="009D1534" w:rsidRDefault="009D1534" w:rsidP="009D1534">
      <w:pPr>
        <w:spacing w:after="0" w:line="360" w:lineRule="auto"/>
        <w:jc w:val="both"/>
        <w:rPr>
          <w:rFonts w:ascii="Times New Roman" w:hAnsi="Times New Roman" w:cs="Times New Roman"/>
          <w:sz w:val="24"/>
        </w:rPr>
      </w:pPr>
      <w:r>
        <w:rPr>
          <w:rFonts w:ascii="Times New Roman" w:hAnsi="Times New Roman" w:cs="Times New Roman"/>
          <w:sz w:val="24"/>
        </w:rPr>
        <w:t>significantly lower for target firms in cross-border than domestic acquisitions</w:t>
      </w:r>
      <w:r w:rsidRPr="00C03199">
        <w:rPr>
          <w:rFonts w:ascii="Times New Roman" w:hAnsi="Times New Roman" w:cs="Times New Roman"/>
          <w:sz w:val="24"/>
        </w:rPr>
        <w:t xml:space="preserve">. </w:t>
      </w:r>
      <w:r w:rsidRPr="009A38B8">
        <w:rPr>
          <w:rFonts w:ascii="Times New Roman" w:hAnsi="Times New Roman" w:cs="Times New Roman"/>
          <w:sz w:val="24"/>
        </w:rPr>
        <w:t xml:space="preserve">Therefore, it appears that bid characteristics, in particular, the percentage of stake acquired and payment method </w:t>
      </w:r>
      <w:r>
        <w:rPr>
          <w:rFonts w:ascii="Times New Roman" w:hAnsi="Times New Roman" w:cs="Times New Roman"/>
          <w:sz w:val="24"/>
        </w:rPr>
        <w:t xml:space="preserve">are, also, driving the </w:t>
      </w:r>
      <w:r w:rsidRPr="009A38B8">
        <w:rPr>
          <w:rFonts w:ascii="Times New Roman" w:hAnsi="Times New Roman" w:cs="Times New Roman"/>
          <w:sz w:val="24"/>
        </w:rPr>
        <w:t xml:space="preserve">cross-border effect.  </w:t>
      </w:r>
    </w:p>
    <w:p w14:paraId="159A1AB1" w14:textId="02C13EC2" w:rsidR="00883FBE" w:rsidRDefault="00B076C6" w:rsidP="00B076C6">
      <w:pPr>
        <w:spacing w:after="0" w:line="360" w:lineRule="auto"/>
        <w:ind w:firstLine="284"/>
        <w:jc w:val="both"/>
        <w:rPr>
          <w:rFonts w:ascii="Times New Roman" w:hAnsi="Times New Roman" w:cs="Times New Roman"/>
          <w:sz w:val="24"/>
        </w:rPr>
      </w:pPr>
      <w:r>
        <w:rPr>
          <w:rFonts w:ascii="Times New Roman" w:hAnsi="Times New Roman" w:cs="Times New Roman"/>
          <w:sz w:val="24"/>
        </w:rPr>
        <w:t>None of financial multiplies are found to be statistically significant, indicating no influence on the rate of cumulative abnormal return to the shareholders of target firms, in both event windows. In the second event window, Targets acquired by EU bidders are found to earn significantly, at a 1% statistical significance level, 12%, approximately, higher cumulative abnormal returns.</w:t>
      </w:r>
      <w:r w:rsidRPr="00B85E24">
        <w:rPr>
          <w:rFonts w:ascii="Times New Roman" w:hAnsi="Times New Roman" w:cs="Times New Roman"/>
          <w:sz w:val="24"/>
        </w:rPr>
        <w:t xml:space="preserve"> </w:t>
      </w:r>
      <w:r>
        <w:rPr>
          <w:rFonts w:ascii="Times New Roman" w:hAnsi="Times New Roman" w:cs="Times New Roman"/>
          <w:sz w:val="24"/>
        </w:rPr>
        <w:t xml:space="preserve">Target </w:t>
      </w:r>
      <w:r w:rsidR="00B85E24">
        <w:rPr>
          <w:rFonts w:ascii="Times New Roman" w:hAnsi="Times New Roman" w:cs="Times New Roman"/>
          <w:sz w:val="24"/>
        </w:rPr>
        <w:t xml:space="preserve">company industry effect is found to be positive and significant, at a 5% statistical significance level, for all the different industries found in the sample. </w:t>
      </w:r>
      <w:r w:rsidR="00883FBE">
        <w:rPr>
          <w:rFonts w:ascii="Times New Roman" w:hAnsi="Times New Roman" w:cs="Times New Roman"/>
          <w:sz w:val="24"/>
        </w:rPr>
        <w:t xml:space="preserve">Health care and High-tech industries are found to </w:t>
      </w:r>
      <w:r w:rsidR="00E12C3D">
        <w:rPr>
          <w:rFonts w:ascii="Times New Roman" w:hAnsi="Times New Roman" w:cs="Times New Roman"/>
          <w:sz w:val="24"/>
        </w:rPr>
        <w:t xml:space="preserve">produce the highest difference in the level of target cumulative abnormal returns. Targets in these two industries will earn, approximately, 15% and 13%, approximately, higher cumulative abnormal returns. </w:t>
      </w:r>
      <w:r w:rsidR="005200F7">
        <w:rPr>
          <w:rFonts w:ascii="Times New Roman" w:hAnsi="Times New Roman" w:cs="Times New Roman"/>
          <w:sz w:val="24"/>
        </w:rPr>
        <w:t xml:space="preserve">Thus, the cross-border effect seems to be driven by differences in firm and deal specific characteristics and the market access premium.  </w:t>
      </w:r>
      <w:r w:rsidR="00E12C3D">
        <w:rPr>
          <w:rFonts w:ascii="Times New Roman" w:hAnsi="Times New Roman" w:cs="Times New Roman"/>
          <w:sz w:val="24"/>
        </w:rPr>
        <w:t xml:space="preserve">  </w:t>
      </w:r>
    </w:p>
    <w:p w14:paraId="2467C2A9" w14:textId="77777777" w:rsidR="009A38B8" w:rsidRPr="00C03199" w:rsidRDefault="009A38B8" w:rsidP="009A38B8">
      <w:pPr>
        <w:tabs>
          <w:tab w:val="left" w:pos="1052"/>
        </w:tabs>
        <w:spacing w:after="0" w:line="360" w:lineRule="auto"/>
        <w:jc w:val="both"/>
        <w:rPr>
          <w:rFonts w:ascii="Times New Roman" w:hAnsi="Times New Roman" w:cs="Times New Roman"/>
          <w:sz w:val="24"/>
        </w:rPr>
      </w:pPr>
    </w:p>
    <w:p w14:paraId="5D0A978D" w14:textId="4A17FF26" w:rsidR="00A45C3C" w:rsidRPr="0015367C" w:rsidRDefault="00A45C3C" w:rsidP="00A45C3C">
      <w:pPr>
        <w:widowControl w:val="0"/>
        <w:autoSpaceDE w:val="0"/>
        <w:autoSpaceDN w:val="0"/>
        <w:adjustRightInd w:val="0"/>
        <w:spacing w:after="0" w:line="360" w:lineRule="auto"/>
        <w:jc w:val="both"/>
        <w:rPr>
          <w:rFonts w:ascii="Times New Roman" w:hAnsi="Times New Roman" w:cs="Times New Roman"/>
          <w:sz w:val="24"/>
        </w:rPr>
      </w:pPr>
      <w:r w:rsidRPr="00C03199">
        <w:rPr>
          <w:rFonts w:ascii="Times New Roman" w:hAnsi="Times New Roman" w:cs="Times New Roman"/>
          <w:i/>
          <w:sz w:val="24"/>
        </w:rPr>
        <w:t xml:space="preserve">Robustness check: </w:t>
      </w:r>
      <w:r w:rsidRPr="00C03199">
        <w:rPr>
          <w:rFonts w:ascii="Times New Roman" w:hAnsi="Times New Roman" w:cs="Times New Roman"/>
          <w:sz w:val="24"/>
        </w:rPr>
        <w:t>Table 6 in the appendix presents the cross-sectional analysis of the whole sample, excluding UK target firms. UK target firms are removed from the sample to ensure that the results are no</w:t>
      </w:r>
      <w:r>
        <w:rPr>
          <w:rFonts w:ascii="Times New Roman" w:hAnsi="Times New Roman" w:cs="Times New Roman"/>
          <w:sz w:val="24"/>
        </w:rPr>
        <w:t xml:space="preserve">t driven by a specific country. As seen in the table, the coefficient for ‘Cross’ is positive and significant at, a 5% statistical significance level; after controlling for the target </w:t>
      </w:r>
      <w:r>
        <w:rPr>
          <w:rFonts w:ascii="Times New Roman" w:hAnsi="Times New Roman" w:cs="Times New Roman"/>
          <w:sz w:val="24"/>
        </w:rPr>
        <w:lastRenderedPageBreak/>
        <w:t xml:space="preserve">industry effect, the coefficient is still significant at a 10% statistical significance level, indicating a cross-border premium of, approximately, 4% and 3.7%, after controlling for target industry effect. The coefficient for ‘No prior EU operations’ is significant, at a 5% statistical significance level; however, after controlling for acquirer region and target industry effects, it’s not significant anymore. None of the coefficients for </w:t>
      </w:r>
      <w:r w:rsidRPr="00E11446">
        <w:rPr>
          <w:rFonts w:ascii="Times New Roman" w:hAnsi="Times New Roman" w:cs="Times New Roman"/>
          <w:sz w:val="24"/>
        </w:rPr>
        <w:t>the paymen</w:t>
      </w:r>
      <w:r>
        <w:rPr>
          <w:rFonts w:ascii="Times New Roman" w:hAnsi="Times New Roman" w:cs="Times New Roman"/>
          <w:sz w:val="24"/>
        </w:rPr>
        <w:t xml:space="preserve">t method, </w:t>
      </w:r>
      <w:r w:rsidRPr="00E11446">
        <w:rPr>
          <w:rFonts w:ascii="Times New Roman" w:hAnsi="Times New Roman" w:cs="Times New Roman"/>
          <w:sz w:val="24"/>
        </w:rPr>
        <w:t xml:space="preserve">percentage of stake acquired and </w:t>
      </w:r>
      <w:r>
        <w:rPr>
          <w:rFonts w:ascii="Times New Roman" w:hAnsi="Times New Roman" w:cs="Times New Roman"/>
          <w:sz w:val="24"/>
        </w:rPr>
        <w:t>target firms’ industries</w:t>
      </w:r>
      <w:r w:rsidRPr="00E11446">
        <w:rPr>
          <w:rFonts w:ascii="Times New Roman" w:hAnsi="Times New Roman" w:cs="Times New Roman"/>
          <w:sz w:val="24"/>
        </w:rPr>
        <w:t xml:space="preserve"> are found to be significant.</w:t>
      </w:r>
      <w:r>
        <w:rPr>
          <w:rFonts w:ascii="Times New Roman" w:hAnsi="Times New Roman" w:cs="Times New Roman"/>
        </w:rPr>
        <w:t xml:space="preserve"> The robust results </w:t>
      </w:r>
      <w:r w:rsidR="00B81310">
        <w:rPr>
          <w:rFonts w:ascii="Times New Roman" w:hAnsi="Times New Roman" w:cs="Times New Roman"/>
        </w:rPr>
        <w:t>imply</w:t>
      </w:r>
      <w:r>
        <w:rPr>
          <w:rFonts w:ascii="Times New Roman" w:hAnsi="Times New Roman" w:cs="Times New Roman"/>
        </w:rPr>
        <w:t xml:space="preserve"> that Western European, excluding UK, target firms cross-border effect is present, and is not driven by differences in bid and firm specific characteristics nor market access premium.  </w:t>
      </w:r>
      <w:r w:rsidR="00D371CC">
        <w:rPr>
          <w:rFonts w:ascii="Times New Roman" w:hAnsi="Times New Roman" w:cs="Times New Roman"/>
        </w:rPr>
        <w:t>Since Danbolt (2004) found that UK target firm cross-border effect is only attributed to the differences in d</w:t>
      </w:r>
      <w:r w:rsidR="008C1017">
        <w:rPr>
          <w:rFonts w:ascii="Times New Roman" w:hAnsi="Times New Roman" w:cs="Times New Roman"/>
        </w:rPr>
        <w:t xml:space="preserve">eal characteristics, it appears that the insignificance of the cross-border effect is driven by UK target firms.  </w:t>
      </w:r>
    </w:p>
    <w:p w14:paraId="1B687641" w14:textId="77777777" w:rsidR="00F015DF" w:rsidRPr="00C03199" w:rsidRDefault="00F015DF" w:rsidP="00C46074">
      <w:pPr>
        <w:spacing w:after="0"/>
        <w:jc w:val="both"/>
        <w:rPr>
          <w:rFonts w:ascii="Times New Roman" w:hAnsi="Times New Roman" w:cs="Times New Roman"/>
          <w:b/>
          <w:sz w:val="24"/>
        </w:rPr>
      </w:pPr>
    </w:p>
    <w:p w14:paraId="1E14315F" w14:textId="1FF298CE" w:rsidR="005F0720" w:rsidRPr="00C03199" w:rsidRDefault="00296A60" w:rsidP="00F1552D">
      <w:pPr>
        <w:spacing w:after="120" w:line="360" w:lineRule="auto"/>
        <w:jc w:val="both"/>
        <w:rPr>
          <w:rFonts w:ascii="Times New Roman" w:hAnsi="Times New Roman" w:cs="Times New Roman"/>
          <w:b/>
          <w:sz w:val="24"/>
        </w:rPr>
      </w:pPr>
      <w:r w:rsidRPr="00C03199">
        <w:rPr>
          <w:rFonts w:ascii="Times New Roman" w:hAnsi="Times New Roman" w:cs="Times New Roman"/>
          <w:b/>
          <w:sz w:val="24"/>
        </w:rPr>
        <w:t xml:space="preserve">6. Conclusions and limitations </w:t>
      </w:r>
    </w:p>
    <w:p w14:paraId="4FF4F1AD" w14:textId="5FF22EE8" w:rsidR="00AC50A8" w:rsidRDefault="00B81310" w:rsidP="00AC50A8">
      <w:pPr>
        <w:tabs>
          <w:tab w:val="left" w:pos="1052"/>
        </w:tabs>
        <w:spacing w:after="0" w:line="360" w:lineRule="auto"/>
        <w:jc w:val="both"/>
        <w:rPr>
          <w:rFonts w:ascii="Times New Roman" w:hAnsi="Times New Roman" w:cs="Times New Roman"/>
          <w:sz w:val="24"/>
        </w:rPr>
      </w:pPr>
      <w:r w:rsidRPr="00B81310">
        <w:rPr>
          <w:rFonts w:ascii="Times New Roman" w:hAnsi="Times New Roman" w:cs="Times New Roman"/>
          <w:sz w:val="24"/>
        </w:rPr>
        <w:t>This paper analyzes the cumulative abnormal returns, in 654 domestic and 435 cross-border deals between 1990 and 2018, to</w:t>
      </w:r>
      <w:r>
        <w:rPr>
          <w:rFonts w:ascii="Times New Roman" w:hAnsi="Times New Roman" w:cs="Times New Roman"/>
          <w:sz w:val="24"/>
        </w:rPr>
        <w:t xml:space="preserve"> Western European target firms’</w:t>
      </w:r>
      <w:r w:rsidRPr="00B81310">
        <w:rPr>
          <w:rFonts w:ascii="Times New Roman" w:hAnsi="Times New Roman" w:cs="Times New Roman"/>
          <w:sz w:val="24"/>
        </w:rPr>
        <w:t xml:space="preserve"> shareholders.</w:t>
      </w:r>
      <w:r w:rsidR="00AC50A8" w:rsidRPr="00AC50A8">
        <w:rPr>
          <w:rFonts w:ascii="Times New Roman" w:hAnsi="Times New Roman" w:cs="Times New Roman"/>
          <w:sz w:val="24"/>
        </w:rPr>
        <w:t xml:space="preserve"> During the month of and prior to the </w:t>
      </w:r>
      <w:r>
        <w:rPr>
          <w:rFonts w:ascii="Times New Roman" w:hAnsi="Times New Roman" w:cs="Times New Roman"/>
          <w:sz w:val="24"/>
        </w:rPr>
        <w:t>announcement of the bid</w:t>
      </w:r>
      <w:r w:rsidR="00AC50A8" w:rsidRPr="00AC50A8">
        <w:rPr>
          <w:rFonts w:ascii="Times New Roman" w:hAnsi="Times New Roman" w:cs="Times New Roman"/>
          <w:sz w:val="24"/>
        </w:rPr>
        <w:t xml:space="preserve">, </w:t>
      </w:r>
      <w:r>
        <w:rPr>
          <w:rFonts w:ascii="Times New Roman" w:hAnsi="Times New Roman" w:cs="Times New Roman"/>
          <w:sz w:val="24"/>
        </w:rPr>
        <w:t>the shareholders of target firms</w:t>
      </w:r>
      <w:r w:rsidR="00AC50A8" w:rsidRPr="00AC50A8">
        <w:rPr>
          <w:rFonts w:ascii="Times New Roman" w:hAnsi="Times New Roman" w:cs="Times New Roman"/>
          <w:sz w:val="24"/>
        </w:rPr>
        <w:t xml:space="preserve"> in cross-border and domestic deals gain</w:t>
      </w:r>
      <w:r w:rsidR="00160F72">
        <w:rPr>
          <w:rFonts w:ascii="Times New Roman" w:hAnsi="Times New Roman" w:cs="Times New Roman"/>
          <w:sz w:val="24"/>
        </w:rPr>
        <w:t>, on average,</w:t>
      </w:r>
      <w:r w:rsidR="00AC50A8" w:rsidRPr="00AC50A8">
        <w:rPr>
          <w:rFonts w:ascii="Times New Roman" w:hAnsi="Times New Roman" w:cs="Times New Roman"/>
          <w:sz w:val="24"/>
        </w:rPr>
        <w:t xml:space="preserve"> </w:t>
      </w:r>
      <w:r w:rsidRPr="00B81310">
        <w:rPr>
          <w:rFonts w:ascii="Times New Roman" w:hAnsi="Times New Roman" w:cs="Times New Roman"/>
          <w:sz w:val="24"/>
        </w:rPr>
        <w:t>copious</w:t>
      </w:r>
      <w:r w:rsidR="00AC50A8" w:rsidRPr="00AC50A8">
        <w:rPr>
          <w:rFonts w:ascii="Times New Roman" w:hAnsi="Times New Roman" w:cs="Times New Roman"/>
          <w:sz w:val="24"/>
        </w:rPr>
        <w:t xml:space="preserve"> and </w:t>
      </w:r>
      <w:r w:rsidR="005D58F4">
        <w:rPr>
          <w:rFonts w:ascii="Times New Roman" w:hAnsi="Times New Roman" w:cs="Times New Roman"/>
          <w:sz w:val="24"/>
        </w:rPr>
        <w:t>extremely</w:t>
      </w:r>
      <w:r w:rsidR="00AC50A8" w:rsidRPr="00AC50A8">
        <w:rPr>
          <w:rFonts w:ascii="Times New Roman" w:hAnsi="Times New Roman" w:cs="Times New Roman"/>
          <w:sz w:val="24"/>
        </w:rPr>
        <w:t xml:space="preserve"> significant abnormal returns, amounting to 12.8% and 19.8% (12.95% and 19.96%), respectively, with the market model (capital asset pricing model) for targets in cross-border deals, and 18.8% and 26.95% (19% and 26.5%), respectively, for targets in domestic deals. </w:t>
      </w:r>
    </w:p>
    <w:p w14:paraId="75D97475" w14:textId="0DCC29E9" w:rsidR="00AC50A8" w:rsidRPr="00AC50A8" w:rsidRDefault="00AC50A8" w:rsidP="00AC50A8">
      <w:pPr>
        <w:tabs>
          <w:tab w:val="left" w:pos="1052"/>
        </w:tabs>
        <w:spacing w:after="0" w:line="360" w:lineRule="auto"/>
        <w:ind w:firstLine="284"/>
        <w:jc w:val="both"/>
        <w:rPr>
          <w:rFonts w:ascii="Times New Roman" w:hAnsi="Times New Roman" w:cs="Times New Roman"/>
          <w:sz w:val="24"/>
        </w:rPr>
      </w:pPr>
      <w:r>
        <w:rPr>
          <w:rFonts w:ascii="Times New Roman" w:hAnsi="Times New Roman" w:cs="Times New Roman"/>
          <w:sz w:val="24"/>
        </w:rPr>
        <w:t>A</w:t>
      </w:r>
      <w:r w:rsidRPr="00AC50A8">
        <w:rPr>
          <w:rFonts w:ascii="Times New Roman" w:hAnsi="Times New Roman" w:cs="Times New Roman"/>
          <w:sz w:val="24"/>
        </w:rPr>
        <w:t xml:space="preserve"> negative target company cross-border effect is observed in the months of t-5, t-4, t-1 to t+2, and t+4 (where the announcement month is t0)</w:t>
      </w:r>
      <w:r w:rsidR="00E42A1D">
        <w:rPr>
          <w:rFonts w:ascii="Times New Roman" w:hAnsi="Times New Roman" w:cs="Times New Roman"/>
          <w:sz w:val="24"/>
        </w:rPr>
        <w:t xml:space="preserve">. </w:t>
      </w:r>
      <w:r w:rsidR="00E42A1D">
        <w:rPr>
          <w:rFonts w:ascii="Times New Roman" w:eastAsiaTheme="minorEastAsia" w:hAnsi="Times New Roman" w:cs="Times New Roman"/>
          <w:color w:val="222222"/>
          <w:sz w:val="24"/>
          <w:szCs w:val="20"/>
          <w:shd w:val="clear" w:color="auto" w:fill="FFFFFF"/>
        </w:rPr>
        <w:t xml:space="preserve">In the month of the bid, target firms in domestic deals performed better than those in cross-border deals, with a cross-border effect of </w:t>
      </w:r>
      <w:r w:rsidR="00E42A1D" w:rsidRPr="00124DFB">
        <w:rPr>
          <w:rFonts w:ascii="Times New Roman" w:eastAsiaTheme="minorEastAsia" w:hAnsi="Times New Roman" w:cs="Times New Roman"/>
          <w:color w:val="222222"/>
          <w:sz w:val="24"/>
          <w:szCs w:val="20"/>
          <w:shd w:val="clear" w:color="auto" w:fill="FFFFFF"/>
        </w:rPr>
        <w:t>−6</w:t>
      </w:r>
      <w:r w:rsidR="00E42A1D">
        <w:rPr>
          <w:rFonts w:ascii="Times New Roman" w:eastAsiaTheme="minorEastAsia" w:hAnsi="Times New Roman" w:cs="Times New Roman"/>
          <w:color w:val="222222"/>
          <w:sz w:val="24"/>
          <w:szCs w:val="20"/>
          <w:shd w:val="clear" w:color="auto" w:fill="FFFFFF"/>
        </w:rPr>
        <w:t>.</w:t>
      </w:r>
      <w:r w:rsidR="00E42A1D" w:rsidRPr="00124DFB">
        <w:rPr>
          <w:rFonts w:ascii="Times New Roman" w:eastAsiaTheme="minorEastAsia" w:hAnsi="Times New Roman" w:cs="Times New Roman"/>
          <w:color w:val="222222"/>
          <w:sz w:val="24"/>
          <w:szCs w:val="20"/>
          <w:shd w:val="clear" w:color="auto" w:fill="FFFFFF"/>
        </w:rPr>
        <w:t>9</w:t>
      </w:r>
      <w:r w:rsidR="00E42A1D">
        <w:rPr>
          <w:rFonts w:ascii="Times New Roman" w:eastAsiaTheme="minorEastAsia" w:hAnsi="Times New Roman" w:cs="Times New Roman"/>
          <w:color w:val="222222"/>
          <w:sz w:val="24"/>
          <w:szCs w:val="20"/>
          <w:shd w:val="clear" w:color="auto" w:fill="FFFFFF"/>
        </w:rPr>
        <w:t xml:space="preserve">%, with MM, and </w:t>
      </w:r>
      <w:r w:rsidR="00E42A1D" w:rsidRPr="00124DFB">
        <w:rPr>
          <w:rFonts w:ascii="Times New Roman" w:eastAsiaTheme="minorEastAsia" w:hAnsi="Times New Roman" w:cs="Times New Roman"/>
          <w:color w:val="222222"/>
          <w:sz w:val="24"/>
          <w:szCs w:val="20"/>
          <w:shd w:val="clear" w:color="auto" w:fill="FFFFFF"/>
        </w:rPr>
        <w:t>−</w:t>
      </w:r>
      <w:r w:rsidR="00E42A1D">
        <w:rPr>
          <w:rFonts w:ascii="Times New Roman" w:eastAsiaTheme="minorEastAsia" w:hAnsi="Times New Roman" w:cs="Times New Roman"/>
          <w:color w:val="222222"/>
          <w:sz w:val="24"/>
          <w:szCs w:val="20"/>
          <w:shd w:val="clear" w:color="auto" w:fill="FFFFFF"/>
        </w:rPr>
        <w:t>6.6%, with CAPM</w:t>
      </w:r>
      <w:r w:rsidRPr="00AC50A8">
        <w:rPr>
          <w:rFonts w:ascii="Times New Roman" w:hAnsi="Times New Roman" w:cs="Times New Roman"/>
          <w:sz w:val="24"/>
        </w:rPr>
        <w:t xml:space="preserve">; however, the difference of abnormal returns to target firms in </w:t>
      </w:r>
      <w:r w:rsidR="007927AF">
        <w:rPr>
          <w:rFonts w:ascii="Times New Roman" w:hAnsi="Times New Roman" w:cs="Times New Roman"/>
          <w:sz w:val="24"/>
        </w:rPr>
        <w:t>domestic and cross-border</w:t>
      </w:r>
      <w:r w:rsidRPr="00AC50A8">
        <w:rPr>
          <w:rFonts w:ascii="Times New Roman" w:hAnsi="Times New Roman" w:cs="Times New Roman"/>
          <w:sz w:val="24"/>
        </w:rPr>
        <w:t xml:space="preserve"> deals is small and statistically insignificant. Target firms’ shareholders in both deals obtained</w:t>
      </w:r>
      <w:r w:rsidR="00160F72">
        <w:rPr>
          <w:rFonts w:ascii="Times New Roman" w:hAnsi="Times New Roman" w:cs="Times New Roman"/>
          <w:sz w:val="24"/>
        </w:rPr>
        <w:t>, on average,</w:t>
      </w:r>
      <w:r w:rsidRPr="00AC50A8">
        <w:rPr>
          <w:rFonts w:ascii="Times New Roman" w:hAnsi="Times New Roman" w:cs="Times New Roman"/>
          <w:sz w:val="24"/>
        </w:rPr>
        <w:t xml:space="preserve"> highly significant cumulative abnormal returns in the days around the </w:t>
      </w:r>
      <w:r w:rsidR="007927AF">
        <w:rPr>
          <w:rFonts w:ascii="Times New Roman" w:hAnsi="Times New Roman" w:cs="Times New Roman"/>
          <w:sz w:val="24"/>
        </w:rPr>
        <w:t>bid announcement</w:t>
      </w:r>
      <w:r w:rsidRPr="00AC50A8">
        <w:rPr>
          <w:rFonts w:ascii="Times New Roman" w:hAnsi="Times New Roman" w:cs="Times New Roman"/>
          <w:sz w:val="24"/>
        </w:rPr>
        <w:t xml:space="preserve">. For target firms in domestic deals, the highest CARs are reported for the period between day </w:t>
      </w:r>
      <w:r w:rsidR="006236C0">
        <w:rPr>
          <w:rFonts w:ascii="Times New Roman" w:hAnsi="Times New Roman" w:cs="Times New Roman"/>
          <w:sz w:val="24"/>
        </w:rPr>
        <w:t>t</w:t>
      </w:r>
      <w:r w:rsidRPr="00AC50A8">
        <w:rPr>
          <w:rFonts w:ascii="Times New Roman" w:hAnsi="Times New Roman" w:cs="Times New Roman"/>
          <w:sz w:val="24"/>
        </w:rPr>
        <w:t xml:space="preserve">-2 to </w:t>
      </w:r>
      <w:r w:rsidR="006236C0">
        <w:rPr>
          <w:rFonts w:ascii="Times New Roman" w:hAnsi="Times New Roman" w:cs="Times New Roman"/>
          <w:sz w:val="24"/>
        </w:rPr>
        <w:t>t</w:t>
      </w:r>
      <w:r w:rsidRPr="00AC50A8">
        <w:rPr>
          <w:rFonts w:ascii="Times New Roman" w:hAnsi="Times New Roman" w:cs="Times New Roman"/>
          <w:sz w:val="24"/>
        </w:rPr>
        <w:t xml:space="preserve">+1 and day </w:t>
      </w:r>
      <w:r w:rsidR="006236C0">
        <w:rPr>
          <w:rFonts w:ascii="Times New Roman" w:hAnsi="Times New Roman" w:cs="Times New Roman"/>
          <w:sz w:val="24"/>
        </w:rPr>
        <w:t>t</w:t>
      </w:r>
      <w:r w:rsidRPr="00AC50A8">
        <w:rPr>
          <w:rFonts w:ascii="Times New Roman" w:hAnsi="Times New Roman" w:cs="Times New Roman"/>
          <w:sz w:val="24"/>
        </w:rPr>
        <w:t xml:space="preserve">-8 to </w:t>
      </w:r>
      <w:r w:rsidR="006236C0">
        <w:rPr>
          <w:rFonts w:ascii="Times New Roman" w:hAnsi="Times New Roman" w:cs="Times New Roman"/>
          <w:sz w:val="24"/>
        </w:rPr>
        <w:t>t</w:t>
      </w:r>
      <w:r w:rsidRPr="00AC50A8">
        <w:rPr>
          <w:rFonts w:ascii="Times New Roman" w:hAnsi="Times New Roman" w:cs="Times New Roman"/>
          <w:sz w:val="24"/>
        </w:rPr>
        <w:t>+5, accounting for 20.96% and 26.18% (21% and 26.3%), respectively; while target firms in cross-border deals generated the highest CARs in the periods from day t-2 to t+1 and t-8 to t+5, accounting for 20.96% and 26.18% (21% and 26.31%), respectively. The highest difference in cumulative abnormal returns between both sub-</w:t>
      </w:r>
      <w:r w:rsidRPr="00AC50A8">
        <w:rPr>
          <w:rFonts w:ascii="Times New Roman" w:hAnsi="Times New Roman" w:cs="Times New Roman"/>
          <w:sz w:val="24"/>
        </w:rPr>
        <w:lastRenderedPageBreak/>
        <w:t xml:space="preserve">samples is observed from day t0 to t-1 and t-1 to t+5, accounting to a highly significant positive cross-border effect of 5.7% and 3.3% (5.7% and 3.4%), respectively.  </w:t>
      </w:r>
    </w:p>
    <w:p w14:paraId="1A59BE51" w14:textId="3511646A" w:rsidR="00AC50A8" w:rsidRPr="00AC50A8" w:rsidRDefault="00AC50A8" w:rsidP="00AD49C8">
      <w:pPr>
        <w:tabs>
          <w:tab w:val="left" w:pos="1052"/>
        </w:tabs>
        <w:spacing w:after="0" w:line="360" w:lineRule="auto"/>
        <w:ind w:firstLine="284"/>
        <w:jc w:val="both"/>
        <w:rPr>
          <w:rFonts w:ascii="Times New Roman" w:hAnsi="Times New Roman" w:cs="Times New Roman"/>
          <w:sz w:val="24"/>
        </w:rPr>
      </w:pPr>
      <w:r w:rsidRPr="00AC50A8">
        <w:rPr>
          <w:rFonts w:ascii="Times New Roman" w:hAnsi="Times New Roman" w:cs="Times New Roman"/>
          <w:sz w:val="24"/>
        </w:rPr>
        <w:t xml:space="preserve">Contrary to the international risk diversification hypothesis, target firms’ shareholders, in cross-border acquisitions, are found to earn </w:t>
      </w:r>
      <w:r w:rsidR="00160F72">
        <w:rPr>
          <w:rFonts w:ascii="Times New Roman" w:hAnsi="Times New Roman" w:cs="Times New Roman"/>
          <w:sz w:val="24"/>
        </w:rPr>
        <w:t>higher</w:t>
      </w:r>
      <w:r w:rsidRPr="00AC50A8">
        <w:rPr>
          <w:rFonts w:ascii="Times New Roman" w:hAnsi="Times New Roman" w:cs="Times New Roman"/>
          <w:sz w:val="24"/>
        </w:rPr>
        <w:t xml:space="preserve"> cumulative abnormal returns when acquired by bidders from Europe. </w:t>
      </w:r>
      <w:r w:rsidR="00160F72">
        <w:rPr>
          <w:rFonts w:ascii="Times New Roman" w:hAnsi="Times New Roman" w:cs="Times New Roman"/>
          <w:sz w:val="24"/>
        </w:rPr>
        <w:t>None EU Acquirers are</w:t>
      </w:r>
      <w:r>
        <w:rPr>
          <w:rFonts w:ascii="Times New Roman" w:hAnsi="Times New Roman" w:cs="Times New Roman"/>
          <w:sz w:val="24"/>
        </w:rPr>
        <w:t xml:space="preserve"> not </w:t>
      </w:r>
      <w:r w:rsidR="00F82C4E">
        <w:rPr>
          <w:rFonts w:ascii="Times New Roman" w:hAnsi="Times New Roman" w:cs="Times New Roman"/>
          <w:sz w:val="24"/>
        </w:rPr>
        <w:t>found to have a significant impact on the level of cumulative abnormal returns target firms earned</w:t>
      </w:r>
      <w:r w:rsidR="00160F72">
        <w:rPr>
          <w:rFonts w:ascii="Times New Roman" w:hAnsi="Times New Roman" w:cs="Times New Roman"/>
          <w:sz w:val="24"/>
        </w:rPr>
        <w:t xml:space="preserve"> in </w:t>
      </w:r>
      <w:r w:rsidR="007927AF">
        <w:rPr>
          <w:rFonts w:ascii="Times New Roman" w:hAnsi="Times New Roman" w:cs="Times New Roman"/>
          <w:sz w:val="24"/>
        </w:rPr>
        <w:t>international bids</w:t>
      </w:r>
      <w:r w:rsidR="00F82C4E">
        <w:rPr>
          <w:rFonts w:ascii="Times New Roman" w:hAnsi="Times New Roman" w:cs="Times New Roman"/>
          <w:sz w:val="24"/>
        </w:rPr>
        <w:t>;</w:t>
      </w:r>
      <w:r>
        <w:rPr>
          <w:rFonts w:ascii="Times New Roman" w:hAnsi="Times New Roman" w:cs="Times New Roman"/>
          <w:sz w:val="24"/>
        </w:rPr>
        <w:t xml:space="preserve"> </w:t>
      </w:r>
      <w:r w:rsidR="00F82C4E">
        <w:rPr>
          <w:rFonts w:ascii="Times New Roman" w:hAnsi="Times New Roman" w:cs="Times New Roman"/>
          <w:sz w:val="24"/>
        </w:rPr>
        <w:t>t</w:t>
      </w:r>
      <w:r w:rsidRPr="00AC50A8">
        <w:rPr>
          <w:rFonts w:ascii="Times New Roman" w:hAnsi="Times New Roman" w:cs="Times New Roman"/>
          <w:sz w:val="24"/>
        </w:rPr>
        <w:t xml:space="preserve">herefore, the second hypothesis of this paper is rejected, as </w:t>
      </w:r>
      <w:r w:rsidR="007927AF">
        <w:rPr>
          <w:rFonts w:ascii="Times New Roman" w:hAnsi="Times New Roman" w:cs="Times New Roman"/>
          <w:sz w:val="24"/>
        </w:rPr>
        <w:t>t</w:t>
      </w:r>
      <w:r w:rsidR="007927AF" w:rsidRPr="007927AF">
        <w:rPr>
          <w:rFonts w:ascii="Times New Roman" w:hAnsi="Times New Roman" w:cs="Times New Roman"/>
          <w:sz w:val="24"/>
        </w:rPr>
        <w:t>here is insufficient support for a premium for the internati</w:t>
      </w:r>
      <w:r w:rsidR="007927AF">
        <w:rPr>
          <w:rFonts w:ascii="Times New Roman" w:hAnsi="Times New Roman" w:cs="Times New Roman"/>
          <w:sz w:val="24"/>
        </w:rPr>
        <w:t>onal diversification benefits</w:t>
      </w:r>
      <w:r w:rsidRPr="00AC50A8">
        <w:rPr>
          <w:rFonts w:ascii="Times New Roman" w:hAnsi="Times New Roman" w:cs="Times New Roman"/>
          <w:sz w:val="24"/>
        </w:rPr>
        <w:t xml:space="preserve">. </w:t>
      </w:r>
      <w:r w:rsidR="00AD49C8" w:rsidRPr="00AC50A8">
        <w:rPr>
          <w:rFonts w:ascii="Times New Roman" w:hAnsi="Times New Roman" w:cs="Times New Roman"/>
          <w:sz w:val="24"/>
        </w:rPr>
        <w:t>Target firms’ shareholders</w:t>
      </w:r>
      <w:r w:rsidR="00AF4687">
        <w:rPr>
          <w:rFonts w:ascii="Times New Roman" w:hAnsi="Times New Roman" w:cs="Times New Roman"/>
          <w:sz w:val="24"/>
        </w:rPr>
        <w:t>,</w:t>
      </w:r>
      <w:r w:rsidR="00AD49C8" w:rsidRPr="00AC50A8">
        <w:rPr>
          <w:rFonts w:ascii="Times New Roman" w:hAnsi="Times New Roman" w:cs="Times New Roman"/>
          <w:sz w:val="24"/>
        </w:rPr>
        <w:t xml:space="preserve"> in cross-border </w:t>
      </w:r>
      <w:r w:rsidR="007927AF">
        <w:rPr>
          <w:rFonts w:ascii="Times New Roman" w:hAnsi="Times New Roman" w:cs="Times New Roman"/>
          <w:sz w:val="24"/>
        </w:rPr>
        <w:t>deals</w:t>
      </w:r>
      <w:r w:rsidR="00AF4687">
        <w:rPr>
          <w:rFonts w:ascii="Times New Roman" w:hAnsi="Times New Roman" w:cs="Times New Roman"/>
          <w:sz w:val="24"/>
        </w:rPr>
        <w:t>,</w:t>
      </w:r>
      <w:r w:rsidR="00AD49C8" w:rsidRPr="00AC50A8">
        <w:rPr>
          <w:rFonts w:ascii="Times New Roman" w:hAnsi="Times New Roman" w:cs="Times New Roman"/>
          <w:sz w:val="24"/>
        </w:rPr>
        <w:t xml:space="preserve"> are found to earn 15.1% </w:t>
      </w:r>
      <w:r w:rsidR="00160F72">
        <w:rPr>
          <w:rFonts w:ascii="Times New Roman" w:hAnsi="Times New Roman" w:cs="Times New Roman"/>
          <w:sz w:val="24"/>
        </w:rPr>
        <w:t xml:space="preserve">(14.5%, after controlling for target nation and industry effects) </w:t>
      </w:r>
      <w:r w:rsidR="00AD49C8" w:rsidRPr="00AC50A8">
        <w:rPr>
          <w:rFonts w:ascii="Times New Roman" w:hAnsi="Times New Roman" w:cs="Times New Roman"/>
          <w:sz w:val="24"/>
        </w:rPr>
        <w:t xml:space="preserve">higher cumulative abnormal returns when acquired by bidders with no prior EU </w:t>
      </w:r>
      <w:r w:rsidR="007927AF">
        <w:rPr>
          <w:rFonts w:ascii="Times New Roman" w:hAnsi="Times New Roman" w:cs="Times New Roman"/>
          <w:sz w:val="24"/>
        </w:rPr>
        <w:t>activities</w:t>
      </w:r>
      <w:r w:rsidR="00AD49C8" w:rsidRPr="00AC50A8">
        <w:rPr>
          <w:rFonts w:ascii="Times New Roman" w:hAnsi="Times New Roman" w:cs="Times New Roman"/>
          <w:sz w:val="24"/>
        </w:rPr>
        <w:t xml:space="preserve">. </w:t>
      </w:r>
      <w:r w:rsidR="007927AF" w:rsidRPr="007927AF">
        <w:rPr>
          <w:rFonts w:ascii="Times New Roman" w:hAnsi="Times New Roman" w:cs="Times New Roman"/>
          <w:sz w:val="24"/>
        </w:rPr>
        <w:t>There is, therefore, proof to support a market access premium in Western Europe</w:t>
      </w:r>
      <w:r w:rsidR="00AD49C8" w:rsidRPr="00AC50A8">
        <w:rPr>
          <w:rFonts w:ascii="Times New Roman" w:hAnsi="Times New Roman" w:cs="Times New Roman"/>
          <w:sz w:val="24"/>
        </w:rPr>
        <w:t xml:space="preserve">; hence, the third hypothesis is accepted. </w:t>
      </w:r>
      <w:r w:rsidRPr="00AC50A8">
        <w:rPr>
          <w:rFonts w:ascii="Times New Roman" w:hAnsi="Times New Roman" w:cs="Times New Roman"/>
          <w:sz w:val="24"/>
        </w:rPr>
        <w:t xml:space="preserve">The target </w:t>
      </w:r>
      <w:r w:rsidR="007927AF">
        <w:rPr>
          <w:rFonts w:ascii="Times New Roman" w:hAnsi="Times New Roman" w:cs="Times New Roman"/>
          <w:sz w:val="24"/>
        </w:rPr>
        <w:t>cumulative abnormal returns</w:t>
      </w:r>
      <w:r w:rsidRPr="00AC50A8">
        <w:rPr>
          <w:rFonts w:ascii="Times New Roman" w:hAnsi="Times New Roman" w:cs="Times New Roman"/>
          <w:sz w:val="24"/>
        </w:rPr>
        <w:t xml:space="preserve"> in </w:t>
      </w:r>
      <w:r w:rsidR="007927AF">
        <w:rPr>
          <w:rFonts w:ascii="Times New Roman" w:hAnsi="Times New Roman" w:cs="Times New Roman"/>
          <w:sz w:val="24"/>
        </w:rPr>
        <w:t>international bids</w:t>
      </w:r>
      <w:r w:rsidRPr="00AC50A8">
        <w:rPr>
          <w:rFonts w:ascii="Times New Roman" w:hAnsi="Times New Roman" w:cs="Times New Roman"/>
          <w:sz w:val="24"/>
        </w:rPr>
        <w:t xml:space="preserve"> </w:t>
      </w:r>
      <w:r w:rsidR="007927AF">
        <w:rPr>
          <w:rFonts w:ascii="Times New Roman" w:hAnsi="Times New Roman" w:cs="Times New Roman"/>
          <w:sz w:val="24"/>
        </w:rPr>
        <w:t>do not seem</w:t>
      </w:r>
      <w:r w:rsidRPr="00AC50A8">
        <w:rPr>
          <w:rFonts w:ascii="Times New Roman" w:hAnsi="Times New Roman" w:cs="Times New Roman"/>
          <w:sz w:val="24"/>
        </w:rPr>
        <w:t xml:space="preserve"> to be </w:t>
      </w:r>
      <w:r w:rsidR="007927AF">
        <w:rPr>
          <w:rFonts w:ascii="Times New Roman" w:hAnsi="Times New Roman" w:cs="Times New Roman"/>
          <w:sz w:val="24"/>
        </w:rPr>
        <w:t>affected</w:t>
      </w:r>
      <w:r w:rsidRPr="00AC50A8">
        <w:rPr>
          <w:rFonts w:ascii="Times New Roman" w:hAnsi="Times New Roman" w:cs="Times New Roman"/>
          <w:sz w:val="24"/>
        </w:rPr>
        <w:t xml:space="preserve"> by the exchange rate of acquirer’s to target’s currency; evidence to support the exchange rate hypothesis are mixed and statistically insignificant; hence, the fourth hypothesis of this paper is rejected. </w:t>
      </w:r>
    </w:p>
    <w:p w14:paraId="4166893F" w14:textId="300B2F4F" w:rsidR="0093431C" w:rsidRDefault="00AC50A8" w:rsidP="00D021DD">
      <w:pPr>
        <w:tabs>
          <w:tab w:val="left" w:pos="1052"/>
        </w:tabs>
        <w:spacing w:after="0" w:line="360" w:lineRule="auto"/>
        <w:ind w:firstLine="284"/>
        <w:jc w:val="both"/>
        <w:rPr>
          <w:rFonts w:ascii="Times New Roman" w:hAnsi="Times New Roman" w:cs="Times New Roman"/>
          <w:sz w:val="24"/>
        </w:rPr>
      </w:pPr>
      <w:r w:rsidRPr="00AC50A8">
        <w:rPr>
          <w:rFonts w:ascii="Times New Roman" w:hAnsi="Times New Roman" w:cs="Times New Roman"/>
          <w:sz w:val="24"/>
        </w:rPr>
        <w:t>Bid characteristics</w:t>
      </w:r>
      <w:r w:rsidR="009840AA">
        <w:rPr>
          <w:rFonts w:ascii="Times New Roman" w:hAnsi="Times New Roman" w:cs="Times New Roman"/>
          <w:sz w:val="24"/>
        </w:rPr>
        <w:t xml:space="preserve"> </w:t>
      </w:r>
      <w:r w:rsidRPr="00AC50A8">
        <w:rPr>
          <w:rFonts w:ascii="Times New Roman" w:hAnsi="Times New Roman" w:cs="Times New Roman"/>
          <w:sz w:val="24"/>
        </w:rPr>
        <w:t xml:space="preserve">are found to have a significant </w:t>
      </w:r>
      <w:r w:rsidR="009840AA">
        <w:rPr>
          <w:rFonts w:ascii="Times New Roman" w:hAnsi="Times New Roman" w:cs="Times New Roman"/>
          <w:sz w:val="24"/>
        </w:rPr>
        <w:t>effect</w:t>
      </w:r>
      <w:r w:rsidRPr="00AC50A8">
        <w:rPr>
          <w:rFonts w:ascii="Times New Roman" w:hAnsi="Times New Roman" w:cs="Times New Roman"/>
          <w:sz w:val="24"/>
        </w:rPr>
        <w:t xml:space="preserve"> on the </w:t>
      </w:r>
      <w:r w:rsidR="009840AA">
        <w:rPr>
          <w:rFonts w:ascii="Times New Roman" w:hAnsi="Times New Roman" w:cs="Times New Roman"/>
          <w:sz w:val="24"/>
        </w:rPr>
        <w:t>rate</w:t>
      </w:r>
      <w:r w:rsidRPr="00AC50A8">
        <w:rPr>
          <w:rFonts w:ascii="Times New Roman" w:hAnsi="Times New Roman" w:cs="Times New Roman"/>
          <w:sz w:val="24"/>
        </w:rPr>
        <w:t xml:space="preserve"> of cumulative abnormal returns earned by </w:t>
      </w:r>
      <w:r w:rsidR="009840AA">
        <w:rPr>
          <w:rFonts w:ascii="Times New Roman" w:hAnsi="Times New Roman" w:cs="Times New Roman"/>
          <w:sz w:val="24"/>
        </w:rPr>
        <w:t xml:space="preserve">the shareholders of target firms </w:t>
      </w:r>
      <w:r w:rsidR="00F82C4E">
        <w:rPr>
          <w:rFonts w:ascii="Times New Roman" w:hAnsi="Times New Roman" w:cs="Times New Roman"/>
          <w:sz w:val="24"/>
        </w:rPr>
        <w:t xml:space="preserve">in cross-border </w:t>
      </w:r>
      <w:r w:rsidR="00302A34">
        <w:rPr>
          <w:rFonts w:ascii="Times New Roman" w:hAnsi="Times New Roman" w:cs="Times New Roman"/>
          <w:sz w:val="24"/>
        </w:rPr>
        <w:t>deals</w:t>
      </w:r>
      <w:r w:rsidR="009840AA">
        <w:rPr>
          <w:rFonts w:ascii="Times New Roman" w:hAnsi="Times New Roman" w:cs="Times New Roman"/>
          <w:sz w:val="24"/>
        </w:rPr>
        <w:t>,</w:t>
      </w:r>
      <w:r w:rsidR="00302A34">
        <w:rPr>
          <w:rFonts w:ascii="Times New Roman" w:hAnsi="Times New Roman" w:cs="Times New Roman"/>
          <w:sz w:val="24"/>
        </w:rPr>
        <w:t xml:space="preserve"> </w:t>
      </w:r>
      <w:r w:rsidRPr="00AC50A8">
        <w:rPr>
          <w:rFonts w:ascii="Times New Roman" w:hAnsi="Times New Roman" w:cs="Times New Roman"/>
          <w:sz w:val="24"/>
        </w:rPr>
        <w:t>around the announcement day. It is found that cash-only (stock-only) offers will generate 9.5% (12.3%) higher (lower) cumulative abnormal returns to target firms’ shareholders in the day of a</w:t>
      </w:r>
      <w:r w:rsidR="0006778F">
        <w:rPr>
          <w:rFonts w:ascii="Times New Roman" w:hAnsi="Times New Roman" w:cs="Times New Roman"/>
          <w:sz w:val="24"/>
        </w:rPr>
        <w:t>nd post to the bid announcement.</w:t>
      </w:r>
      <w:r w:rsidRPr="00AC50A8">
        <w:rPr>
          <w:rFonts w:ascii="Times New Roman" w:hAnsi="Times New Roman" w:cs="Times New Roman"/>
          <w:sz w:val="24"/>
        </w:rPr>
        <w:t xml:space="preserve"> </w:t>
      </w:r>
      <w:r w:rsidR="0093431C">
        <w:rPr>
          <w:rFonts w:ascii="Times New Roman" w:hAnsi="Times New Roman" w:cs="Times New Roman"/>
          <w:sz w:val="24"/>
        </w:rPr>
        <w:t xml:space="preserve">Other bid characteristics, such as the deal attitude, percentage of stake acquired, and relatedness of target and acquirer industries, are not found </w:t>
      </w:r>
      <w:r w:rsidR="009840AA">
        <w:rPr>
          <w:rFonts w:ascii="Times New Roman" w:hAnsi="Times New Roman" w:cs="Times New Roman"/>
          <w:sz w:val="24"/>
        </w:rPr>
        <w:t>influence</w:t>
      </w:r>
      <w:r w:rsidR="0093431C">
        <w:rPr>
          <w:rFonts w:ascii="Times New Roman" w:hAnsi="Times New Roman" w:cs="Times New Roman"/>
          <w:sz w:val="24"/>
        </w:rPr>
        <w:t xml:space="preserve"> the </w:t>
      </w:r>
      <w:r w:rsidR="009840AA">
        <w:rPr>
          <w:rFonts w:ascii="Times New Roman" w:hAnsi="Times New Roman" w:cs="Times New Roman"/>
          <w:sz w:val="24"/>
        </w:rPr>
        <w:t>percentage</w:t>
      </w:r>
      <w:r w:rsidR="0093431C">
        <w:rPr>
          <w:rFonts w:ascii="Times New Roman" w:hAnsi="Times New Roman" w:cs="Times New Roman"/>
          <w:sz w:val="24"/>
        </w:rPr>
        <w:t xml:space="preserve"> of </w:t>
      </w:r>
      <w:r w:rsidR="009840AA">
        <w:rPr>
          <w:rFonts w:ascii="Times New Roman" w:hAnsi="Times New Roman" w:cs="Times New Roman"/>
          <w:sz w:val="24"/>
        </w:rPr>
        <w:t xml:space="preserve">cumulative </w:t>
      </w:r>
      <w:r w:rsidR="0093431C">
        <w:rPr>
          <w:rFonts w:ascii="Times New Roman" w:hAnsi="Times New Roman" w:cs="Times New Roman"/>
          <w:sz w:val="24"/>
        </w:rPr>
        <w:t>abnormal returns to target firms in cross-border acquisitions.</w:t>
      </w:r>
      <w:r w:rsidR="0006778F">
        <w:rPr>
          <w:rFonts w:ascii="Times New Roman" w:hAnsi="Times New Roman" w:cs="Times New Roman"/>
          <w:sz w:val="24"/>
        </w:rPr>
        <w:t xml:space="preserve"> Firms financial multiplies, EPS and EPS growth rate</w:t>
      </w:r>
      <w:r w:rsidR="00D021DD">
        <w:rPr>
          <w:rFonts w:ascii="Times New Roman" w:hAnsi="Times New Roman" w:cs="Times New Roman"/>
          <w:sz w:val="24"/>
        </w:rPr>
        <w:t>, and target firms’ industries</w:t>
      </w:r>
      <w:r w:rsidR="0006778F">
        <w:rPr>
          <w:rFonts w:ascii="Times New Roman" w:hAnsi="Times New Roman" w:cs="Times New Roman"/>
          <w:sz w:val="24"/>
        </w:rPr>
        <w:t xml:space="preserve"> </w:t>
      </w:r>
      <w:r w:rsidR="00D021DD">
        <w:rPr>
          <w:rFonts w:ascii="Times New Roman" w:hAnsi="Times New Roman" w:cs="Times New Roman"/>
          <w:sz w:val="24"/>
        </w:rPr>
        <w:t xml:space="preserve">are found to have a significant impact on the level of cumulative abnormal returns to target shareholder’s in cross-border acquisitions in the days from t-1 to t+5; however, the remaining target firm’s financial multiplies and size are to found to have an insignificant impact. </w:t>
      </w:r>
    </w:p>
    <w:p w14:paraId="5937B8B4" w14:textId="76BC5BC4" w:rsidR="0032220B" w:rsidRPr="00D14D96" w:rsidRDefault="00754F09" w:rsidP="00D14D96">
      <w:pPr>
        <w:spacing w:after="0" w:line="360" w:lineRule="auto"/>
        <w:ind w:firstLine="284"/>
        <w:jc w:val="both"/>
        <w:rPr>
          <w:rFonts w:ascii="Times New Roman" w:hAnsi="Times New Roman" w:cs="Times New Roman"/>
          <w:sz w:val="24"/>
        </w:rPr>
      </w:pPr>
      <w:r>
        <w:rPr>
          <w:rFonts w:ascii="Times New Roman" w:hAnsi="Times New Roman" w:cs="Times New Roman"/>
          <w:sz w:val="24"/>
        </w:rPr>
        <w:t>Western European target firm</w:t>
      </w:r>
      <w:r w:rsidR="00D021DD">
        <w:rPr>
          <w:rFonts w:ascii="Times New Roman" w:hAnsi="Times New Roman" w:cs="Times New Roman"/>
          <w:sz w:val="24"/>
        </w:rPr>
        <w:t xml:space="preserve"> cross-border effect is found</w:t>
      </w:r>
      <w:r w:rsidR="0032220B">
        <w:rPr>
          <w:rFonts w:ascii="Times New Roman" w:hAnsi="Times New Roman" w:cs="Times New Roman"/>
          <w:sz w:val="24"/>
        </w:rPr>
        <w:t xml:space="preserve"> </w:t>
      </w:r>
      <w:r w:rsidR="00D371CC">
        <w:rPr>
          <w:rFonts w:ascii="Times New Roman" w:hAnsi="Times New Roman" w:cs="Times New Roman"/>
          <w:sz w:val="24"/>
        </w:rPr>
        <w:t>to be attributed to the differences in firms and bid specific characteristics and the market access premium</w:t>
      </w:r>
      <w:r>
        <w:rPr>
          <w:rFonts w:ascii="Times New Roman" w:hAnsi="Times New Roman" w:cs="Times New Roman"/>
          <w:sz w:val="24"/>
        </w:rPr>
        <w:t xml:space="preserve">. </w:t>
      </w:r>
      <w:r w:rsidR="00D371CC">
        <w:rPr>
          <w:rFonts w:ascii="Times New Roman" w:hAnsi="Times New Roman" w:cs="Times New Roman"/>
          <w:sz w:val="24"/>
        </w:rPr>
        <w:t xml:space="preserve">There is, </w:t>
      </w:r>
      <w:r w:rsidR="009840AA">
        <w:rPr>
          <w:rFonts w:ascii="Times New Roman" w:hAnsi="Times New Roman" w:cs="Times New Roman"/>
          <w:sz w:val="24"/>
        </w:rPr>
        <w:t>therefore</w:t>
      </w:r>
      <w:r w:rsidR="00D371CC">
        <w:rPr>
          <w:rFonts w:ascii="Times New Roman" w:hAnsi="Times New Roman" w:cs="Times New Roman"/>
          <w:sz w:val="24"/>
        </w:rPr>
        <w:t xml:space="preserve">, no </w:t>
      </w:r>
      <w:r w:rsidR="009840AA">
        <w:rPr>
          <w:rFonts w:ascii="Times New Roman" w:hAnsi="Times New Roman" w:cs="Times New Roman"/>
          <w:sz w:val="24"/>
        </w:rPr>
        <w:t>proof</w:t>
      </w:r>
      <w:r w:rsidR="00D371CC">
        <w:rPr>
          <w:rFonts w:ascii="Times New Roman" w:hAnsi="Times New Roman" w:cs="Times New Roman"/>
          <w:sz w:val="24"/>
        </w:rPr>
        <w:t xml:space="preserve"> to </w:t>
      </w:r>
      <w:r w:rsidR="009840AA">
        <w:rPr>
          <w:rFonts w:ascii="Times New Roman" w:hAnsi="Times New Roman" w:cs="Times New Roman"/>
          <w:sz w:val="24"/>
        </w:rPr>
        <w:t xml:space="preserve">reinforce </w:t>
      </w:r>
      <w:r w:rsidR="00D371CC">
        <w:rPr>
          <w:rFonts w:ascii="Times New Roman" w:hAnsi="Times New Roman" w:cs="Times New Roman"/>
          <w:sz w:val="24"/>
        </w:rPr>
        <w:t>a cross-border premium for target firms in Western Europe; hence,</w:t>
      </w:r>
      <w:r w:rsidR="0032220B">
        <w:rPr>
          <w:rFonts w:ascii="Times New Roman" w:hAnsi="Times New Roman" w:cs="Times New Roman"/>
          <w:sz w:val="24"/>
        </w:rPr>
        <w:t xml:space="preserve"> the first hypothesis is rejected</w:t>
      </w:r>
      <w:r w:rsidR="0032220B" w:rsidRPr="000554E6">
        <w:rPr>
          <w:rFonts w:ascii="Times New Roman" w:hAnsi="Times New Roman" w:cs="Times New Roman"/>
          <w:sz w:val="24"/>
        </w:rPr>
        <w:t>.</w:t>
      </w:r>
      <w:r w:rsidR="00D14D96">
        <w:rPr>
          <w:rFonts w:ascii="Times New Roman" w:hAnsi="Times New Roman" w:cs="Times New Roman"/>
          <w:sz w:val="24"/>
        </w:rPr>
        <w:t xml:space="preserve"> Although a significant cross-border effect of 2.6% and 1.4% are found for </w:t>
      </w:r>
      <w:r w:rsidR="00D14D96" w:rsidRPr="002E08AB">
        <w:rPr>
          <w:rFonts w:ascii="Times New Roman" w:hAnsi="Times New Roman" w:cs="Times New Roman"/>
          <w:sz w:val="24"/>
        </w:rPr>
        <w:t>the event periods</w:t>
      </w:r>
      <w:r w:rsidR="00D14D96">
        <w:rPr>
          <w:rFonts w:ascii="Times New Roman" w:hAnsi="Times New Roman" w:cs="Times New Roman"/>
          <w:sz w:val="24"/>
        </w:rPr>
        <w:t xml:space="preserve"> </w:t>
      </w:r>
      <w:r w:rsidR="002E08AB">
        <w:rPr>
          <w:rFonts w:ascii="Times New Roman" w:hAnsi="Times New Roman" w:cs="Times New Roman"/>
          <w:sz w:val="24"/>
        </w:rPr>
        <w:t xml:space="preserve">from </w:t>
      </w:r>
      <w:r w:rsidR="00D14D96">
        <w:rPr>
          <w:rFonts w:ascii="Times New Roman" w:hAnsi="Times New Roman" w:cs="Times New Roman"/>
          <w:sz w:val="24"/>
        </w:rPr>
        <w:t>t0 to t-1 and t-1 to t+5</w:t>
      </w:r>
      <w:r w:rsidR="002E08AB">
        <w:rPr>
          <w:rFonts w:ascii="Times New Roman" w:hAnsi="Times New Roman" w:cs="Times New Roman"/>
          <w:sz w:val="24"/>
        </w:rPr>
        <w:t xml:space="preserve"> days</w:t>
      </w:r>
      <w:r w:rsidR="00D14D96">
        <w:rPr>
          <w:rFonts w:ascii="Times New Roman" w:hAnsi="Times New Roman" w:cs="Times New Roman"/>
          <w:sz w:val="24"/>
        </w:rPr>
        <w:t>, respectively, once</w:t>
      </w:r>
      <w:r w:rsidR="002E08AB">
        <w:rPr>
          <w:rFonts w:ascii="Times New Roman" w:hAnsi="Times New Roman" w:cs="Times New Roman"/>
          <w:sz w:val="24"/>
        </w:rPr>
        <w:t xml:space="preserve"> the</w:t>
      </w:r>
      <w:r w:rsidR="00D14D96">
        <w:rPr>
          <w:rFonts w:ascii="Times New Roman" w:hAnsi="Times New Roman" w:cs="Times New Roman"/>
          <w:sz w:val="24"/>
        </w:rPr>
        <w:t xml:space="preserve"> industry effect is controlled for, the cross-border effect is found to be insignificant.</w:t>
      </w:r>
      <w:r w:rsidR="00D371CC">
        <w:rPr>
          <w:rFonts w:ascii="Times New Roman" w:hAnsi="Times New Roman" w:cs="Times New Roman"/>
          <w:sz w:val="24"/>
        </w:rPr>
        <w:t xml:space="preserve"> However,</w:t>
      </w:r>
      <w:r w:rsidR="0032220B">
        <w:rPr>
          <w:rFonts w:ascii="Times New Roman" w:hAnsi="Times New Roman" w:cs="Times New Roman"/>
          <w:sz w:val="24"/>
        </w:rPr>
        <w:t xml:space="preserve"> </w:t>
      </w:r>
      <w:r w:rsidR="00D371CC">
        <w:rPr>
          <w:rFonts w:ascii="Times New Roman" w:hAnsi="Times New Roman" w:cs="Times New Roman"/>
          <w:sz w:val="24"/>
        </w:rPr>
        <w:t>w</w:t>
      </w:r>
      <w:r w:rsidR="00D11138">
        <w:rPr>
          <w:rFonts w:ascii="Times New Roman" w:hAnsi="Times New Roman" w:cs="Times New Roman"/>
          <w:sz w:val="24"/>
        </w:rPr>
        <w:t xml:space="preserve">hen UK target firms </w:t>
      </w:r>
      <w:r w:rsidR="00D371CC">
        <w:rPr>
          <w:rFonts w:ascii="Times New Roman" w:hAnsi="Times New Roman" w:cs="Times New Roman"/>
          <w:sz w:val="24"/>
        </w:rPr>
        <w:t>are</w:t>
      </w:r>
      <w:r w:rsidR="00D11138">
        <w:rPr>
          <w:rFonts w:ascii="Times New Roman" w:hAnsi="Times New Roman" w:cs="Times New Roman"/>
          <w:sz w:val="24"/>
        </w:rPr>
        <w:t xml:space="preserve"> removed </w:t>
      </w:r>
      <w:r w:rsidR="00D11138">
        <w:rPr>
          <w:rFonts w:ascii="Times New Roman" w:hAnsi="Times New Roman" w:cs="Times New Roman"/>
          <w:sz w:val="24"/>
        </w:rPr>
        <w:lastRenderedPageBreak/>
        <w:t xml:space="preserve">from the sample, </w:t>
      </w:r>
      <w:r w:rsidR="00D371CC">
        <w:rPr>
          <w:rFonts w:ascii="Times New Roman" w:hAnsi="Times New Roman" w:cs="Times New Roman"/>
          <w:sz w:val="24"/>
        </w:rPr>
        <w:t>a Western European</w:t>
      </w:r>
      <w:r w:rsidR="00D11138" w:rsidRPr="00084D8C">
        <w:rPr>
          <w:rFonts w:ascii="Times New Roman" w:hAnsi="Times New Roman" w:cs="Times New Roman"/>
          <w:sz w:val="24"/>
        </w:rPr>
        <w:t xml:space="preserve"> </w:t>
      </w:r>
      <w:r w:rsidR="00D371CC">
        <w:rPr>
          <w:rFonts w:ascii="Times New Roman" w:hAnsi="Times New Roman" w:cs="Times New Roman"/>
          <w:sz w:val="24"/>
        </w:rPr>
        <w:t>(</w:t>
      </w:r>
      <w:r w:rsidR="00D11138" w:rsidRPr="00084D8C">
        <w:rPr>
          <w:rFonts w:ascii="Times New Roman" w:hAnsi="Times New Roman" w:cs="Times New Roman"/>
          <w:sz w:val="24"/>
        </w:rPr>
        <w:t xml:space="preserve">excluding </w:t>
      </w:r>
      <w:r w:rsidR="00D371CC">
        <w:rPr>
          <w:rFonts w:ascii="Times New Roman" w:hAnsi="Times New Roman" w:cs="Times New Roman"/>
          <w:sz w:val="24"/>
        </w:rPr>
        <w:t xml:space="preserve">the </w:t>
      </w:r>
      <w:r w:rsidR="00D11138" w:rsidRPr="00084D8C">
        <w:rPr>
          <w:rFonts w:ascii="Times New Roman" w:hAnsi="Times New Roman" w:cs="Times New Roman"/>
          <w:sz w:val="24"/>
        </w:rPr>
        <w:t>UK</w:t>
      </w:r>
      <w:r w:rsidR="00D371CC">
        <w:rPr>
          <w:rFonts w:ascii="Times New Roman" w:hAnsi="Times New Roman" w:cs="Times New Roman"/>
          <w:sz w:val="24"/>
        </w:rPr>
        <w:t>)</w:t>
      </w:r>
      <w:r w:rsidR="00D11138" w:rsidRPr="00084D8C">
        <w:rPr>
          <w:rFonts w:ascii="Times New Roman" w:hAnsi="Times New Roman" w:cs="Times New Roman"/>
          <w:sz w:val="24"/>
        </w:rPr>
        <w:t xml:space="preserve"> target </w:t>
      </w:r>
      <w:r w:rsidR="00D371CC" w:rsidRPr="00084D8C">
        <w:rPr>
          <w:rFonts w:ascii="Times New Roman" w:hAnsi="Times New Roman" w:cs="Times New Roman"/>
          <w:sz w:val="24"/>
        </w:rPr>
        <w:t>firm’s</w:t>
      </w:r>
      <w:r w:rsidR="00D11138" w:rsidRPr="00084D8C">
        <w:rPr>
          <w:rFonts w:ascii="Times New Roman" w:hAnsi="Times New Roman" w:cs="Times New Roman"/>
          <w:sz w:val="24"/>
        </w:rPr>
        <w:t xml:space="preserve"> cross-border </w:t>
      </w:r>
      <w:r w:rsidR="00D371CC">
        <w:rPr>
          <w:rFonts w:ascii="Times New Roman" w:hAnsi="Times New Roman" w:cs="Times New Roman"/>
          <w:sz w:val="24"/>
        </w:rPr>
        <w:t>premium</w:t>
      </w:r>
      <w:r w:rsidR="00D11138">
        <w:rPr>
          <w:rFonts w:ascii="Times New Roman" w:hAnsi="Times New Roman" w:cs="Times New Roman"/>
          <w:sz w:val="24"/>
        </w:rPr>
        <w:t>, of approximately 4%</w:t>
      </w:r>
      <w:r w:rsidR="00D371CC">
        <w:rPr>
          <w:rFonts w:ascii="Times New Roman" w:hAnsi="Times New Roman" w:cs="Times New Roman"/>
          <w:sz w:val="24"/>
        </w:rPr>
        <w:t xml:space="preserve">, </w:t>
      </w:r>
      <w:r w:rsidR="00D371CC" w:rsidRPr="00084D8C">
        <w:rPr>
          <w:rFonts w:ascii="Times New Roman" w:hAnsi="Times New Roman" w:cs="Times New Roman"/>
          <w:sz w:val="24"/>
        </w:rPr>
        <w:t>is</w:t>
      </w:r>
      <w:r w:rsidR="00D11138" w:rsidRPr="00084D8C">
        <w:rPr>
          <w:rFonts w:ascii="Times New Roman" w:hAnsi="Times New Roman" w:cs="Times New Roman"/>
          <w:sz w:val="24"/>
        </w:rPr>
        <w:t xml:space="preserve"> present, and is not </w:t>
      </w:r>
      <w:r w:rsidR="00D371CC">
        <w:rPr>
          <w:rFonts w:ascii="Times New Roman" w:hAnsi="Times New Roman" w:cs="Times New Roman"/>
          <w:sz w:val="24"/>
        </w:rPr>
        <w:t>found to be attributed to</w:t>
      </w:r>
      <w:r w:rsidR="00D11138" w:rsidRPr="00084D8C">
        <w:rPr>
          <w:rFonts w:ascii="Times New Roman" w:hAnsi="Times New Roman" w:cs="Times New Roman"/>
          <w:sz w:val="24"/>
        </w:rPr>
        <w:t xml:space="preserve"> differences in bid and firm specific characteristics nor market access premium.</w:t>
      </w:r>
      <w:r w:rsidR="00D11138">
        <w:rPr>
          <w:rFonts w:ascii="Times New Roman" w:hAnsi="Times New Roman" w:cs="Times New Roman"/>
        </w:rPr>
        <w:t xml:space="preserve">  </w:t>
      </w:r>
    </w:p>
    <w:p w14:paraId="384B9B91" w14:textId="40BBAE4B" w:rsidR="00B0307C" w:rsidRDefault="00754F09" w:rsidP="002E08AB">
      <w:pPr>
        <w:tabs>
          <w:tab w:val="left" w:pos="1052"/>
        </w:tabs>
        <w:spacing w:after="0" w:line="360" w:lineRule="auto"/>
        <w:ind w:firstLine="284"/>
        <w:jc w:val="both"/>
        <w:rPr>
          <w:rFonts w:ascii="Times New Roman" w:hAnsi="Times New Roman" w:cs="Times New Roman"/>
          <w:sz w:val="24"/>
        </w:rPr>
      </w:pPr>
      <w:r>
        <w:rPr>
          <w:rFonts w:ascii="Times New Roman" w:hAnsi="Times New Roman" w:cs="Times New Roman"/>
          <w:sz w:val="24"/>
        </w:rPr>
        <w:t xml:space="preserve">Target firms </w:t>
      </w:r>
      <w:r w:rsidR="00F73FC9">
        <w:rPr>
          <w:rFonts w:ascii="Times New Roman" w:hAnsi="Times New Roman" w:cs="Times New Roman"/>
          <w:sz w:val="24"/>
        </w:rPr>
        <w:t xml:space="preserve">are found to gain an extra 6% of cumulative abnormal returns in acquisitions by bidders with no prior </w:t>
      </w:r>
      <w:r w:rsidR="00D11138">
        <w:rPr>
          <w:rFonts w:ascii="Times New Roman" w:hAnsi="Times New Roman" w:cs="Times New Roman"/>
          <w:sz w:val="24"/>
        </w:rPr>
        <w:t>EU operation; hence, there is evidence to support market access premium to target companies in Western Europe.</w:t>
      </w:r>
      <w:r w:rsidR="00F73FC9">
        <w:rPr>
          <w:rFonts w:ascii="Times New Roman" w:hAnsi="Times New Roman" w:cs="Times New Roman"/>
          <w:sz w:val="24"/>
        </w:rPr>
        <w:t xml:space="preserve"> </w:t>
      </w:r>
      <w:r>
        <w:rPr>
          <w:rFonts w:ascii="Times New Roman" w:hAnsi="Times New Roman" w:cs="Times New Roman"/>
          <w:sz w:val="24"/>
        </w:rPr>
        <w:t>It was</w:t>
      </w:r>
      <w:r w:rsidR="00F73FC9">
        <w:rPr>
          <w:rFonts w:ascii="Times New Roman" w:hAnsi="Times New Roman" w:cs="Times New Roman"/>
          <w:sz w:val="24"/>
        </w:rPr>
        <w:t>, also,</w:t>
      </w:r>
      <w:r>
        <w:rPr>
          <w:rFonts w:ascii="Times New Roman" w:hAnsi="Times New Roman" w:cs="Times New Roman"/>
          <w:sz w:val="24"/>
        </w:rPr>
        <w:t xml:space="preserve"> found that </w:t>
      </w:r>
      <w:r w:rsidR="009840AA">
        <w:rPr>
          <w:rFonts w:ascii="Times New Roman" w:hAnsi="Times New Roman" w:cs="Times New Roman"/>
          <w:sz w:val="24"/>
        </w:rPr>
        <w:t>shareholders of target firms</w:t>
      </w:r>
      <w:r>
        <w:rPr>
          <w:rFonts w:ascii="Times New Roman" w:hAnsi="Times New Roman" w:cs="Times New Roman"/>
          <w:sz w:val="24"/>
        </w:rPr>
        <w:t xml:space="preserve"> will gain more</w:t>
      </w:r>
      <w:r w:rsidR="00F73FC9">
        <w:rPr>
          <w:rFonts w:ascii="Times New Roman" w:hAnsi="Times New Roman" w:cs="Times New Roman"/>
          <w:sz w:val="24"/>
        </w:rPr>
        <w:t xml:space="preserve"> (less)</w:t>
      </w:r>
      <w:r>
        <w:rPr>
          <w:rFonts w:ascii="Times New Roman" w:hAnsi="Times New Roman" w:cs="Times New Roman"/>
          <w:sz w:val="24"/>
        </w:rPr>
        <w:t xml:space="preserve"> in cash-only </w:t>
      </w:r>
      <w:r w:rsidR="00F73FC9">
        <w:rPr>
          <w:rFonts w:ascii="Times New Roman" w:hAnsi="Times New Roman" w:cs="Times New Roman"/>
          <w:sz w:val="24"/>
        </w:rPr>
        <w:t xml:space="preserve">(stock-only) offers, and since </w:t>
      </w:r>
      <w:r w:rsidR="00F73FC9" w:rsidRPr="00C03199">
        <w:rPr>
          <w:rFonts w:ascii="Times New Roman" w:hAnsi="Times New Roman" w:cs="Times New Roman"/>
          <w:sz w:val="24"/>
        </w:rPr>
        <w:t xml:space="preserve">the proportion of </w:t>
      </w:r>
      <w:r w:rsidR="00F73FC9">
        <w:rPr>
          <w:rFonts w:ascii="Times New Roman" w:hAnsi="Times New Roman" w:cs="Times New Roman"/>
          <w:sz w:val="24"/>
        </w:rPr>
        <w:t>cash</w:t>
      </w:r>
      <w:r w:rsidR="00F73FC9" w:rsidRPr="00C03199">
        <w:rPr>
          <w:rFonts w:ascii="Times New Roman" w:hAnsi="Times New Roman" w:cs="Times New Roman"/>
          <w:sz w:val="24"/>
        </w:rPr>
        <w:t>-only (</w:t>
      </w:r>
      <w:r w:rsidR="00F73FC9">
        <w:rPr>
          <w:rFonts w:ascii="Times New Roman" w:hAnsi="Times New Roman" w:cs="Times New Roman"/>
          <w:sz w:val="24"/>
        </w:rPr>
        <w:t>stock</w:t>
      </w:r>
      <w:r w:rsidR="00F73FC9" w:rsidRPr="00C03199">
        <w:rPr>
          <w:rFonts w:ascii="Times New Roman" w:hAnsi="Times New Roman" w:cs="Times New Roman"/>
          <w:sz w:val="24"/>
        </w:rPr>
        <w:t xml:space="preserve">-only) offers is significantly </w:t>
      </w:r>
      <w:r w:rsidR="00F73FC9">
        <w:rPr>
          <w:rFonts w:ascii="Times New Roman" w:hAnsi="Times New Roman" w:cs="Times New Roman"/>
          <w:sz w:val="24"/>
        </w:rPr>
        <w:t>higher</w:t>
      </w:r>
      <w:r w:rsidR="00F73FC9" w:rsidRPr="00C03199">
        <w:rPr>
          <w:rFonts w:ascii="Times New Roman" w:hAnsi="Times New Roman" w:cs="Times New Roman"/>
          <w:sz w:val="24"/>
        </w:rPr>
        <w:t xml:space="preserve"> (</w:t>
      </w:r>
      <w:r w:rsidR="00F73FC9">
        <w:rPr>
          <w:rFonts w:ascii="Times New Roman" w:hAnsi="Times New Roman" w:cs="Times New Roman"/>
          <w:sz w:val="24"/>
        </w:rPr>
        <w:t>lower</w:t>
      </w:r>
      <w:r w:rsidR="00F73FC9" w:rsidRPr="00C03199">
        <w:rPr>
          <w:rFonts w:ascii="Times New Roman" w:hAnsi="Times New Roman" w:cs="Times New Roman"/>
          <w:sz w:val="24"/>
        </w:rPr>
        <w:t xml:space="preserve">) in cross-border than domestic deals, then the payment method </w:t>
      </w:r>
      <w:r w:rsidR="00BF619B">
        <w:rPr>
          <w:rFonts w:ascii="Times New Roman" w:hAnsi="Times New Roman" w:cs="Times New Roman"/>
          <w:sz w:val="24"/>
        </w:rPr>
        <w:t>seems</w:t>
      </w:r>
      <w:r w:rsidR="00F73FC9" w:rsidRPr="00C03199">
        <w:rPr>
          <w:rFonts w:ascii="Times New Roman" w:hAnsi="Times New Roman" w:cs="Times New Roman"/>
          <w:sz w:val="24"/>
        </w:rPr>
        <w:t xml:space="preserve"> to </w:t>
      </w:r>
      <w:r w:rsidR="00BF619B" w:rsidRPr="00BF619B">
        <w:rPr>
          <w:rFonts w:ascii="Times New Roman" w:hAnsi="Times New Roman" w:cs="Times New Roman"/>
          <w:sz w:val="24"/>
        </w:rPr>
        <w:t>elucidate</w:t>
      </w:r>
      <w:r w:rsidR="00BF619B">
        <w:rPr>
          <w:rFonts w:ascii="Times New Roman" w:hAnsi="Times New Roman" w:cs="Times New Roman"/>
          <w:sz w:val="24"/>
        </w:rPr>
        <w:t xml:space="preserve"> the</w:t>
      </w:r>
      <w:r w:rsidR="0032220B">
        <w:rPr>
          <w:rFonts w:ascii="Times New Roman" w:hAnsi="Times New Roman" w:cs="Times New Roman"/>
          <w:sz w:val="24"/>
        </w:rPr>
        <w:t xml:space="preserve"> target firm cross-border effect</w:t>
      </w:r>
      <w:r w:rsidR="00F73FC9">
        <w:rPr>
          <w:rFonts w:ascii="Times New Roman" w:hAnsi="Times New Roman" w:cs="Times New Roman"/>
          <w:sz w:val="24"/>
        </w:rPr>
        <w:t xml:space="preserve">. </w:t>
      </w:r>
      <w:r w:rsidR="004D4C60">
        <w:rPr>
          <w:rFonts w:ascii="Times New Roman" w:hAnsi="Times New Roman" w:cs="Times New Roman"/>
          <w:sz w:val="24"/>
        </w:rPr>
        <w:t>Moreover, the percentage of stake acquired appears to have a significant negative impact on the level of cumulative a</w:t>
      </w:r>
      <w:r w:rsidR="0032220B">
        <w:rPr>
          <w:rFonts w:ascii="Times New Roman" w:hAnsi="Times New Roman" w:cs="Times New Roman"/>
          <w:sz w:val="24"/>
        </w:rPr>
        <w:t>bnormal returns to target firms; in addition, the average of stake acquired is significantly lower for target firms in cross-border than domestic acquisitions</w:t>
      </w:r>
      <w:r w:rsidR="008C1017">
        <w:rPr>
          <w:rFonts w:ascii="Times New Roman" w:hAnsi="Times New Roman" w:cs="Times New Roman"/>
          <w:sz w:val="24"/>
        </w:rPr>
        <w:t xml:space="preserve">. </w:t>
      </w:r>
      <w:r w:rsidR="002E08AB">
        <w:rPr>
          <w:rFonts w:ascii="Times New Roman" w:hAnsi="Times New Roman" w:cs="Times New Roman"/>
          <w:sz w:val="24"/>
        </w:rPr>
        <w:t xml:space="preserve">Target firms’ industries are, also, found to </w:t>
      </w:r>
      <w:r w:rsidR="00BF619B" w:rsidRPr="00BF619B">
        <w:rPr>
          <w:rFonts w:ascii="Times New Roman" w:hAnsi="Times New Roman" w:cs="Times New Roman"/>
          <w:sz w:val="24"/>
        </w:rPr>
        <w:t>elucidate</w:t>
      </w:r>
      <w:r w:rsidR="00BF619B">
        <w:rPr>
          <w:rFonts w:ascii="Times New Roman" w:hAnsi="Times New Roman" w:cs="Times New Roman"/>
          <w:sz w:val="24"/>
        </w:rPr>
        <w:t xml:space="preserve"> </w:t>
      </w:r>
      <w:r w:rsidR="002E08AB">
        <w:rPr>
          <w:rFonts w:ascii="Times New Roman" w:hAnsi="Times New Roman" w:cs="Times New Roman"/>
          <w:sz w:val="24"/>
        </w:rPr>
        <w:t xml:space="preserve">the cross-section variation in the level of target cumulative abnormal returns. </w:t>
      </w:r>
      <w:r w:rsidR="00B0307C">
        <w:rPr>
          <w:rFonts w:ascii="Times New Roman" w:hAnsi="Times New Roman" w:cs="Times New Roman"/>
          <w:sz w:val="24"/>
        </w:rPr>
        <w:t xml:space="preserve">Thus, the Western European target company cross-border effect </w:t>
      </w:r>
      <w:r w:rsidR="00BF619B">
        <w:rPr>
          <w:rFonts w:ascii="Times New Roman" w:hAnsi="Times New Roman" w:cs="Times New Roman"/>
          <w:sz w:val="24"/>
        </w:rPr>
        <w:t>seems</w:t>
      </w:r>
      <w:r w:rsidR="00B0307C">
        <w:rPr>
          <w:rFonts w:ascii="Times New Roman" w:hAnsi="Times New Roman" w:cs="Times New Roman"/>
          <w:sz w:val="24"/>
        </w:rPr>
        <w:t xml:space="preserve"> to be </w:t>
      </w:r>
      <w:r w:rsidR="00BF619B">
        <w:rPr>
          <w:rFonts w:ascii="Times New Roman" w:hAnsi="Times New Roman" w:cs="Times New Roman"/>
          <w:sz w:val="24"/>
        </w:rPr>
        <w:t>explained</w:t>
      </w:r>
      <w:r w:rsidR="00B0307C">
        <w:rPr>
          <w:rFonts w:ascii="Times New Roman" w:hAnsi="Times New Roman" w:cs="Times New Roman"/>
          <w:sz w:val="24"/>
        </w:rPr>
        <w:t xml:space="preserve"> by the market access premium and differences in bid </w:t>
      </w:r>
      <w:r w:rsidR="002E08AB">
        <w:rPr>
          <w:rFonts w:ascii="Times New Roman" w:hAnsi="Times New Roman" w:cs="Times New Roman"/>
          <w:sz w:val="24"/>
        </w:rPr>
        <w:t xml:space="preserve">and firm specific </w:t>
      </w:r>
      <w:r w:rsidR="00B0307C">
        <w:rPr>
          <w:rFonts w:ascii="Times New Roman" w:hAnsi="Times New Roman" w:cs="Times New Roman"/>
          <w:sz w:val="24"/>
        </w:rPr>
        <w:t>characteristics, in</w:t>
      </w:r>
      <w:r w:rsidR="002E08AB">
        <w:rPr>
          <w:rFonts w:ascii="Times New Roman" w:hAnsi="Times New Roman" w:cs="Times New Roman"/>
          <w:sz w:val="24"/>
        </w:rPr>
        <w:t xml:space="preserve"> particular, the payment method, </w:t>
      </w:r>
      <w:r w:rsidR="00B0307C">
        <w:rPr>
          <w:rFonts w:ascii="Times New Roman" w:hAnsi="Times New Roman" w:cs="Times New Roman"/>
          <w:sz w:val="24"/>
        </w:rPr>
        <w:t>percentage of stake acquired</w:t>
      </w:r>
      <w:r w:rsidR="002E08AB">
        <w:rPr>
          <w:rFonts w:ascii="Times New Roman" w:hAnsi="Times New Roman" w:cs="Times New Roman"/>
          <w:sz w:val="24"/>
        </w:rPr>
        <w:t>, and industry of the target firm</w:t>
      </w:r>
      <w:r w:rsidR="00B0307C">
        <w:rPr>
          <w:rFonts w:ascii="Times New Roman" w:hAnsi="Times New Roman" w:cs="Times New Roman"/>
          <w:sz w:val="24"/>
        </w:rPr>
        <w:t>.</w:t>
      </w:r>
      <w:r w:rsidR="00BB5D58">
        <w:rPr>
          <w:rFonts w:ascii="Times New Roman" w:hAnsi="Times New Roman" w:cs="Times New Roman"/>
          <w:sz w:val="24"/>
        </w:rPr>
        <w:t xml:space="preserve"> Once the payment method, percentage of shares acquired, and the target firms’ industries are controlled for, </w:t>
      </w:r>
      <w:r w:rsidR="0033060B">
        <w:rPr>
          <w:rFonts w:ascii="Times New Roman" w:hAnsi="Times New Roman" w:cs="Times New Roman"/>
          <w:sz w:val="24"/>
        </w:rPr>
        <w:t>the</w:t>
      </w:r>
      <w:r w:rsidR="00BB5D58">
        <w:rPr>
          <w:rFonts w:ascii="Times New Roman" w:hAnsi="Times New Roman" w:cs="Times New Roman"/>
          <w:sz w:val="24"/>
        </w:rPr>
        <w:t xml:space="preserve"> target company cross-border effect</w:t>
      </w:r>
      <w:r w:rsidR="0033060B">
        <w:rPr>
          <w:rFonts w:ascii="Times New Roman" w:hAnsi="Times New Roman" w:cs="Times New Roman"/>
          <w:sz w:val="24"/>
        </w:rPr>
        <w:t xml:space="preserve"> is found to be insignificant</w:t>
      </w:r>
      <w:r w:rsidR="00BB5D58">
        <w:rPr>
          <w:rFonts w:ascii="Times New Roman" w:hAnsi="Times New Roman" w:cs="Times New Roman"/>
          <w:sz w:val="24"/>
        </w:rPr>
        <w:t xml:space="preserve">. </w:t>
      </w:r>
    </w:p>
    <w:p w14:paraId="3C2B5DBF" w14:textId="77777777" w:rsidR="00F95211" w:rsidRDefault="00F95211" w:rsidP="00C46074">
      <w:pPr>
        <w:spacing w:after="0"/>
        <w:jc w:val="both"/>
        <w:rPr>
          <w:rFonts w:ascii="Symbol" w:hAnsi="Symbol" w:cs="Symbol"/>
          <w:b/>
          <w:sz w:val="24"/>
        </w:rPr>
      </w:pPr>
    </w:p>
    <w:p w14:paraId="4E304129" w14:textId="46193321" w:rsidR="00B0307C" w:rsidRPr="00B0307C" w:rsidRDefault="00B0307C" w:rsidP="00B0307C">
      <w:pPr>
        <w:spacing w:after="120"/>
        <w:jc w:val="both"/>
        <w:rPr>
          <w:rFonts w:ascii="Times New Roman" w:hAnsi="Times New Roman" w:cs="Times New Roman"/>
          <w:i/>
          <w:sz w:val="24"/>
        </w:rPr>
      </w:pPr>
      <w:r w:rsidRPr="00B0307C">
        <w:rPr>
          <w:rFonts w:ascii="Times New Roman" w:hAnsi="Times New Roman" w:cs="Times New Roman"/>
          <w:i/>
          <w:sz w:val="24"/>
        </w:rPr>
        <w:t xml:space="preserve">6.1 Limitations and future research </w:t>
      </w:r>
    </w:p>
    <w:p w14:paraId="66B830FD" w14:textId="490C1CD1" w:rsidR="00F95211" w:rsidRPr="00214043" w:rsidRDefault="00214043" w:rsidP="00B0307C">
      <w:pPr>
        <w:spacing w:after="0" w:line="360" w:lineRule="auto"/>
        <w:jc w:val="both"/>
        <w:rPr>
          <w:rFonts w:ascii="Times New Roman" w:hAnsi="Times New Roman" w:cs="Times New Roman"/>
          <w:sz w:val="24"/>
        </w:rPr>
      </w:pPr>
      <w:r>
        <w:rPr>
          <w:rFonts w:ascii="Times New Roman" w:hAnsi="Times New Roman" w:cs="Times New Roman"/>
          <w:sz w:val="24"/>
        </w:rPr>
        <w:t>A possible limitation in this paper may be in the model used to calculate the abnormal returns to target firms. Danbolt (2004) has indicated that the model chosen to calculate the abnormal returns might influence the results; he said that controlling for the target firm’s size is important to ensure robust results (Danbolt, 2004)</w:t>
      </w:r>
      <w:r w:rsidR="00B076C6">
        <w:rPr>
          <w:rFonts w:ascii="Times New Roman" w:hAnsi="Times New Roman" w:cs="Times New Roman"/>
          <w:sz w:val="24"/>
        </w:rPr>
        <w:t>; however, s</w:t>
      </w:r>
      <w:r w:rsidR="004065CA">
        <w:rPr>
          <w:rFonts w:ascii="Times New Roman" w:hAnsi="Times New Roman" w:cs="Times New Roman"/>
          <w:sz w:val="24"/>
        </w:rPr>
        <w:t>ince the analysis is focused on short event windows, the model chosen to calculate the normal returns is not expected to cause relevant changes on the results.</w:t>
      </w:r>
      <w:r w:rsidR="00B076C6">
        <w:rPr>
          <w:rFonts w:ascii="Times New Roman" w:hAnsi="Times New Roman" w:cs="Times New Roman"/>
          <w:sz w:val="24"/>
        </w:rPr>
        <w:t xml:space="preserve"> For future research, it can be recommended to use the size-deciles control model to calculate the abnormal returns. The size-deciles control model is a model that calculates the abnormal returns of a firm based on a benchmark, which is a portfolio of companies with similar firm size to the company being tested. When the UK target firms were removed from the data, the cross-border effect was significant, even after controlling for the different bid and firm characteristics, market access of acquirer, and target industry effect. Thus, it can, also, be </w:t>
      </w:r>
      <w:r w:rsidR="00B076C6">
        <w:rPr>
          <w:rFonts w:ascii="Times New Roman" w:hAnsi="Times New Roman" w:cs="Times New Roman"/>
          <w:sz w:val="24"/>
        </w:rPr>
        <w:lastRenderedPageBreak/>
        <w:t xml:space="preserve">recommended for future research to focus on Wester European target firms, excluding the UK, and to test if target firm cross-border effect exist in Western Europe, without the UK.   </w:t>
      </w:r>
      <w:r w:rsidR="004065CA">
        <w:rPr>
          <w:rFonts w:ascii="Times New Roman" w:hAnsi="Times New Roman" w:cs="Times New Roman"/>
          <w:sz w:val="24"/>
        </w:rPr>
        <w:t xml:space="preserve">  </w:t>
      </w:r>
      <w:r>
        <w:rPr>
          <w:rFonts w:ascii="Times New Roman" w:hAnsi="Times New Roman" w:cs="Times New Roman"/>
          <w:sz w:val="24"/>
        </w:rPr>
        <w:t xml:space="preserve"> </w:t>
      </w:r>
    </w:p>
    <w:p w14:paraId="0EFD5043" w14:textId="77777777" w:rsidR="00B076C6" w:rsidRDefault="00B076C6" w:rsidP="00F82C4E">
      <w:pPr>
        <w:spacing w:after="0"/>
        <w:jc w:val="both"/>
        <w:rPr>
          <w:rFonts w:ascii="Times New Roman" w:hAnsi="Times New Roman" w:cs="Times New Roman"/>
        </w:rPr>
      </w:pPr>
    </w:p>
    <w:p w14:paraId="26FCD2B0" w14:textId="77777777" w:rsidR="00B076C6" w:rsidRDefault="00B076C6" w:rsidP="00F82C4E">
      <w:pPr>
        <w:spacing w:after="0"/>
        <w:jc w:val="both"/>
        <w:rPr>
          <w:rFonts w:ascii="Times New Roman" w:hAnsi="Times New Roman" w:cs="Times New Roman"/>
        </w:rPr>
      </w:pPr>
    </w:p>
    <w:p w14:paraId="006A374E" w14:textId="75FBB42B" w:rsidR="00F82C4E" w:rsidRDefault="00F82C4E" w:rsidP="00F82C4E">
      <w:pPr>
        <w:spacing w:after="0"/>
        <w:jc w:val="both"/>
        <w:rPr>
          <w:rFonts w:ascii="Times New Roman" w:hAnsi="Times New Roman" w:cs="Times New Roman"/>
          <w:b/>
          <w:sz w:val="24"/>
        </w:rPr>
      </w:pPr>
      <w:r>
        <w:rPr>
          <w:rFonts w:ascii="Times New Roman" w:hAnsi="Times New Roman" w:cs="Times New Roman"/>
          <w:b/>
          <w:sz w:val="24"/>
        </w:rPr>
        <w:t>References</w:t>
      </w:r>
    </w:p>
    <w:p w14:paraId="543BDAC5" w14:textId="77777777" w:rsidR="00F82C4E" w:rsidRPr="00F82C4E" w:rsidRDefault="00F82C4E" w:rsidP="00F82C4E">
      <w:pPr>
        <w:spacing w:after="0"/>
        <w:jc w:val="both"/>
        <w:rPr>
          <w:rFonts w:ascii="Times New Roman" w:hAnsi="Times New Roman" w:cs="Times New Roman"/>
          <w:b/>
          <w:sz w:val="24"/>
        </w:rPr>
      </w:pPr>
    </w:p>
    <w:p w14:paraId="05D8603D"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Adler, M., &amp; Dumas, B. (1983). International portfolio choice and corporation finance: A synthesis.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38</w:t>
      </w:r>
      <w:r w:rsidRPr="005E698F">
        <w:rPr>
          <w:rFonts w:ascii="Times New Roman" w:hAnsi="Times New Roman" w:cs="Times New Roman"/>
          <w:color w:val="222222"/>
          <w:sz w:val="24"/>
          <w:szCs w:val="24"/>
          <w:shd w:val="clear" w:color="auto" w:fill="FFFFFF"/>
        </w:rPr>
        <w:t>(3), 925-984.</w:t>
      </w:r>
    </w:p>
    <w:p w14:paraId="2720759C"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Bena, J., &amp; Li, K. (2014). Corporate innovations and mergers and acquisitions.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69</w:t>
      </w:r>
      <w:r w:rsidRPr="005E698F">
        <w:rPr>
          <w:rFonts w:ascii="Times New Roman" w:hAnsi="Times New Roman" w:cs="Times New Roman"/>
          <w:color w:val="222222"/>
          <w:sz w:val="24"/>
          <w:szCs w:val="24"/>
          <w:shd w:val="clear" w:color="auto" w:fill="FFFFFF"/>
        </w:rPr>
        <w:t>(5), 1923-1960.</w:t>
      </w:r>
    </w:p>
    <w:p w14:paraId="234C97B2"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Blattberg, R. C., &amp; Gonedes, N. J. (1974). A comparison of the stable and student distributions as statistical models for stock prices. </w:t>
      </w:r>
      <w:r w:rsidRPr="005E698F">
        <w:rPr>
          <w:rFonts w:ascii="Times New Roman" w:hAnsi="Times New Roman" w:cs="Times New Roman"/>
          <w:i/>
          <w:iCs/>
          <w:color w:val="222222"/>
          <w:sz w:val="24"/>
          <w:szCs w:val="24"/>
          <w:shd w:val="clear" w:color="auto" w:fill="FFFFFF"/>
        </w:rPr>
        <w:t>The journal of business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47</w:t>
      </w:r>
      <w:r w:rsidRPr="005E698F">
        <w:rPr>
          <w:rFonts w:ascii="Times New Roman" w:hAnsi="Times New Roman" w:cs="Times New Roman"/>
          <w:color w:val="222222"/>
          <w:sz w:val="24"/>
          <w:szCs w:val="24"/>
          <w:shd w:val="clear" w:color="auto" w:fill="FFFFFF"/>
        </w:rPr>
        <w:t>(2), 244-280.</w:t>
      </w:r>
    </w:p>
    <w:p w14:paraId="4C646014"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Bliss, R. T., &amp; Rosen, R. J. (2001). CEO compensation and bank mergers.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61</w:t>
      </w:r>
      <w:r w:rsidRPr="005E698F">
        <w:rPr>
          <w:rFonts w:ascii="Times New Roman" w:hAnsi="Times New Roman" w:cs="Times New Roman"/>
          <w:color w:val="222222"/>
          <w:sz w:val="24"/>
          <w:szCs w:val="24"/>
          <w:shd w:val="clear" w:color="auto" w:fill="FFFFFF"/>
        </w:rPr>
        <w:t xml:space="preserve">(1), 107-138. </w:t>
      </w:r>
    </w:p>
    <w:p w14:paraId="6AF8F744" w14:textId="59A09028" w:rsidR="00F82C4E" w:rsidRPr="005E698F" w:rsidRDefault="00611454"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Bodnar, G. M., Tang, C., &amp; Weintrop, J. (1997). </w:t>
      </w:r>
      <w:r w:rsidRPr="005E698F">
        <w:rPr>
          <w:rFonts w:ascii="Times New Roman" w:hAnsi="Times New Roman" w:cs="Times New Roman"/>
          <w:i/>
          <w:iCs/>
          <w:color w:val="222222"/>
          <w:sz w:val="24"/>
          <w:szCs w:val="24"/>
          <w:shd w:val="clear" w:color="auto" w:fill="FFFFFF"/>
        </w:rPr>
        <w:t>Both sides of corporate diversification: The value impacts of geographic and industrial diversification</w:t>
      </w:r>
      <w:r w:rsidRPr="005E698F">
        <w:rPr>
          <w:rFonts w:ascii="Times New Roman" w:hAnsi="Times New Roman" w:cs="Times New Roman"/>
          <w:color w:val="222222"/>
          <w:sz w:val="24"/>
          <w:szCs w:val="24"/>
          <w:shd w:val="clear" w:color="auto" w:fill="FFFFFF"/>
        </w:rPr>
        <w:t xml:space="preserve"> (No. w6224). National Bureau of Economic Research </w:t>
      </w:r>
      <w:r w:rsidR="00F82C4E" w:rsidRPr="005E698F">
        <w:rPr>
          <w:rFonts w:ascii="Times New Roman" w:hAnsi="Times New Roman" w:cs="Times New Roman"/>
          <w:color w:val="222222"/>
          <w:sz w:val="24"/>
          <w:szCs w:val="24"/>
          <w:shd w:val="clear" w:color="auto" w:fill="FFFFFF"/>
        </w:rPr>
        <w:t>Bowman, R. G. (1983). Understanding and conducting event studies. </w:t>
      </w:r>
      <w:r w:rsidR="00F82C4E" w:rsidRPr="005E698F">
        <w:rPr>
          <w:rFonts w:ascii="Times New Roman" w:hAnsi="Times New Roman" w:cs="Times New Roman"/>
          <w:i/>
          <w:iCs/>
          <w:color w:val="222222"/>
          <w:sz w:val="24"/>
          <w:szCs w:val="24"/>
          <w:shd w:val="clear" w:color="auto" w:fill="FFFFFF"/>
        </w:rPr>
        <w:t>Journal of Business Finance &amp; Accounting</w:t>
      </w:r>
      <w:r w:rsidR="00F82C4E" w:rsidRPr="005E698F">
        <w:rPr>
          <w:rFonts w:ascii="Times New Roman" w:hAnsi="Times New Roman" w:cs="Times New Roman"/>
          <w:color w:val="222222"/>
          <w:sz w:val="24"/>
          <w:szCs w:val="24"/>
          <w:shd w:val="clear" w:color="auto" w:fill="FFFFFF"/>
        </w:rPr>
        <w:t>, </w:t>
      </w:r>
      <w:r w:rsidR="00F82C4E" w:rsidRPr="005E698F">
        <w:rPr>
          <w:rFonts w:ascii="Times New Roman" w:hAnsi="Times New Roman" w:cs="Times New Roman"/>
          <w:i/>
          <w:iCs/>
          <w:color w:val="222222"/>
          <w:sz w:val="24"/>
          <w:szCs w:val="24"/>
          <w:shd w:val="clear" w:color="auto" w:fill="FFFFFF"/>
        </w:rPr>
        <w:t>10</w:t>
      </w:r>
      <w:r w:rsidR="00F82C4E" w:rsidRPr="005E698F">
        <w:rPr>
          <w:rFonts w:ascii="Times New Roman" w:hAnsi="Times New Roman" w:cs="Times New Roman"/>
          <w:color w:val="222222"/>
          <w:sz w:val="24"/>
          <w:szCs w:val="24"/>
          <w:shd w:val="clear" w:color="auto" w:fill="FFFFFF"/>
        </w:rPr>
        <w:t xml:space="preserve">(4), 561-584. </w:t>
      </w:r>
    </w:p>
    <w:p w14:paraId="6C32D401" w14:textId="77777777" w:rsidR="00F82C4E" w:rsidRPr="005E698F" w:rsidRDefault="00F82C4E" w:rsidP="00C36247">
      <w:pPr>
        <w:pStyle w:val="Default"/>
        <w:spacing w:afterLines="60" w:after="144" w:line="276" w:lineRule="auto"/>
        <w:ind w:left="284" w:hanging="284"/>
        <w:rPr>
          <w:rFonts w:ascii="Times New Roman" w:hAnsi="Times New Roman" w:cs="Times New Roman"/>
        </w:rPr>
      </w:pPr>
      <w:r w:rsidRPr="005E698F">
        <w:rPr>
          <w:rFonts w:ascii="Times New Roman" w:hAnsi="Times New Roman" w:cs="Times New Roman"/>
          <w:color w:val="222222"/>
          <w:shd w:val="clear" w:color="auto" w:fill="FFFFFF"/>
        </w:rPr>
        <w:t>Brown, S. J., &amp; Warner, J. B. (1985). Using daily stock returns: The case of event studies. </w:t>
      </w:r>
      <w:r w:rsidRPr="005E698F">
        <w:rPr>
          <w:rFonts w:ascii="Times New Roman" w:hAnsi="Times New Roman" w:cs="Times New Roman"/>
          <w:i/>
          <w:iCs/>
          <w:color w:val="222222"/>
          <w:shd w:val="clear" w:color="auto" w:fill="FFFFFF"/>
        </w:rPr>
        <w:t>Journal of financial economics</w:t>
      </w:r>
      <w:r w:rsidRPr="005E698F">
        <w:rPr>
          <w:rFonts w:ascii="Times New Roman" w:hAnsi="Times New Roman" w:cs="Times New Roman"/>
          <w:color w:val="222222"/>
          <w:shd w:val="clear" w:color="auto" w:fill="FFFFFF"/>
        </w:rPr>
        <w:t>, </w:t>
      </w:r>
      <w:r w:rsidRPr="005E698F">
        <w:rPr>
          <w:rFonts w:ascii="Times New Roman" w:hAnsi="Times New Roman" w:cs="Times New Roman"/>
          <w:i/>
          <w:iCs/>
          <w:color w:val="222222"/>
          <w:shd w:val="clear" w:color="auto" w:fill="FFFFFF"/>
        </w:rPr>
        <w:t>14</w:t>
      </w:r>
      <w:r w:rsidRPr="005E698F">
        <w:rPr>
          <w:rFonts w:ascii="Times New Roman" w:hAnsi="Times New Roman" w:cs="Times New Roman"/>
          <w:color w:val="222222"/>
          <w:shd w:val="clear" w:color="auto" w:fill="FFFFFF"/>
        </w:rPr>
        <w:t>(1), 3-31.</w:t>
      </w:r>
    </w:p>
    <w:p w14:paraId="74FC09BE" w14:textId="77777777" w:rsidR="00F82C4E" w:rsidRPr="005E698F" w:rsidRDefault="00F82C4E"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Cakici, N., Hessel, C., &amp; Tandon, K. (1991). Foreign acquisitions in the United States and the effect on shareholder wealth. </w:t>
      </w:r>
      <w:r w:rsidRPr="005E698F">
        <w:rPr>
          <w:rFonts w:ascii="Times New Roman" w:hAnsi="Times New Roman" w:cs="Times New Roman"/>
          <w:i/>
          <w:iCs/>
          <w:color w:val="222222"/>
          <w:sz w:val="24"/>
          <w:szCs w:val="24"/>
          <w:shd w:val="clear" w:color="auto" w:fill="FFFFFF"/>
        </w:rPr>
        <w:t>Journal of International Financial Management &amp; Accounting</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w:t>
      </w:r>
      <w:r w:rsidRPr="005E698F">
        <w:rPr>
          <w:rFonts w:ascii="Times New Roman" w:hAnsi="Times New Roman" w:cs="Times New Roman"/>
          <w:color w:val="222222"/>
          <w:sz w:val="24"/>
          <w:szCs w:val="24"/>
          <w:shd w:val="clear" w:color="auto" w:fill="FFFFFF"/>
        </w:rPr>
        <w:t>(1), 39-60.</w:t>
      </w:r>
    </w:p>
    <w:p w14:paraId="040EC712"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Caves, R. E. (1971). International corporations: The industrial economics of foreign investment. </w:t>
      </w:r>
      <w:r w:rsidRPr="005E698F">
        <w:rPr>
          <w:rFonts w:ascii="Times New Roman" w:hAnsi="Times New Roman" w:cs="Times New Roman"/>
          <w:i/>
          <w:iCs/>
          <w:color w:val="222222"/>
          <w:sz w:val="24"/>
          <w:szCs w:val="24"/>
          <w:shd w:val="clear" w:color="auto" w:fill="FFFFFF"/>
        </w:rPr>
        <w:t>Economica</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38</w:t>
      </w:r>
      <w:r w:rsidRPr="005E698F">
        <w:rPr>
          <w:rFonts w:ascii="Times New Roman" w:hAnsi="Times New Roman" w:cs="Times New Roman"/>
          <w:color w:val="222222"/>
          <w:sz w:val="24"/>
          <w:szCs w:val="24"/>
          <w:shd w:val="clear" w:color="auto" w:fill="FFFFFF"/>
        </w:rPr>
        <w:t>(149), 1-27.</w:t>
      </w:r>
    </w:p>
    <w:p w14:paraId="45F7B98E"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Caves, R. E. (1991). Corporate mergers in international economic integration. </w:t>
      </w:r>
      <w:r w:rsidRPr="005E698F">
        <w:rPr>
          <w:rFonts w:ascii="Times New Roman" w:hAnsi="Times New Roman" w:cs="Times New Roman"/>
          <w:i/>
          <w:iCs/>
          <w:color w:val="222222"/>
          <w:sz w:val="24"/>
          <w:szCs w:val="24"/>
          <w:shd w:val="clear" w:color="auto" w:fill="FFFFFF"/>
        </w:rPr>
        <w:t>European financial integration</w:t>
      </w:r>
      <w:r w:rsidRPr="005E698F">
        <w:rPr>
          <w:rFonts w:ascii="Times New Roman" w:hAnsi="Times New Roman" w:cs="Times New Roman"/>
          <w:color w:val="222222"/>
          <w:sz w:val="24"/>
          <w:szCs w:val="24"/>
          <w:shd w:val="clear" w:color="auto" w:fill="FFFFFF"/>
        </w:rPr>
        <w:t>, 136-160.</w:t>
      </w:r>
    </w:p>
    <w:p w14:paraId="4B966962" w14:textId="77777777" w:rsidR="00F82C4E" w:rsidRPr="005E698F" w:rsidRDefault="00F82C4E" w:rsidP="00C36247">
      <w:pPr>
        <w:spacing w:afterLines="60" w:after="144" w:line="276" w:lineRule="auto"/>
        <w:ind w:left="284" w:hanging="284"/>
        <w:jc w:val="both"/>
        <w:rPr>
          <w:rStyle w:val="eop"/>
          <w:rFonts w:ascii="Times New Roman" w:hAnsi="Times New Roman" w:cs="Times New Roman"/>
          <w:color w:val="000000"/>
          <w:sz w:val="24"/>
          <w:szCs w:val="24"/>
          <w:shd w:val="clear" w:color="auto" w:fill="FFFFFF"/>
        </w:rPr>
      </w:pPr>
      <w:r w:rsidRPr="005E698F">
        <w:rPr>
          <w:rFonts w:ascii="Times New Roman" w:hAnsi="Times New Roman" w:cs="Times New Roman"/>
          <w:color w:val="222222"/>
          <w:sz w:val="24"/>
          <w:szCs w:val="24"/>
          <w:shd w:val="clear" w:color="auto" w:fill="FFFFFF"/>
        </w:rPr>
        <w:t>Cheng, L. T., &amp; Chan, K. C. (1995). A comparative analysis of the characteristics of international takeovers. </w:t>
      </w:r>
      <w:r w:rsidRPr="005E698F">
        <w:rPr>
          <w:rFonts w:ascii="Times New Roman" w:hAnsi="Times New Roman" w:cs="Times New Roman"/>
          <w:i/>
          <w:iCs/>
          <w:color w:val="222222"/>
          <w:sz w:val="24"/>
          <w:szCs w:val="24"/>
          <w:shd w:val="clear" w:color="auto" w:fill="FFFFFF"/>
        </w:rPr>
        <w:t>Journal of Business Finance &amp; Accounting</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22</w:t>
      </w:r>
      <w:r w:rsidRPr="005E698F">
        <w:rPr>
          <w:rFonts w:ascii="Times New Roman" w:hAnsi="Times New Roman" w:cs="Times New Roman"/>
          <w:color w:val="222222"/>
          <w:sz w:val="24"/>
          <w:szCs w:val="24"/>
          <w:shd w:val="clear" w:color="auto" w:fill="FFFFFF"/>
        </w:rPr>
        <w:t>(5), 637-657.</w:t>
      </w:r>
    </w:p>
    <w:p w14:paraId="6455A48C" w14:textId="49C80522" w:rsidR="00F82C4E" w:rsidRPr="005E698F" w:rsidRDefault="00611454" w:rsidP="00C36247">
      <w:pPr>
        <w:autoSpaceDE w:val="0"/>
        <w:autoSpaceDN w:val="0"/>
        <w:adjustRightInd w:val="0"/>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Conn, RL, Cosh, A., Guest, PM, &amp; Hughes, A. (2005). The impact on UK acquirers or domestic, cross-border, public and private acquisitions. </w:t>
      </w:r>
      <w:r w:rsidRPr="005E698F">
        <w:rPr>
          <w:rFonts w:ascii="Times New Roman" w:hAnsi="Times New Roman" w:cs="Times New Roman"/>
          <w:i/>
          <w:iCs/>
          <w:color w:val="222222"/>
          <w:sz w:val="24"/>
          <w:szCs w:val="24"/>
          <w:shd w:val="clear" w:color="auto" w:fill="FFFFFF"/>
        </w:rPr>
        <w:t>Journal of Business Finance &amp; Accounting</w:t>
      </w:r>
      <w:r w:rsidRPr="005E698F">
        <w:rPr>
          <w:rFonts w:ascii="Times New Roman" w:hAnsi="Times New Roman" w:cs="Times New Roman"/>
          <w:color w:val="222222"/>
          <w:sz w:val="24"/>
          <w:szCs w:val="24"/>
          <w:shd w:val="clear" w:color="auto" w:fill="FFFFFF"/>
        </w:rPr>
        <w:t> , </w:t>
      </w:r>
      <w:r w:rsidRPr="005E698F">
        <w:rPr>
          <w:rFonts w:ascii="Times New Roman" w:hAnsi="Times New Roman" w:cs="Times New Roman"/>
          <w:i/>
          <w:iCs/>
          <w:color w:val="222222"/>
          <w:sz w:val="24"/>
          <w:szCs w:val="24"/>
          <w:shd w:val="clear" w:color="auto" w:fill="FFFFFF"/>
        </w:rPr>
        <w:t>32</w:t>
      </w:r>
      <w:r w:rsidRPr="005E698F">
        <w:rPr>
          <w:rFonts w:ascii="Times New Roman" w:hAnsi="Times New Roman" w:cs="Times New Roman"/>
          <w:color w:val="222222"/>
          <w:sz w:val="24"/>
          <w:szCs w:val="24"/>
          <w:shd w:val="clear" w:color="auto" w:fill="FFFFFF"/>
        </w:rPr>
        <w:t> (5-6), 815-870</w:t>
      </w:r>
      <w:r w:rsidR="00F82C4E" w:rsidRPr="005E698F">
        <w:rPr>
          <w:rFonts w:ascii="Times New Roman" w:hAnsi="Times New Roman" w:cs="Times New Roman"/>
          <w:color w:val="222222"/>
          <w:sz w:val="24"/>
          <w:szCs w:val="24"/>
          <w:shd w:val="clear" w:color="auto" w:fill="FFFFFF"/>
        </w:rPr>
        <w:t>.</w:t>
      </w:r>
    </w:p>
    <w:p w14:paraId="449687CB"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Connell, F. A., &amp; Conn, R. L. (1993). A preliminary analysis of shifts in market model regression parameters in international mergers between US and British firms: 1970–1980. </w:t>
      </w:r>
      <w:r w:rsidRPr="005E698F">
        <w:rPr>
          <w:rFonts w:ascii="Times New Roman" w:hAnsi="Times New Roman" w:cs="Times New Roman"/>
          <w:i/>
          <w:iCs/>
          <w:color w:val="222222"/>
          <w:sz w:val="24"/>
          <w:szCs w:val="24"/>
          <w:shd w:val="clear" w:color="auto" w:fill="FFFFFF"/>
        </w:rPr>
        <w:t>Managerial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19</w:t>
      </w:r>
      <w:r w:rsidRPr="005E698F">
        <w:rPr>
          <w:rFonts w:ascii="Times New Roman" w:hAnsi="Times New Roman" w:cs="Times New Roman"/>
          <w:color w:val="222222"/>
          <w:sz w:val="24"/>
          <w:szCs w:val="24"/>
          <w:shd w:val="clear" w:color="auto" w:fill="FFFFFF"/>
        </w:rPr>
        <w:t xml:space="preserve">(1), 47-77. </w:t>
      </w:r>
    </w:p>
    <w:p w14:paraId="5DE45707"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lastRenderedPageBreak/>
        <w:t>Danbolt, J. (1995). An analysis of gains and losses to shareholders of foreign bidding companies engaged in cross-border acquisitions into the United Kingdom, 1986–1991. </w:t>
      </w:r>
      <w:r w:rsidRPr="005E698F">
        <w:rPr>
          <w:rFonts w:ascii="Times New Roman" w:hAnsi="Times New Roman" w:cs="Times New Roman"/>
          <w:i/>
          <w:iCs/>
          <w:color w:val="222222"/>
          <w:sz w:val="24"/>
          <w:szCs w:val="24"/>
          <w:shd w:val="clear" w:color="auto" w:fill="FFFFFF"/>
        </w:rPr>
        <w:t>The European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w:t>
      </w:r>
      <w:r w:rsidRPr="005E698F">
        <w:rPr>
          <w:rFonts w:ascii="Times New Roman" w:hAnsi="Times New Roman" w:cs="Times New Roman"/>
          <w:color w:val="222222"/>
          <w:sz w:val="24"/>
          <w:szCs w:val="24"/>
          <w:shd w:val="clear" w:color="auto" w:fill="FFFFFF"/>
        </w:rPr>
        <w:t>(3), 279-309.</w:t>
      </w:r>
    </w:p>
    <w:p w14:paraId="1BEB910B"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Danbolt, J. B. H. (1996). </w:t>
      </w:r>
      <w:r w:rsidRPr="005E698F">
        <w:rPr>
          <w:rFonts w:ascii="Times New Roman" w:hAnsi="Times New Roman" w:cs="Times New Roman"/>
          <w:i/>
          <w:iCs/>
          <w:color w:val="222222"/>
          <w:sz w:val="24"/>
          <w:szCs w:val="24"/>
          <w:shd w:val="clear" w:color="auto" w:fill="FFFFFF"/>
        </w:rPr>
        <w:t>A Comparative Analysis of the Wealth Effects to Target and Bidding Company Shareholders from Domestic and Cross-border Acquisitions Into the United Kingdom (1986-1991)</w:t>
      </w:r>
      <w:r w:rsidRPr="005E698F">
        <w:rPr>
          <w:rFonts w:ascii="Times New Roman" w:hAnsi="Times New Roman" w:cs="Times New Roman"/>
          <w:color w:val="222222"/>
          <w:sz w:val="24"/>
          <w:szCs w:val="24"/>
          <w:shd w:val="clear" w:color="auto" w:fill="FFFFFF"/>
        </w:rPr>
        <w:t> (Doctoral dissertation, Heriot-Watt University).</w:t>
      </w:r>
    </w:p>
    <w:p w14:paraId="3728233F"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Danbolt, J., &amp; Maciver, G. (2012). Cross‐Border versus Domestic Acquisitions and the Impact on Shareholder Wealth. </w:t>
      </w:r>
      <w:r w:rsidRPr="005E698F">
        <w:rPr>
          <w:rFonts w:ascii="Times New Roman" w:hAnsi="Times New Roman" w:cs="Times New Roman"/>
          <w:i/>
          <w:iCs/>
          <w:color w:val="222222"/>
          <w:sz w:val="24"/>
          <w:szCs w:val="24"/>
          <w:shd w:val="clear" w:color="auto" w:fill="FFFFFF"/>
        </w:rPr>
        <w:t>Journal of Business Finance &amp; Accounting</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39</w:t>
      </w:r>
      <w:r w:rsidRPr="005E698F">
        <w:rPr>
          <w:rFonts w:ascii="Times New Roman" w:hAnsi="Times New Roman" w:cs="Times New Roman"/>
          <w:color w:val="222222"/>
          <w:sz w:val="24"/>
          <w:szCs w:val="24"/>
          <w:shd w:val="clear" w:color="auto" w:fill="FFFFFF"/>
        </w:rPr>
        <w:t xml:space="preserve">(7‐8), 1028-1067. </w:t>
      </w:r>
    </w:p>
    <w:p w14:paraId="19DCEFF8" w14:textId="77777777" w:rsidR="00F82C4E" w:rsidRPr="005E698F" w:rsidRDefault="00F82C4E" w:rsidP="00C36247">
      <w:pPr>
        <w:spacing w:afterLines="60" w:after="144" w:line="276" w:lineRule="auto"/>
        <w:ind w:left="284" w:hanging="284"/>
        <w:jc w:val="both"/>
        <w:rPr>
          <w:rFonts w:ascii="Times New Roman" w:hAnsi="Times New Roman" w:cs="Times New Roman"/>
          <w:sz w:val="24"/>
          <w:szCs w:val="24"/>
        </w:rPr>
      </w:pPr>
      <w:r w:rsidRPr="005E698F">
        <w:rPr>
          <w:rFonts w:ascii="Times New Roman" w:hAnsi="Times New Roman" w:cs="Times New Roman"/>
          <w:color w:val="222222"/>
          <w:sz w:val="24"/>
          <w:szCs w:val="24"/>
          <w:shd w:val="clear" w:color="auto" w:fill="FFFFFF"/>
        </w:rPr>
        <w:t>Davidson III, W. N., &amp; Cheng, L. T. (1997). Target firm returns: does the form of payment affect abnormal returns?. </w:t>
      </w:r>
      <w:r w:rsidRPr="005E698F">
        <w:rPr>
          <w:rFonts w:ascii="Times New Roman" w:hAnsi="Times New Roman" w:cs="Times New Roman"/>
          <w:i/>
          <w:iCs/>
          <w:color w:val="222222"/>
          <w:sz w:val="24"/>
          <w:szCs w:val="24"/>
          <w:shd w:val="clear" w:color="auto" w:fill="FFFFFF"/>
        </w:rPr>
        <w:t>Journal of Business Finance &amp; Accounting</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24</w:t>
      </w:r>
      <w:r w:rsidRPr="005E698F">
        <w:rPr>
          <w:rFonts w:ascii="Times New Roman" w:hAnsi="Times New Roman" w:cs="Times New Roman"/>
          <w:color w:val="222222"/>
          <w:sz w:val="24"/>
          <w:szCs w:val="24"/>
          <w:shd w:val="clear" w:color="auto" w:fill="FFFFFF"/>
        </w:rPr>
        <w:t>(3), 465-479.</w:t>
      </w:r>
    </w:p>
    <w:p w14:paraId="6B8BA10F" w14:textId="570CB57C" w:rsidR="00D5111B" w:rsidRPr="005E698F" w:rsidRDefault="00D5111B"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Davis, EP (1991). </w:t>
      </w:r>
      <w:r w:rsidRPr="005E698F">
        <w:rPr>
          <w:rFonts w:ascii="Times New Roman" w:hAnsi="Times New Roman" w:cs="Times New Roman"/>
          <w:i/>
          <w:iCs/>
          <w:color w:val="222222"/>
          <w:sz w:val="24"/>
          <w:szCs w:val="24"/>
          <w:shd w:val="clear" w:color="auto" w:fill="FFFFFF"/>
        </w:rPr>
        <w:t>International diversification of institutional investors</w:t>
      </w:r>
      <w:r w:rsidRPr="005E698F">
        <w:rPr>
          <w:rFonts w:ascii="Times New Roman" w:hAnsi="Times New Roman" w:cs="Times New Roman"/>
          <w:color w:val="222222"/>
          <w:sz w:val="24"/>
          <w:szCs w:val="24"/>
          <w:shd w:val="clear" w:color="auto" w:fill="FFFFFF"/>
        </w:rPr>
        <w:t>. Bank of England</w:t>
      </w:r>
    </w:p>
    <w:p w14:paraId="233731D4" w14:textId="66AEB2C2"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Dewenter, K. L. (1995). Does the market react differently to domestic and foreign takeover announcements? Evidence from the US chemical and retail industries.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37</w:t>
      </w:r>
      <w:r w:rsidRPr="005E698F">
        <w:rPr>
          <w:rFonts w:ascii="Times New Roman" w:hAnsi="Times New Roman" w:cs="Times New Roman"/>
          <w:color w:val="222222"/>
          <w:sz w:val="24"/>
          <w:szCs w:val="24"/>
          <w:shd w:val="clear" w:color="auto" w:fill="FFFFFF"/>
        </w:rPr>
        <w:t>(3), 421-441.</w:t>
      </w:r>
    </w:p>
    <w:p w14:paraId="177F542E"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Dimson, E., &amp; Marsh, P. (1986). Event study methodologies and the size effect: The case of UK press recommendations.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17</w:t>
      </w:r>
      <w:r w:rsidRPr="005E698F">
        <w:rPr>
          <w:rFonts w:ascii="Times New Roman" w:hAnsi="Times New Roman" w:cs="Times New Roman"/>
          <w:color w:val="222222"/>
          <w:sz w:val="24"/>
          <w:szCs w:val="24"/>
          <w:shd w:val="clear" w:color="auto" w:fill="FFFFFF"/>
        </w:rPr>
        <w:t xml:space="preserve">(1), 113-142. </w:t>
      </w:r>
    </w:p>
    <w:p w14:paraId="0ACD2B1A"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Dunning, J. H. (1973). The determinants of international production. </w:t>
      </w:r>
      <w:r w:rsidRPr="005E698F">
        <w:rPr>
          <w:rFonts w:ascii="Times New Roman" w:hAnsi="Times New Roman" w:cs="Times New Roman"/>
          <w:i/>
          <w:iCs/>
          <w:color w:val="222222"/>
          <w:sz w:val="24"/>
          <w:szCs w:val="24"/>
          <w:shd w:val="clear" w:color="auto" w:fill="FFFFFF"/>
        </w:rPr>
        <w:t>Oxford economic papers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25</w:t>
      </w:r>
      <w:r w:rsidRPr="005E698F">
        <w:rPr>
          <w:rFonts w:ascii="Times New Roman" w:hAnsi="Times New Roman" w:cs="Times New Roman"/>
          <w:color w:val="222222"/>
          <w:sz w:val="24"/>
          <w:szCs w:val="24"/>
          <w:shd w:val="clear" w:color="auto" w:fill="FFFFFF"/>
        </w:rPr>
        <w:t>(3), 289-336.</w:t>
      </w:r>
    </w:p>
    <w:p w14:paraId="7BFB355F"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Erel, I., Liao, R. C., &amp; Weisbach, M. S. (2012). Determinants of cross‐border mergers and acquisitions.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67</w:t>
      </w:r>
      <w:r w:rsidRPr="005E698F">
        <w:rPr>
          <w:rFonts w:ascii="Times New Roman" w:hAnsi="Times New Roman" w:cs="Times New Roman"/>
          <w:color w:val="222222"/>
          <w:sz w:val="24"/>
          <w:szCs w:val="24"/>
          <w:shd w:val="clear" w:color="auto" w:fill="FFFFFF"/>
        </w:rPr>
        <w:t>(3), 1045-1082</w:t>
      </w:r>
    </w:p>
    <w:p w14:paraId="67854410" w14:textId="1FBC9BD6" w:rsidR="00D5111B" w:rsidRPr="005E698F" w:rsidRDefault="00D5111B"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Erel, I., Liao, RC, &amp; Weisbach, MS (2012). Determinants or cross-border mergers and acquisitions.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 </w:t>
      </w:r>
      <w:r w:rsidRPr="005E698F">
        <w:rPr>
          <w:rFonts w:ascii="Times New Roman" w:hAnsi="Times New Roman" w:cs="Times New Roman"/>
          <w:i/>
          <w:iCs/>
          <w:color w:val="222222"/>
          <w:sz w:val="24"/>
          <w:szCs w:val="24"/>
          <w:shd w:val="clear" w:color="auto" w:fill="FFFFFF"/>
        </w:rPr>
        <w:t>67</w:t>
      </w:r>
      <w:r w:rsidRPr="005E698F">
        <w:rPr>
          <w:rFonts w:ascii="Times New Roman" w:hAnsi="Times New Roman" w:cs="Times New Roman"/>
          <w:color w:val="222222"/>
          <w:sz w:val="24"/>
          <w:szCs w:val="24"/>
          <w:shd w:val="clear" w:color="auto" w:fill="FFFFFF"/>
        </w:rPr>
        <w:t> (3), 1045-1082.</w:t>
      </w:r>
    </w:p>
    <w:p w14:paraId="5616A0E3" w14:textId="7E911AC3"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Errunza, V. R., &amp; Senbet, L. W. (1981). The effects of international operations on the market value of the firm: Theory and evidence.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36</w:t>
      </w:r>
      <w:r w:rsidRPr="005E698F">
        <w:rPr>
          <w:rFonts w:ascii="Times New Roman" w:hAnsi="Times New Roman" w:cs="Times New Roman"/>
          <w:color w:val="222222"/>
          <w:sz w:val="24"/>
          <w:szCs w:val="24"/>
          <w:shd w:val="clear" w:color="auto" w:fill="FFFFFF"/>
        </w:rPr>
        <w:t>(2), 401-417.</w:t>
      </w:r>
    </w:p>
    <w:p w14:paraId="3D270C64"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Firth, M. (1991). Corporate takeovers, stockholder returns and executive rewards. </w:t>
      </w:r>
      <w:r w:rsidRPr="005E698F">
        <w:rPr>
          <w:rFonts w:ascii="Times New Roman" w:hAnsi="Times New Roman" w:cs="Times New Roman"/>
          <w:i/>
          <w:iCs/>
          <w:color w:val="222222"/>
          <w:sz w:val="24"/>
          <w:szCs w:val="24"/>
          <w:shd w:val="clear" w:color="auto" w:fill="FFFFFF"/>
        </w:rPr>
        <w:t>Managerial and Decision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12</w:t>
      </w:r>
      <w:r w:rsidRPr="005E698F">
        <w:rPr>
          <w:rFonts w:ascii="Times New Roman" w:hAnsi="Times New Roman" w:cs="Times New Roman"/>
          <w:color w:val="222222"/>
          <w:sz w:val="24"/>
          <w:szCs w:val="24"/>
          <w:shd w:val="clear" w:color="auto" w:fill="FFFFFF"/>
        </w:rPr>
        <w:t xml:space="preserve">(6), 421-428. </w:t>
      </w:r>
    </w:p>
    <w:p w14:paraId="1E132FB2" w14:textId="0E4BDB6B" w:rsidR="00F82C4E" w:rsidRPr="005E698F" w:rsidRDefault="00D5111B" w:rsidP="00C36247">
      <w:pPr>
        <w:autoSpaceDE w:val="0"/>
        <w:autoSpaceDN w:val="0"/>
        <w:adjustRightInd w:val="0"/>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Fishman, MJ (1989). Preemptive bidding and the role of the medium of exchange in acquisitions.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44</w:t>
      </w:r>
      <w:r w:rsidRPr="005E698F">
        <w:rPr>
          <w:rFonts w:ascii="Times New Roman" w:hAnsi="Times New Roman" w:cs="Times New Roman"/>
          <w:color w:val="222222"/>
          <w:sz w:val="24"/>
          <w:szCs w:val="24"/>
          <w:shd w:val="clear" w:color="auto" w:fill="FFFFFF"/>
        </w:rPr>
        <w:t>(1), 41-57.</w:t>
      </w:r>
    </w:p>
    <w:p w14:paraId="6119918F"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Franks, J. R., &amp; Harris, R. S. (1989). Shareholder wealth effects of corporate takeovers: the UK experience 1955–1985.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23</w:t>
      </w:r>
      <w:r w:rsidRPr="005E698F">
        <w:rPr>
          <w:rFonts w:ascii="Times New Roman" w:hAnsi="Times New Roman" w:cs="Times New Roman"/>
          <w:color w:val="222222"/>
          <w:sz w:val="24"/>
          <w:szCs w:val="24"/>
          <w:shd w:val="clear" w:color="auto" w:fill="FFFFFF"/>
        </w:rPr>
        <w:t>(2), 225-249.</w:t>
      </w:r>
    </w:p>
    <w:p w14:paraId="2CF2093F" w14:textId="77777777" w:rsidR="00F82C4E" w:rsidRPr="005E698F" w:rsidRDefault="00F82C4E" w:rsidP="00C36247">
      <w:pPr>
        <w:pStyle w:val="Default"/>
        <w:spacing w:afterLines="60" w:after="144" w:line="276" w:lineRule="auto"/>
        <w:ind w:left="284" w:hanging="284"/>
        <w:rPr>
          <w:rFonts w:ascii="Times New Roman" w:hAnsi="Times New Roman" w:cs="Times New Roman"/>
          <w:color w:val="222222"/>
          <w:shd w:val="clear" w:color="auto" w:fill="FFFFFF"/>
        </w:rPr>
      </w:pPr>
      <w:r w:rsidRPr="005E698F">
        <w:rPr>
          <w:rFonts w:ascii="Times New Roman" w:hAnsi="Times New Roman" w:cs="Times New Roman"/>
          <w:color w:val="222222"/>
          <w:shd w:val="clear" w:color="auto" w:fill="FFFFFF"/>
        </w:rPr>
        <w:t>Franks, J. R., Broyles, J. E., &amp; Hecht, M. J. (1977). An industry study of the profitability of mergers in the United Kingdom. </w:t>
      </w:r>
      <w:r w:rsidRPr="005E698F">
        <w:rPr>
          <w:rFonts w:ascii="Times New Roman" w:hAnsi="Times New Roman" w:cs="Times New Roman"/>
          <w:i/>
          <w:iCs/>
          <w:color w:val="222222"/>
          <w:shd w:val="clear" w:color="auto" w:fill="FFFFFF"/>
        </w:rPr>
        <w:t>The journal of Finance</w:t>
      </w:r>
      <w:r w:rsidRPr="005E698F">
        <w:rPr>
          <w:rFonts w:ascii="Times New Roman" w:hAnsi="Times New Roman" w:cs="Times New Roman"/>
          <w:color w:val="222222"/>
          <w:shd w:val="clear" w:color="auto" w:fill="FFFFFF"/>
        </w:rPr>
        <w:t>, </w:t>
      </w:r>
      <w:r w:rsidRPr="005E698F">
        <w:rPr>
          <w:rFonts w:ascii="Times New Roman" w:hAnsi="Times New Roman" w:cs="Times New Roman"/>
          <w:i/>
          <w:iCs/>
          <w:color w:val="222222"/>
          <w:shd w:val="clear" w:color="auto" w:fill="FFFFFF"/>
        </w:rPr>
        <w:t>32</w:t>
      </w:r>
      <w:r w:rsidRPr="005E698F">
        <w:rPr>
          <w:rFonts w:ascii="Times New Roman" w:hAnsi="Times New Roman" w:cs="Times New Roman"/>
          <w:color w:val="222222"/>
          <w:shd w:val="clear" w:color="auto" w:fill="FFFFFF"/>
        </w:rPr>
        <w:t>(5), 1513-1525.</w:t>
      </w:r>
    </w:p>
    <w:p w14:paraId="5C5977BF" w14:textId="77777777" w:rsidR="00F82C4E" w:rsidRPr="005E698F" w:rsidRDefault="00F82C4E" w:rsidP="00C36247">
      <w:pPr>
        <w:spacing w:afterLines="60" w:after="144" w:line="276" w:lineRule="auto"/>
        <w:ind w:left="284" w:hanging="284"/>
        <w:jc w:val="both"/>
        <w:rPr>
          <w:rFonts w:ascii="Times New Roman" w:hAnsi="Times New Roman" w:cs="Times New Roman"/>
          <w:sz w:val="24"/>
          <w:szCs w:val="24"/>
        </w:rPr>
      </w:pPr>
      <w:r w:rsidRPr="005E698F">
        <w:rPr>
          <w:rFonts w:ascii="Times New Roman" w:hAnsi="Times New Roman" w:cs="Times New Roman"/>
          <w:color w:val="222222"/>
          <w:sz w:val="24"/>
          <w:szCs w:val="24"/>
          <w:shd w:val="clear" w:color="auto" w:fill="FFFFFF"/>
        </w:rPr>
        <w:lastRenderedPageBreak/>
        <w:t>Franks, J. R., Harris, R. S., &amp; Mayer, C. (1988). Means of payment in takeovers: Results for the United Kingdom and the United States. In </w:t>
      </w:r>
      <w:r w:rsidRPr="005E698F">
        <w:rPr>
          <w:rFonts w:ascii="Times New Roman" w:hAnsi="Times New Roman" w:cs="Times New Roman"/>
          <w:i/>
          <w:iCs/>
          <w:color w:val="222222"/>
          <w:sz w:val="24"/>
          <w:szCs w:val="24"/>
          <w:shd w:val="clear" w:color="auto" w:fill="FFFFFF"/>
        </w:rPr>
        <w:t>Corporate takeovers: Causes and consequences</w:t>
      </w:r>
      <w:r w:rsidRPr="005E698F">
        <w:rPr>
          <w:rFonts w:ascii="Times New Roman" w:hAnsi="Times New Roman" w:cs="Times New Roman"/>
          <w:color w:val="222222"/>
          <w:sz w:val="24"/>
          <w:szCs w:val="24"/>
          <w:shd w:val="clear" w:color="auto" w:fill="FFFFFF"/>
        </w:rPr>
        <w:t> (pp. 221-264). University of Chicago Press.</w:t>
      </w:r>
    </w:p>
    <w:p w14:paraId="6F53CDA0" w14:textId="77777777" w:rsidR="00F82C4E" w:rsidRPr="005E698F" w:rsidRDefault="00F82C4E"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Franks, J., &amp; Mayer, C. (1996). Hostile takeovers and the correction of managerial failure.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40</w:t>
      </w:r>
      <w:r w:rsidRPr="005E698F">
        <w:rPr>
          <w:rFonts w:ascii="Times New Roman" w:hAnsi="Times New Roman" w:cs="Times New Roman"/>
          <w:color w:val="222222"/>
          <w:sz w:val="24"/>
          <w:szCs w:val="24"/>
          <w:shd w:val="clear" w:color="auto" w:fill="FFFFFF"/>
        </w:rPr>
        <w:t>(1), 163-181.</w:t>
      </w:r>
    </w:p>
    <w:p w14:paraId="7D045AE6"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Froot, K. A., &amp; Stein, J. C. (1991). Exchange rates and foreign direct investment: an imperfect capital markets approach. </w:t>
      </w:r>
      <w:r w:rsidRPr="005E698F">
        <w:rPr>
          <w:rFonts w:ascii="Times New Roman" w:hAnsi="Times New Roman" w:cs="Times New Roman"/>
          <w:i/>
          <w:iCs/>
          <w:color w:val="222222"/>
          <w:sz w:val="24"/>
          <w:szCs w:val="24"/>
          <w:shd w:val="clear" w:color="auto" w:fill="FFFFFF"/>
        </w:rPr>
        <w:t>The quarterly journal of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106</w:t>
      </w:r>
      <w:r w:rsidRPr="005E698F">
        <w:rPr>
          <w:rFonts w:ascii="Times New Roman" w:hAnsi="Times New Roman" w:cs="Times New Roman"/>
          <w:color w:val="222222"/>
          <w:sz w:val="24"/>
          <w:szCs w:val="24"/>
          <w:shd w:val="clear" w:color="auto" w:fill="FFFFFF"/>
        </w:rPr>
        <w:t>(4), 1191-1217.</w:t>
      </w:r>
    </w:p>
    <w:p w14:paraId="2B20196D"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Geroski, P. A., &amp; Vlassopoulos, A. (1990). Recent patterns of European merger activity. </w:t>
      </w:r>
      <w:r w:rsidRPr="005E698F">
        <w:rPr>
          <w:rFonts w:ascii="Times New Roman" w:hAnsi="Times New Roman" w:cs="Times New Roman"/>
          <w:i/>
          <w:iCs/>
          <w:color w:val="222222"/>
          <w:sz w:val="24"/>
          <w:szCs w:val="24"/>
          <w:shd w:val="clear" w:color="auto" w:fill="FFFFFF"/>
        </w:rPr>
        <w:t>Business Strategy Review</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w:t>
      </w:r>
      <w:r w:rsidRPr="005E698F">
        <w:rPr>
          <w:rFonts w:ascii="Times New Roman" w:hAnsi="Times New Roman" w:cs="Times New Roman"/>
          <w:color w:val="222222"/>
          <w:sz w:val="24"/>
          <w:szCs w:val="24"/>
          <w:shd w:val="clear" w:color="auto" w:fill="FFFFFF"/>
        </w:rPr>
        <w:t>(2), 17-27.</w:t>
      </w:r>
    </w:p>
    <w:p w14:paraId="097C256C" w14:textId="77777777" w:rsidR="00F82C4E" w:rsidRPr="005E698F" w:rsidRDefault="00F82C4E" w:rsidP="00C36247">
      <w:pPr>
        <w:spacing w:afterLines="60" w:after="144" w:line="276" w:lineRule="auto"/>
        <w:ind w:left="284" w:hanging="284"/>
        <w:rPr>
          <w:rFonts w:ascii="Times New Roman" w:hAnsi="Times New Roman" w:cs="Times New Roman"/>
          <w:sz w:val="24"/>
          <w:szCs w:val="24"/>
        </w:rPr>
      </w:pPr>
      <w:r w:rsidRPr="005E698F">
        <w:rPr>
          <w:rFonts w:ascii="Times New Roman" w:hAnsi="Times New Roman" w:cs="Times New Roman"/>
          <w:color w:val="222222"/>
          <w:sz w:val="24"/>
          <w:szCs w:val="24"/>
          <w:shd w:val="clear" w:color="auto" w:fill="FFFFFF"/>
        </w:rPr>
        <w:t>Goergen, M., &amp; Renneboog, L. (2004). Shareholder wealth effects of European domestic and cross‐border takeover bids. </w:t>
      </w:r>
      <w:r w:rsidRPr="005E698F">
        <w:rPr>
          <w:rFonts w:ascii="Times New Roman" w:hAnsi="Times New Roman" w:cs="Times New Roman"/>
          <w:i/>
          <w:iCs/>
          <w:color w:val="222222"/>
          <w:sz w:val="24"/>
          <w:szCs w:val="24"/>
          <w:shd w:val="clear" w:color="auto" w:fill="FFFFFF"/>
        </w:rPr>
        <w:t>European Financial Management</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10</w:t>
      </w:r>
      <w:r w:rsidRPr="005E698F">
        <w:rPr>
          <w:rFonts w:ascii="Times New Roman" w:hAnsi="Times New Roman" w:cs="Times New Roman"/>
          <w:color w:val="222222"/>
          <w:sz w:val="24"/>
          <w:szCs w:val="24"/>
          <w:shd w:val="clear" w:color="auto" w:fill="FFFFFF"/>
        </w:rPr>
        <w:t>(1), 9-45</w:t>
      </w:r>
    </w:p>
    <w:p w14:paraId="7AB443E6" w14:textId="77777777" w:rsidR="00F82C4E" w:rsidRPr="005E698F" w:rsidRDefault="00F82C4E"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Goergen, M., &amp; Renneboog, L. (2004). Shareholder wealth effects of European domestic and cross‐border takeover bids. </w:t>
      </w:r>
      <w:r w:rsidRPr="005E698F">
        <w:rPr>
          <w:rFonts w:ascii="Times New Roman" w:hAnsi="Times New Roman" w:cs="Times New Roman"/>
          <w:i/>
          <w:iCs/>
          <w:color w:val="222222"/>
          <w:sz w:val="24"/>
          <w:szCs w:val="24"/>
          <w:shd w:val="clear" w:color="auto" w:fill="FFFFFF"/>
        </w:rPr>
        <w:t>European Financial Management</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10</w:t>
      </w:r>
      <w:r w:rsidRPr="005E698F">
        <w:rPr>
          <w:rFonts w:ascii="Times New Roman" w:hAnsi="Times New Roman" w:cs="Times New Roman"/>
          <w:color w:val="222222"/>
          <w:sz w:val="24"/>
          <w:szCs w:val="24"/>
          <w:shd w:val="clear" w:color="auto" w:fill="FFFFFF"/>
        </w:rPr>
        <w:t>(1), 9-45.</w:t>
      </w:r>
    </w:p>
    <w:p w14:paraId="709DBA13"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Grant, R. M. (1987). Multinationality and performance among British manufacturing companies. </w:t>
      </w:r>
      <w:r w:rsidRPr="005E698F">
        <w:rPr>
          <w:rFonts w:ascii="Times New Roman" w:hAnsi="Times New Roman" w:cs="Times New Roman"/>
          <w:i/>
          <w:iCs/>
          <w:color w:val="222222"/>
          <w:sz w:val="24"/>
          <w:szCs w:val="24"/>
          <w:shd w:val="clear" w:color="auto" w:fill="FFFFFF"/>
        </w:rPr>
        <w:t>Journal of International Business Studies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18</w:t>
      </w:r>
      <w:r w:rsidRPr="005E698F">
        <w:rPr>
          <w:rFonts w:ascii="Times New Roman" w:hAnsi="Times New Roman" w:cs="Times New Roman"/>
          <w:color w:val="222222"/>
          <w:sz w:val="24"/>
          <w:szCs w:val="24"/>
          <w:shd w:val="clear" w:color="auto" w:fill="FFFFFF"/>
        </w:rPr>
        <w:t>(3), 79-89.</w:t>
      </w:r>
    </w:p>
    <w:p w14:paraId="6DF85DEA"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Harris, R. S., &amp; Ravenscraft, D. (1991). The role of acquisitions in foreign direct investment: Evidence from the US stock market.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46</w:t>
      </w:r>
      <w:r w:rsidRPr="005E698F">
        <w:rPr>
          <w:rFonts w:ascii="Times New Roman" w:hAnsi="Times New Roman" w:cs="Times New Roman"/>
          <w:color w:val="222222"/>
          <w:sz w:val="24"/>
          <w:szCs w:val="24"/>
          <w:shd w:val="clear" w:color="auto" w:fill="FFFFFF"/>
        </w:rPr>
        <w:t>(3), 825-844.</w:t>
      </w:r>
    </w:p>
    <w:p w14:paraId="6C37D350"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Hisey, K. B., &amp; Caves, R. E. (1985). Diversification strategy and choice of country: Diversifying acquisitions abroad by US multinationals, 1978–1980. </w:t>
      </w:r>
      <w:r w:rsidRPr="005E698F">
        <w:rPr>
          <w:rFonts w:ascii="Times New Roman" w:hAnsi="Times New Roman" w:cs="Times New Roman"/>
          <w:i/>
          <w:iCs/>
          <w:color w:val="222222"/>
          <w:sz w:val="24"/>
          <w:szCs w:val="24"/>
          <w:shd w:val="clear" w:color="auto" w:fill="FFFFFF"/>
        </w:rPr>
        <w:t>Journal of International Business Studies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16</w:t>
      </w:r>
      <w:r w:rsidRPr="005E698F">
        <w:rPr>
          <w:rFonts w:ascii="Times New Roman" w:hAnsi="Times New Roman" w:cs="Times New Roman"/>
          <w:color w:val="222222"/>
          <w:sz w:val="24"/>
          <w:szCs w:val="24"/>
          <w:shd w:val="clear" w:color="auto" w:fill="FFFFFF"/>
        </w:rPr>
        <w:t>(2), 51-64.</w:t>
      </w:r>
    </w:p>
    <w:p w14:paraId="34B2A743" w14:textId="77777777" w:rsidR="00F82C4E" w:rsidRPr="005E698F" w:rsidRDefault="00F82C4E"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Huang, Y. S., &amp; Walkling, R. A. (1987). Target abnormal returns associated with acquisition announcements: Payment, acquisition form, and managerial resistance.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19</w:t>
      </w:r>
      <w:r w:rsidRPr="005E698F">
        <w:rPr>
          <w:rFonts w:ascii="Times New Roman" w:hAnsi="Times New Roman" w:cs="Times New Roman"/>
          <w:color w:val="222222"/>
          <w:sz w:val="24"/>
          <w:szCs w:val="24"/>
          <w:shd w:val="clear" w:color="auto" w:fill="FFFFFF"/>
        </w:rPr>
        <w:t>(2), 329-349.</w:t>
      </w:r>
    </w:p>
    <w:p w14:paraId="44C79147"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Hymer, S. H. (1976). </w:t>
      </w:r>
      <w:r w:rsidRPr="005E698F">
        <w:rPr>
          <w:rFonts w:ascii="Times New Roman" w:hAnsi="Times New Roman" w:cs="Times New Roman"/>
          <w:i/>
          <w:iCs/>
          <w:color w:val="222222"/>
          <w:sz w:val="24"/>
          <w:szCs w:val="24"/>
          <w:shd w:val="clear" w:color="auto" w:fill="FFFFFF"/>
        </w:rPr>
        <w:t>International operations of national firms</w:t>
      </w:r>
      <w:r w:rsidRPr="005E698F">
        <w:rPr>
          <w:rFonts w:ascii="Times New Roman" w:hAnsi="Times New Roman" w:cs="Times New Roman"/>
          <w:color w:val="222222"/>
          <w:sz w:val="24"/>
          <w:szCs w:val="24"/>
          <w:shd w:val="clear" w:color="auto" w:fill="FFFFFF"/>
        </w:rPr>
        <w:t>. MIT press.</w:t>
      </w:r>
    </w:p>
    <w:p w14:paraId="743E82ED"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Jensen, M. C., &amp; Meckling, W. H. (1976). Theory of the firm: Managerial behavior, agency costs and ownership structure.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w:t>
      </w:r>
      <w:r w:rsidRPr="005E698F">
        <w:rPr>
          <w:rFonts w:ascii="Times New Roman" w:hAnsi="Times New Roman" w:cs="Times New Roman"/>
          <w:color w:val="222222"/>
          <w:sz w:val="24"/>
          <w:szCs w:val="24"/>
          <w:shd w:val="clear" w:color="auto" w:fill="FFFFFF"/>
        </w:rPr>
        <w:t>(4), 305-360.</w:t>
      </w:r>
    </w:p>
    <w:p w14:paraId="1D31BD2E" w14:textId="77777777" w:rsidR="00F82C4E" w:rsidRPr="005E698F" w:rsidRDefault="00F82C4E"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Jensen, M. C., &amp; Ruback, R. S. (1983). The market for corporate control: The scientific evidence.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11</w:t>
      </w:r>
      <w:r w:rsidRPr="005E698F">
        <w:rPr>
          <w:rFonts w:ascii="Times New Roman" w:hAnsi="Times New Roman" w:cs="Times New Roman"/>
          <w:color w:val="222222"/>
          <w:sz w:val="24"/>
          <w:szCs w:val="24"/>
          <w:shd w:val="clear" w:color="auto" w:fill="FFFFFF"/>
        </w:rPr>
        <w:t>(1-4), 5-50.</w:t>
      </w:r>
    </w:p>
    <w:p w14:paraId="18334396"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Kang, J. K. (1993). The international market for corporate control: Mergers and acquisitions of US firms by Japanese firms.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34</w:t>
      </w:r>
      <w:r w:rsidRPr="005E698F">
        <w:rPr>
          <w:rFonts w:ascii="Times New Roman" w:hAnsi="Times New Roman" w:cs="Times New Roman"/>
          <w:color w:val="222222"/>
          <w:sz w:val="24"/>
          <w:szCs w:val="24"/>
          <w:shd w:val="clear" w:color="auto" w:fill="FFFFFF"/>
        </w:rPr>
        <w:t>(3), 345-371.</w:t>
      </w:r>
    </w:p>
    <w:p w14:paraId="01B49BFA" w14:textId="77777777" w:rsidR="00F82C4E" w:rsidRPr="005E698F" w:rsidRDefault="00F82C4E"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Kaplan, S. N., &amp; Weisbach, M. S. (1992). The success of acquisitions: Evidence from divestitures.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47</w:t>
      </w:r>
      <w:r w:rsidRPr="005E698F">
        <w:rPr>
          <w:rFonts w:ascii="Times New Roman" w:hAnsi="Times New Roman" w:cs="Times New Roman"/>
          <w:color w:val="222222"/>
          <w:sz w:val="24"/>
          <w:szCs w:val="24"/>
          <w:shd w:val="clear" w:color="auto" w:fill="FFFFFF"/>
        </w:rPr>
        <w:t>(1), 107-138.</w:t>
      </w:r>
    </w:p>
    <w:p w14:paraId="08D06811" w14:textId="48E56464" w:rsidR="00F82C4E" w:rsidRPr="005E698F" w:rsidRDefault="00D5111B" w:rsidP="00C36247">
      <w:pPr>
        <w:spacing w:afterLines="60" w:after="144" w:line="276" w:lineRule="auto"/>
        <w:ind w:left="284" w:hanging="284"/>
        <w:rPr>
          <w:rFonts w:ascii="Times New Roman" w:hAnsi="Times New Roman" w:cs="Times New Roman"/>
          <w:color w:val="333333"/>
          <w:sz w:val="24"/>
          <w:szCs w:val="24"/>
          <w:shd w:val="clear" w:color="auto" w:fill="FFFFFF"/>
        </w:rPr>
      </w:pPr>
      <w:r w:rsidRPr="005E698F">
        <w:rPr>
          <w:rFonts w:ascii="Times New Roman" w:hAnsi="Times New Roman" w:cs="Times New Roman"/>
          <w:color w:val="333333"/>
          <w:sz w:val="24"/>
          <w:szCs w:val="24"/>
          <w:shd w:val="clear" w:color="auto" w:fill="FFFFFF"/>
        </w:rPr>
        <w:t>Kenton, Will (2019</w:t>
      </w:r>
      <w:r w:rsidR="00F82C4E" w:rsidRPr="005E698F">
        <w:rPr>
          <w:rFonts w:ascii="Times New Roman" w:hAnsi="Times New Roman" w:cs="Times New Roman"/>
          <w:color w:val="333333"/>
          <w:sz w:val="24"/>
          <w:szCs w:val="24"/>
          <w:shd w:val="clear" w:color="auto" w:fill="FFFFFF"/>
        </w:rPr>
        <w:t xml:space="preserve"> June 19). </w:t>
      </w:r>
      <w:r w:rsidR="00F82C4E" w:rsidRPr="005E698F">
        <w:rPr>
          <w:rFonts w:ascii="Times New Roman" w:hAnsi="Times New Roman" w:cs="Times New Roman"/>
          <w:i/>
          <w:color w:val="333333"/>
          <w:sz w:val="24"/>
          <w:szCs w:val="24"/>
          <w:shd w:val="clear" w:color="auto" w:fill="FFFFFF"/>
        </w:rPr>
        <w:t>Understanding Beta and How to Calculate It.</w:t>
      </w:r>
      <w:r w:rsidR="00F82C4E" w:rsidRPr="005E698F">
        <w:rPr>
          <w:rFonts w:ascii="Times New Roman" w:hAnsi="Times New Roman" w:cs="Times New Roman"/>
          <w:color w:val="333333"/>
          <w:sz w:val="24"/>
          <w:szCs w:val="24"/>
          <w:shd w:val="clear" w:color="auto" w:fill="FFFFFF"/>
        </w:rPr>
        <w:t xml:space="preserve"> Retrieved from </w:t>
      </w:r>
      <w:hyperlink r:id="rId9" w:history="1">
        <w:r w:rsidR="00F82C4E" w:rsidRPr="005E698F">
          <w:rPr>
            <w:rStyle w:val="Hyperlink"/>
            <w:rFonts w:ascii="Times New Roman" w:hAnsi="Times New Roman" w:cs="Times New Roman"/>
            <w:sz w:val="24"/>
            <w:szCs w:val="24"/>
            <w:shd w:val="clear" w:color="auto" w:fill="FFFFFF"/>
          </w:rPr>
          <w:t>https://www.investopedia.com/terms/b/beta.asp</w:t>
        </w:r>
      </w:hyperlink>
    </w:p>
    <w:p w14:paraId="3E350807"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lastRenderedPageBreak/>
        <w:t>Leftwich, R. B. (1974). US multinational companies: profitability, financial leverage, and effective income tax rates. </w:t>
      </w:r>
      <w:r w:rsidRPr="005E698F">
        <w:rPr>
          <w:rFonts w:ascii="Times New Roman" w:hAnsi="Times New Roman" w:cs="Times New Roman"/>
          <w:i/>
          <w:iCs/>
          <w:color w:val="222222"/>
          <w:sz w:val="24"/>
          <w:szCs w:val="24"/>
          <w:shd w:val="clear" w:color="auto" w:fill="FFFFFF"/>
        </w:rPr>
        <w:t>Survey of Current Business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54</w:t>
      </w:r>
      <w:r w:rsidRPr="005E698F">
        <w:rPr>
          <w:rFonts w:ascii="Times New Roman" w:hAnsi="Times New Roman" w:cs="Times New Roman"/>
          <w:color w:val="222222"/>
          <w:sz w:val="24"/>
          <w:szCs w:val="24"/>
          <w:shd w:val="clear" w:color="auto" w:fill="FFFFFF"/>
        </w:rPr>
        <w:t>(5), 27-36.</w:t>
      </w:r>
    </w:p>
    <w:p w14:paraId="1381D9B1"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Lessard, D. R. (1976). World, country, and industry relationships in equity returns: Implications for risk reduction through international diversification. </w:t>
      </w:r>
      <w:r w:rsidRPr="005E698F">
        <w:rPr>
          <w:rFonts w:ascii="Times New Roman" w:hAnsi="Times New Roman" w:cs="Times New Roman"/>
          <w:i/>
          <w:iCs/>
          <w:color w:val="222222"/>
          <w:sz w:val="24"/>
          <w:szCs w:val="24"/>
          <w:shd w:val="clear" w:color="auto" w:fill="FFFFFF"/>
        </w:rPr>
        <w:t>Financial analysts journal</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32</w:t>
      </w:r>
      <w:r w:rsidRPr="005E698F">
        <w:rPr>
          <w:rFonts w:ascii="Times New Roman" w:hAnsi="Times New Roman" w:cs="Times New Roman"/>
          <w:color w:val="222222"/>
          <w:sz w:val="24"/>
          <w:szCs w:val="24"/>
          <w:shd w:val="clear" w:color="auto" w:fill="FFFFFF"/>
        </w:rPr>
        <w:t>(1), 32-38.</w:t>
      </w:r>
    </w:p>
    <w:p w14:paraId="778907BB" w14:textId="77777777" w:rsidR="00F82C4E" w:rsidRPr="005E698F" w:rsidRDefault="00F82C4E" w:rsidP="00C36247">
      <w:pPr>
        <w:autoSpaceDE w:val="0"/>
        <w:autoSpaceDN w:val="0"/>
        <w:adjustRightInd w:val="0"/>
        <w:spacing w:afterLines="60" w:after="144" w:line="276" w:lineRule="auto"/>
        <w:ind w:left="284" w:hanging="284"/>
        <w:rPr>
          <w:rFonts w:ascii="Times New Roman" w:hAnsi="Times New Roman" w:cs="Times New Roman"/>
          <w:color w:val="222222"/>
          <w:sz w:val="24"/>
          <w:szCs w:val="24"/>
          <w:highlight w:val="yellow"/>
          <w:shd w:val="clear" w:color="auto" w:fill="FFFFFF"/>
        </w:rPr>
      </w:pPr>
      <w:r w:rsidRPr="005E698F">
        <w:rPr>
          <w:rFonts w:ascii="Times New Roman" w:hAnsi="Times New Roman" w:cs="Times New Roman"/>
          <w:color w:val="222222"/>
          <w:sz w:val="24"/>
          <w:szCs w:val="24"/>
          <w:shd w:val="clear" w:color="auto" w:fill="FFFFFF"/>
        </w:rPr>
        <w:t>Limmack, R. J. (1991). Corporate mergers and shareholder wealth effects: 1977-1986. </w:t>
      </w:r>
      <w:r w:rsidRPr="005E698F">
        <w:rPr>
          <w:rFonts w:ascii="Times New Roman" w:hAnsi="Times New Roman" w:cs="Times New Roman"/>
          <w:i/>
          <w:iCs/>
          <w:color w:val="222222"/>
          <w:sz w:val="24"/>
          <w:szCs w:val="24"/>
          <w:shd w:val="clear" w:color="auto" w:fill="FFFFFF"/>
        </w:rPr>
        <w:t>Accounting and Business Research</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21</w:t>
      </w:r>
      <w:r w:rsidRPr="005E698F">
        <w:rPr>
          <w:rFonts w:ascii="Times New Roman" w:hAnsi="Times New Roman" w:cs="Times New Roman"/>
          <w:color w:val="222222"/>
          <w:sz w:val="24"/>
          <w:szCs w:val="24"/>
          <w:shd w:val="clear" w:color="auto" w:fill="FFFFFF"/>
        </w:rPr>
        <w:t>(83), 239-252.</w:t>
      </w:r>
    </w:p>
    <w:p w14:paraId="5EFA861F"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Malkiel, B. G., &amp; Fama, E. F. (1970). Efficient capital markets: A review of theory and empirical work.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25</w:t>
      </w:r>
      <w:r w:rsidRPr="005E698F">
        <w:rPr>
          <w:rFonts w:ascii="Times New Roman" w:hAnsi="Times New Roman" w:cs="Times New Roman"/>
          <w:color w:val="222222"/>
          <w:sz w:val="24"/>
          <w:szCs w:val="24"/>
          <w:shd w:val="clear" w:color="auto" w:fill="FFFFFF"/>
        </w:rPr>
        <w:t>(2), 383-417.</w:t>
      </w:r>
    </w:p>
    <w:p w14:paraId="43FB9B29" w14:textId="3FD6F4B5" w:rsidR="00F82C4E" w:rsidRPr="005E698F" w:rsidRDefault="00D5111B"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Markides, C. C., &amp; Ittner, C. D. (1994). Shareholder benefits from corporate international diversification: Evidence from US international acquisitions. </w:t>
      </w:r>
      <w:r w:rsidRPr="005E698F">
        <w:rPr>
          <w:rFonts w:ascii="Times New Roman" w:hAnsi="Times New Roman" w:cs="Times New Roman"/>
          <w:i/>
          <w:iCs/>
          <w:color w:val="222222"/>
          <w:sz w:val="24"/>
          <w:szCs w:val="24"/>
          <w:shd w:val="clear" w:color="auto" w:fill="FFFFFF"/>
        </w:rPr>
        <w:t>Journal of international business studies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25</w:t>
      </w:r>
      <w:r w:rsidRPr="005E698F">
        <w:rPr>
          <w:rFonts w:ascii="Times New Roman" w:hAnsi="Times New Roman" w:cs="Times New Roman"/>
          <w:color w:val="222222"/>
          <w:sz w:val="24"/>
          <w:szCs w:val="24"/>
          <w:shd w:val="clear" w:color="auto" w:fill="FFFFFF"/>
        </w:rPr>
        <w:t>(2), 343-366.</w:t>
      </w:r>
      <w:r w:rsidR="00F82C4E" w:rsidRPr="005E698F">
        <w:rPr>
          <w:rFonts w:ascii="Times New Roman" w:hAnsi="Times New Roman" w:cs="Times New Roman"/>
          <w:color w:val="222222"/>
          <w:sz w:val="24"/>
          <w:szCs w:val="24"/>
          <w:shd w:val="clear" w:color="auto" w:fill="FFFFFF"/>
        </w:rPr>
        <w:t>Peterson, D. R., &amp; Peterson, P. P. (1991). The medium of exchange in mergers and acquisitions. </w:t>
      </w:r>
      <w:r w:rsidR="00F82C4E" w:rsidRPr="005E698F">
        <w:rPr>
          <w:rFonts w:ascii="Times New Roman" w:hAnsi="Times New Roman" w:cs="Times New Roman"/>
          <w:i/>
          <w:iCs/>
          <w:color w:val="222222"/>
          <w:sz w:val="24"/>
          <w:szCs w:val="24"/>
          <w:shd w:val="clear" w:color="auto" w:fill="FFFFFF"/>
        </w:rPr>
        <w:t>Journal of Banking &amp; Finance</w:t>
      </w:r>
      <w:r w:rsidR="00F82C4E" w:rsidRPr="005E698F">
        <w:rPr>
          <w:rFonts w:ascii="Times New Roman" w:hAnsi="Times New Roman" w:cs="Times New Roman"/>
          <w:color w:val="222222"/>
          <w:sz w:val="24"/>
          <w:szCs w:val="24"/>
          <w:shd w:val="clear" w:color="auto" w:fill="FFFFFF"/>
        </w:rPr>
        <w:t>, </w:t>
      </w:r>
      <w:r w:rsidR="00F82C4E" w:rsidRPr="005E698F">
        <w:rPr>
          <w:rFonts w:ascii="Times New Roman" w:hAnsi="Times New Roman" w:cs="Times New Roman"/>
          <w:i/>
          <w:iCs/>
          <w:color w:val="222222"/>
          <w:sz w:val="24"/>
          <w:szCs w:val="24"/>
          <w:shd w:val="clear" w:color="auto" w:fill="FFFFFF"/>
        </w:rPr>
        <w:t>15</w:t>
      </w:r>
      <w:r w:rsidR="00F82C4E" w:rsidRPr="005E698F">
        <w:rPr>
          <w:rFonts w:ascii="Times New Roman" w:hAnsi="Times New Roman" w:cs="Times New Roman"/>
          <w:color w:val="222222"/>
          <w:sz w:val="24"/>
          <w:szCs w:val="24"/>
          <w:shd w:val="clear" w:color="auto" w:fill="FFFFFF"/>
        </w:rPr>
        <w:t>(2), 383-405.</w:t>
      </w:r>
    </w:p>
    <w:p w14:paraId="4C754B4D" w14:textId="77777777" w:rsidR="00D5111B" w:rsidRPr="005E698F" w:rsidRDefault="00D5111B"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Pringle, R. (1991). </w:t>
      </w:r>
      <w:r w:rsidRPr="005E698F">
        <w:rPr>
          <w:rFonts w:ascii="Times New Roman" w:hAnsi="Times New Roman" w:cs="Times New Roman"/>
          <w:i/>
          <w:iCs/>
          <w:color w:val="222222"/>
          <w:sz w:val="24"/>
          <w:szCs w:val="24"/>
          <w:shd w:val="clear" w:color="auto" w:fill="FFFFFF"/>
        </w:rPr>
        <w:t>The Control of Mergers and Takeovers in the EC</w:t>
      </w:r>
      <w:r w:rsidRPr="005E698F">
        <w:rPr>
          <w:rFonts w:ascii="Times New Roman" w:hAnsi="Times New Roman" w:cs="Times New Roman"/>
          <w:color w:val="222222"/>
          <w:sz w:val="24"/>
          <w:szCs w:val="24"/>
          <w:shd w:val="clear" w:color="auto" w:fill="FFFFFF"/>
        </w:rPr>
        <w:t> . David Hume Institute.</w:t>
      </w:r>
    </w:p>
    <w:p w14:paraId="09C79696" w14:textId="4AD695A0"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Roll, R. (1977). A critique of the asset pricing theory's tests Part I: On past and potential testability of the theory. </w:t>
      </w:r>
      <w:r w:rsidRPr="005E698F">
        <w:rPr>
          <w:rFonts w:ascii="Times New Roman" w:hAnsi="Times New Roman" w:cs="Times New Roman"/>
          <w:i/>
          <w:iCs/>
          <w:color w:val="222222"/>
          <w:sz w:val="24"/>
          <w:szCs w:val="24"/>
          <w:shd w:val="clear" w:color="auto" w:fill="FFFFFF"/>
        </w:rPr>
        <w:t>Journal of financial economics</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4</w:t>
      </w:r>
      <w:r w:rsidRPr="005E698F">
        <w:rPr>
          <w:rFonts w:ascii="Times New Roman" w:hAnsi="Times New Roman" w:cs="Times New Roman"/>
          <w:color w:val="222222"/>
          <w:sz w:val="24"/>
          <w:szCs w:val="24"/>
          <w:shd w:val="clear" w:color="auto" w:fill="FFFFFF"/>
        </w:rPr>
        <w:t>(2), 129-176.</w:t>
      </w:r>
    </w:p>
    <w:p w14:paraId="5BB12A75" w14:textId="77777777" w:rsidR="00D5111B" w:rsidRPr="005E698F" w:rsidRDefault="00D5111B" w:rsidP="00C36247">
      <w:pPr>
        <w:autoSpaceDE w:val="0"/>
        <w:autoSpaceDN w:val="0"/>
        <w:adjustRightInd w:val="0"/>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Roll, R. (1986). The hubris hypothesis of corporate takeovers. </w:t>
      </w:r>
      <w:r w:rsidRPr="005E698F">
        <w:rPr>
          <w:rFonts w:ascii="Times New Roman" w:hAnsi="Times New Roman" w:cs="Times New Roman"/>
          <w:i/>
          <w:iCs/>
          <w:color w:val="222222"/>
          <w:sz w:val="24"/>
          <w:szCs w:val="24"/>
          <w:shd w:val="clear" w:color="auto" w:fill="FFFFFF"/>
        </w:rPr>
        <w:t>Journal of business</w:t>
      </w:r>
      <w:r w:rsidRPr="005E698F">
        <w:rPr>
          <w:rFonts w:ascii="Times New Roman" w:hAnsi="Times New Roman" w:cs="Times New Roman"/>
          <w:color w:val="222222"/>
          <w:sz w:val="24"/>
          <w:szCs w:val="24"/>
          <w:shd w:val="clear" w:color="auto" w:fill="FFFFFF"/>
        </w:rPr>
        <w:t>, 197-216.</w:t>
      </w:r>
    </w:p>
    <w:p w14:paraId="0275144F" w14:textId="77777777" w:rsidR="00D5111B" w:rsidRPr="005E698F" w:rsidRDefault="00D5111B"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Solnik, B. H. (1995). Why not diversify internationally rather than domestically?. </w:t>
      </w:r>
      <w:r w:rsidRPr="005E698F">
        <w:rPr>
          <w:rFonts w:ascii="Times New Roman" w:hAnsi="Times New Roman" w:cs="Times New Roman"/>
          <w:i/>
          <w:iCs/>
          <w:color w:val="222222"/>
          <w:sz w:val="24"/>
          <w:szCs w:val="24"/>
          <w:shd w:val="clear" w:color="auto" w:fill="FFFFFF"/>
        </w:rPr>
        <w:t>Financial analysts journal</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51</w:t>
      </w:r>
      <w:r w:rsidRPr="005E698F">
        <w:rPr>
          <w:rFonts w:ascii="Times New Roman" w:hAnsi="Times New Roman" w:cs="Times New Roman"/>
          <w:color w:val="222222"/>
          <w:sz w:val="24"/>
          <w:szCs w:val="24"/>
          <w:shd w:val="clear" w:color="auto" w:fill="FFFFFF"/>
        </w:rPr>
        <w:t>(1), 89-94.</w:t>
      </w:r>
    </w:p>
    <w:p w14:paraId="5878EF4A" w14:textId="6098B96B"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Strong, N. (1992). Modelling abnormal returns: a review article. </w:t>
      </w:r>
      <w:r w:rsidRPr="005E698F">
        <w:rPr>
          <w:rFonts w:ascii="Times New Roman" w:hAnsi="Times New Roman" w:cs="Times New Roman"/>
          <w:i/>
          <w:iCs/>
          <w:color w:val="222222"/>
          <w:sz w:val="24"/>
          <w:szCs w:val="24"/>
          <w:shd w:val="clear" w:color="auto" w:fill="FFFFFF"/>
        </w:rPr>
        <w:t>Journal of Business Finance &amp; Accounting</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19</w:t>
      </w:r>
      <w:r w:rsidRPr="005E698F">
        <w:rPr>
          <w:rFonts w:ascii="Times New Roman" w:hAnsi="Times New Roman" w:cs="Times New Roman"/>
          <w:color w:val="222222"/>
          <w:sz w:val="24"/>
          <w:szCs w:val="24"/>
          <w:shd w:val="clear" w:color="auto" w:fill="FFFFFF"/>
        </w:rPr>
        <w:t>(4), 533-553.</w:t>
      </w:r>
    </w:p>
    <w:p w14:paraId="3280C4C6" w14:textId="77777777" w:rsidR="00F82C4E" w:rsidRPr="005E698F" w:rsidRDefault="00F82C4E" w:rsidP="00C36247">
      <w:pPr>
        <w:spacing w:afterLines="60" w:after="144" w:line="276" w:lineRule="auto"/>
        <w:ind w:left="284" w:hanging="284"/>
        <w:jc w:val="both"/>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Stulz, R. M., Walkling, R. A., &amp; Song, M. H. (1990). The distribution of target ownership and the division of gains in successful takeovers. </w:t>
      </w:r>
      <w:r w:rsidRPr="005E698F">
        <w:rPr>
          <w:rFonts w:ascii="Times New Roman" w:hAnsi="Times New Roman" w:cs="Times New Roman"/>
          <w:i/>
          <w:iCs/>
          <w:color w:val="222222"/>
          <w:sz w:val="24"/>
          <w:szCs w:val="24"/>
          <w:shd w:val="clear" w:color="auto" w:fill="FFFFFF"/>
        </w:rPr>
        <w:t>The Journal of Finance</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45</w:t>
      </w:r>
      <w:r w:rsidRPr="005E698F">
        <w:rPr>
          <w:rFonts w:ascii="Times New Roman" w:hAnsi="Times New Roman" w:cs="Times New Roman"/>
          <w:color w:val="222222"/>
          <w:sz w:val="24"/>
          <w:szCs w:val="24"/>
          <w:shd w:val="clear" w:color="auto" w:fill="FFFFFF"/>
        </w:rPr>
        <w:t>(3), 817-833</w:t>
      </w:r>
    </w:p>
    <w:p w14:paraId="1109A012" w14:textId="77777777" w:rsidR="00F82C4E" w:rsidRPr="005E698F" w:rsidRDefault="00F82C4E" w:rsidP="00C36247">
      <w:pPr>
        <w:spacing w:afterLines="60" w:after="144" w:line="276" w:lineRule="auto"/>
        <w:ind w:left="284" w:hanging="284"/>
        <w:jc w:val="both"/>
        <w:rPr>
          <w:rStyle w:val="eop"/>
          <w:rFonts w:ascii="Times New Roman" w:hAnsi="Times New Roman" w:cs="Times New Roman"/>
          <w:color w:val="000000"/>
          <w:sz w:val="24"/>
          <w:szCs w:val="24"/>
          <w:shd w:val="clear" w:color="auto" w:fill="FFFFFF"/>
        </w:rPr>
      </w:pPr>
      <w:r w:rsidRPr="005E698F">
        <w:rPr>
          <w:rFonts w:ascii="Times New Roman" w:hAnsi="Times New Roman" w:cs="Times New Roman"/>
          <w:color w:val="222222"/>
          <w:sz w:val="24"/>
          <w:szCs w:val="24"/>
          <w:shd w:val="clear" w:color="auto" w:fill="FFFFFF"/>
        </w:rPr>
        <w:t>Sudarsanam, S., Holl, P., &amp; Salami, A. (1996). Shareholder wealth gains in mergers: effect of synergy and ownership structure. </w:t>
      </w:r>
      <w:r w:rsidRPr="005E698F">
        <w:rPr>
          <w:rFonts w:ascii="Times New Roman" w:hAnsi="Times New Roman" w:cs="Times New Roman"/>
          <w:i/>
          <w:iCs/>
          <w:color w:val="222222"/>
          <w:sz w:val="24"/>
          <w:szCs w:val="24"/>
          <w:shd w:val="clear" w:color="auto" w:fill="FFFFFF"/>
        </w:rPr>
        <w:t>Journal of Business Finance &amp; Accounting</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23</w:t>
      </w:r>
      <w:r w:rsidRPr="005E698F">
        <w:rPr>
          <w:rFonts w:ascii="Times New Roman" w:hAnsi="Times New Roman" w:cs="Times New Roman"/>
          <w:color w:val="222222"/>
          <w:sz w:val="24"/>
          <w:szCs w:val="24"/>
          <w:shd w:val="clear" w:color="auto" w:fill="FFFFFF"/>
        </w:rPr>
        <w:t>(5‐6), 673-698.</w:t>
      </w:r>
    </w:p>
    <w:p w14:paraId="394E9899"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Swenson, D. L. (1993). Foreign mergers and acquisitions in the United States. In </w:t>
      </w:r>
      <w:r w:rsidRPr="005E698F">
        <w:rPr>
          <w:rFonts w:ascii="Times New Roman" w:hAnsi="Times New Roman" w:cs="Times New Roman"/>
          <w:i/>
          <w:iCs/>
          <w:color w:val="222222"/>
          <w:sz w:val="24"/>
          <w:szCs w:val="24"/>
          <w:shd w:val="clear" w:color="auto" w:fill="FFFFFF"/>
        </w:rPr>
        <w:t>Foreign direct investment</w:t>
      </w:r>
      <w:r w:rsidRPr="005E698F">
        <w:rPr>
          <w:rFonts w:ascii="Times New Roman" w:hAnsi="Times New Roman" w:cs="Times New Roman"/>
          <w:color w:val="222222"/>
          <w:sz w:val="24"/>
          <w:szCs w:val="24"/>
          <w:shd w:val="clear" w:color="auto" w:fill="FFFFFF"/>
        </w:rPr>
        <w:t> (pp. 255-284). University of Chicago Press.</w:t>
      </w:r>
    </w:p>
    <w:p w14:paraId="1740F90E" w14:textId="77777777" w:rsidR="00F82C4E" w:rsidRPr="005E698F" w:rsidRDefault="00F82C4E" w:rsidP="00C36247">
      <w:pPr>
        <w:spacing w:afterLines="60" w:after="144" w:line="276" w:lineRule="auto"/>
        <w:ind w:left="284" w:hanging="284"/>
        <w:rPr>
          <w:rFonts w:ascii="Times New Roman" w:hAnsi="Times New Roman" w:cs="Times New Roman"/>
          <w:color w:val="222222"/>
          <w:sz w:val="24"/>
          <w:szCs w:val="24"/>
          <w:shd w:val="clear" w:color="auto" w:fill="FFFFFF"/>
        </w:rPr>
      </w:pPr>
      <w:r w:rsidRPr="005E698F">
        <w:rPr>
          <w:rFonts w:ascii="Times New Roman" w:hAnsi="Times New Roman" w:cs="Times New Roman"/>
          <w:color w:val="222222"/>
          <w:sz w:val="24"/>
          <w:szCs w:val="24"/>
          <w:shd w:val="clear" w:color="auto" w:fill="FFFFFF"/>
        </w:rPr>
        <w:t>Teece, D. J. (1986). Transactions cost economics and the multinational enterprise An Assessment. </w:t>
      </w:r>
      <w:r w:rsidRPr="005E698F">
        <w:rPr>
          <w:rFonts w:ascii="Times New Roman" w:hAnsi="Times New Roman" w:cs="Times New Roman"/>
          <w:i/>
          <w:iCs/>
          <w:color w:val="222222"/>
          <w:sz w:val="24"/>
          <w:szCs w:val="24"/>
          <w:shd w:val="clear" w:color="auto" w:fill="FFFFFF"/>
        </w:rPr>
        <w:t>Journal of Economic Behavior &amp; Organization</w:t>
      </w:r>
      <w:r w:rsidRPr="005E698F">
        <w:rPr>
          <w:rFonts w:ascii="Times New Roman" w:hAnsi="Times New Roman" w:cs="Times New Roman"/>
          <w:color w:val="222222"/>
          <w:sz w:val="24"/>
          <w:szCs w:val="24"/>
          <w:shd w:val="clear" w:color="auto" w:fill="FFFFFF"/>
        </w:rPr>
        <w:t>, </w:t>
      </w:r>
      <w:r w:rsidRPr="005E698F">
        <w:rPr>
          <w:rFonts w:ascii="Times New Roman" w:hAnsi="Times New Roman" w:cs="Times New Roman"/>
          <w:i/>
          <w:iCs/>
          <w:color w:val="222222"/>
          <w:sz w:val="24"/>
          <w:szCs w:val="24"/>
          <w:shd w:val="clear" w:color="auto" w:fill="FFFFFF"/>
        </w:rPr>
        <w:t>7</w:t>
      </w:r>
      <w:r w:rsidRPr="005E698F">
        <w:rPr>
          <w:rFonts w:ascii="Times New Roman" w:hAnsi="Times New Roman" w:cs="Times New Roman"/>
          <w:color w:val="222222"/>
          <w:sz w:val="24"/>
          <w:szCs w:val="24"/>
          <w:shd w:val="clear" w:color="auto" w:fill="FFFFFF"/>
        </w:rPr>
        <w:t>(1), 21-45.</w:t>
      </w:r>
    </w:p>
    <w:p w14:paraId="7663F5AF" w14:textId="07C6AE65" w:rsidR="005E698F" w:rsidRDefault="00F82C4E" w:rsidP="009D1534">
      <w:pPr>
        <w:spacing w:afterLines="60" w:after="144" w:line="276" w:lineRule="auto"/>
        <w:ind w:left="284" w:hanging="284"/>
        <w:jc w:val="both"/>
        <w:rPr>
          <w:rFonts w:ascii="Times New Roman" w:hAnsi="Times New Roman" w:cs="Times New Roman"/>
          <w:i/>
          <w:iCs/>
          <w:color w:val="222222"/>
          <w:sz w:val="24"/>
          <w:szCs w:val="24"/>
          <w:shd w:val="clear" w:color="auto" w:fill="FFFFFF"/>
        </w:rPr>
      </w:pPr>
      <w:r w:rsidRPr="005E698F">
        <w:rPr>
          <w:rFonts w:ascii="Times New Roman" w:hAnsi="Times New Roman" w:cs="Times New Roman"/>
          <w:color w:val="222222"/>
          <w:sz w:val="24"/>
          <w:szCs w:val="24"/>
          <w:shd w:val="clear" w:color="auto" w:fill="FFFFFF"/>
        </w:rPr>
        <w:t>Travlos, N. G. (1987). Corporate takeover bids, methods of payment, and bidding firms' stock returns. </w:t>
      </w:r>
      <w:r w:rsidRPr="005E698F">
        <w:rPr>
          <w:rFonts w:ascii="Times New Roman" w:hAnsi="Times New Roman" w:cs="Times New Roman"/>
          <w:i/>
          <w:iCs/>
          <w:color w:val="222222"/>
          <w:sz w:val="24"/>
          <w:szCs w:val="24"/>
          <w:shd w:val="clear" w:color="auto" w:fill="FFFFFF"/>
        </w:rPr>
        <w:t>The Journal</w:t>
      </w:r>
    </w:p>
    <w:p w14:paraId="6C1D1D40" w14:textId="77777777" w:rsidR="009D1534" w:rsidRDefault="009D1534" w:rsidP="009D1534">
      <w:pPr>
        <w:spacing w:afterLines="60" w:after="144" w:line="276" w:lineRule="auto"/>
        <w:ind w:left="284" w:hanging="284"/>
        <w:jc w:val="both"/>
        <w:rPr>
          <w:rFonts w:ascii="Times New Roman" w:hAnsi="Times New Roman" w:cs="Times New Roman"/>
          <w:i/>
          <w:iCs/>
          <w:color w:val="222222"/>
          <w:sz w:val="24"/>
          <w:szCs w:val="24"/>
          <w:shd w:val="clear" w:color="auto" w:fill="FFFFFF"/>
        </w:rPr>
      </w:pPr>
    </w:p>
    <w:p w14:paraId="73D53348" w14:textId="77777777" w:rsidR="005E698F" w:rsidRDefault="005E698F" w:rsidP="005E698F">
      <w:pPr>
        <w:spacing w:afterLines="60" w:after="144" w:line="276" w:lineRule="auto"/>
        <w:ind w:left="284" w:hanging="284"/>
        <w:jc w:val="both"/>
        <w:rPr>
          <w:rFonts w:ascii="Times New Roman" w:hAnsi="Times New Roman" w:cs="Times New Roman"/>
          <w:b/>
          <w:sz w:val="24"/>
        </w:rPr>
      </w:pPr>
    </w:p>
    <w:p w14:paraId="47DAB15C" w14:textId="1A633B7F" w:rsidR="00C46074" w:rsidRPr="00A7130E" w:rsidRDefault="00C46074" w:rsidP="00C46074">
      <w:pPr>
        <w:spacing w:after="0"/>
        <w:jc w:val="both"/>
        <w:rPr>
          <w:rFonts w:ascii="Times New Roman" w:hAnsi="Times New Roman" w:cs="Times New Roman"/>
          <w:b/>
          <w:sz w:val="24"/>
        </w:rPr>
      </w:pPr>
      <w:r w:rsidRPr="00A7130E">
        <w:rPr>
          <w:rFonts w:ascii="Times New Roman" w:hAnsi="Times New Roman" w:cs="Times New Roman"/>
          <w:b/>
          <w:sz w:val="24"/>
        </w:rPr>
        <w:lastRenderedPageBreak/>
        <w:t xml:space="preserve">Appendix </w:t>
      </w:r>
    </w:p>
    <w:p w14:paraId="2BD2EE77" w14:textId="77777777" w:rsidR="00C46074" w:rsidRPr="00A7130E" w:rsidRDefault="00C46074" w:rsidP="00C46074">
      <w:pPr>
        <w:spacing w:after="0"/>
        <w:jc w:val="both"/>
        <w:rPr>
          <w:rFonts w:ascii="Times New Roman" w:hAnsi="Times New Roman" w:cs="Times New Roman"/>
          <w:sz w:val="24"/>
        </w:rPr>
      </w:pPr>
    </w:p>
    <w:p w14:paraId="56130F1D" w14:textId="77777777" w:rsidR="00C46074" w:rsidRPr="00A7130E" w:rsidRDefault="00C46074" w:rsidP="00C46074">
      <w:pPr>
        <w:pStyle w:val="ListParagraph"/>
        <w:numPr>
          <w:ilvl w:val="0"/>
          <w:numId w:val="9"/>
        </w:numPr>
        <w:spacing w:after="0"/>
        <w:ind w:left="0" w:firstLine="0"/>
        <w:jc w:val="both"/>
        <w:rPr>
          <w:rFonts w:ascii="Times New Roman" w:hAnsi="Times New Roman" w:cs="Times New Roman"/>
          <w:b/>
          <w:sz w:val="24"/>
        </w:rPr>
      </w:pPr>
      <w:r w:rsidRPr="00A7130E">
        <w:rPr>
          <w:rFonts w:ascii="Times New Roman" w:hAnsi="Times New Roman" w:cs="Times New Roman"/>
          <w:b/>
          <w:sz w:val="24"/>
        </w:rPr>
        <w:t>Description of the variables used in the analysis and their sources</w:t>
      </w:r>
    </w:p>
    <w:p w14:paraId="3437BB1B" w14:textId="77777777" w:rsidR="00C46074" w:rsidRPr="00A7130E" w:rsidRDefault="00C46074" w:rsidP="00C46074">
      <w:pPr>
        <w:spacing w:after="0"/>
        <w:jc w:val="both"/>
        <w:rPr>
          <w:rFonts w:ascii="Times New Roman" w:hAnsi="Times New Roman" w:cs="Times New Roman"/>
          <w:sz w:val="24"/>
        </w:rPr>
      </w:pPr>
    </w:p>
    <w:p w14:paraId="5911C00B" w14:textId="77777777" w:rsidR="00C46074" w:rsidRPr="00A7130E" w:rsidRDefault="00C46074" w:rsidP="00C46074">
      <w:pPr>
        <w:spacing w:after="0"/>
        <w:jc w:val="both"/>
        <w:rPr>
          <w:rFonts w:ascii="Times New Roman" w:hAnsi="Times New Roman" w:cs="Times New Roman"/>
          <w:sz w:val="24"/>
        </w:rPr>
      </w:pPr>
      <w:r w:rsidRPr="00A7130E">
        <w:rPr>
          <w:rFonts w:ascii="Times New Roman" w:hAnsi="Times New Roman" w:cs="Times New Roman"/>
          <w:i/>
          <w:sz w:val="24"/>
        </w:rPr>
        <w:t>Region Acquirer</w:t>
      </w:r>
      <w:r w:rsidRPr="00A7130E">
        <w:rPr>
          <w:rFonts w:ascii="Times New Roman" w:hAnsi="Times New Roman" w:cs="Times New Roman"/>
          <w:i/>
          <w:sz w:val="24"/>
        </w:rPr>
        <w:tab/>
      </w:r>
      <w:r w:rsidRPr="00A7130E">
        <w:rPr>
          <w:rFonts w:ascii="Times New Roman" w:hAnsi="Times New Roman" w:cs="Times New Roman"/>
          <w:sz w:val="24"/>
        </w:rPr>
        <w:t xml:space="preserve">The acquirer in this sample are divided to three main regions: Europe (EU), </w:t>
      </w:r>
    </w:p>
    <w:p w14:paraId="1901398B" w14:textId="77777777" w:rsidR="00C46074" w:rsidRPr="00A7130E" w:rsidRDefault="00C46074" w:rsidP="00C46074">
      <w:pPr>
        <w:spacing w:after="0"/>
        <w:ind w:left="2160"/>
        <w:jc w:val="both"/>
        <w:rPr>
          <w:rFonts w:ascii="Times New Roman" w:hAnsi="Times New Roman" w:cs="Times New Roman"/>
          <w:sz w:val="24"/>
        </w:rPr>
      </w:pPr>
      <w:r w:rsidRPr="00A7130E">
        <w:rPr>
          <w:rFonts w:ascii="Times New Roman" w:hAnsi="Times New Roman" w:cs="Times New Roman"/>
          <w:sz w:val="24"/>
        </w:rPr>
        <w:t>United States (US), and Asia. Rest of the world refers to acquirers which are listed in countries not in EU, US, or Asia. EU is a dummy variable that takes the value 1 if the acquirer is listed in a European country, including the UK, and 0 otherwise. US is a dummy variable that takes a value 1 if the acquirer is listed in the US and 0 otherwise. Asia is a dummy variable that takes the value 1 if the acquirer is listed in Asia and 0 otherwise. Rest of the world is a dummy variable that takes the value of 1 if the acquirer in a country not listed in EU, US, or Asia and 0 otherwise. The Acquirer nations were downloaded from Thomson One.</w:t>
      </w:r>
    </w:p>
    <w:p w14:paraId="5F095147" w14:textId="77777777" w:rsidR="00C46074" w:rsidRPr="00A7130E" w:rsidRDefault="00C46074" w:rsidP="00C46074">
      <w:pPr>
        <w:spacing w:after="0"/>
        <w:jc w:val="both"/>
        <w:rPr>
          <w:rFonts w:ascii="Times New Roman" w:hAnsi="Times New Roman" w:cs="Times New Roman"/>
          <w:sz w:val="24"/>
        </w:rPr>
      </w:pPr>
    </w:p>
    <w:p w14:paraId="037FEB16" w14:textId="774B37E3"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EU Entry</w:t>
      </w:r>
      <w:r w:rsidRPr="00A7130E">
        <w:rPr>
          <w:rFonts w:ascii="Times New Roman" w:hAnsi="Times New Roman" w:cs="Times New Roman"/>
          <w:i/>
          <w:sz w:val="24"/>
        </w:rPr>
        <w:tab/>
      </w:r>
      <w:r w:rsidRPr="00A7130E">
        <w:rPr>
          <w:rFonts w:ascii="Times New Roman" w:hAnsi="Times New Roman" w:cs="Times New Roman"/>
          <w:sz w:val="24"/>
        </w:rPr>
        <w:t>Prior EU operations is dummy variables that takes the value of 1 if the acquirer had EU operations, including the UK, prior to the bid and 0 otherwise. No prior EU operations is a dummy variable that takes the value of 1 if the acquirer had no EU operations, including the UK, prior to the bid and 0 otherwise.</w:t>
      </w:r>
      <w:r w:rsidR="00672705" w:rsidRPr="00A7130E">
        <w:rPr>
          <w:rFonts w:ascii="Times New Roman" w:hAnsi="Times New Roman" w:cs="Times New Roman"/>
          <w:sz w:val="24"/>
        </w:rPr>
        <w:t xml:space="preserve"> Information about whether the acquirer had prior European operations or not</w:t>
      </w:r>
      <w:r w:rsidRPr="00A7130E">
        <w:rPr>
          <w:rFonts w:ascii="Times New Roman" w:hAnsi="Times New Roman" w:cs="Times New Roman"/>
          <w:sz w:val="24"/>
        </w:rPr>
        <w:t xml:space="preserve"> were downloaded from Thomson One</w:t>
      </w:r>
      <w:r w:rsidR="00E143F8" w:rsidRPr="00A7130E">
        <w:rPr>
          <w:rFonts w:ascii="Times New Roman" w:hAnsi="Times New Roman" w:cs="Times New Roman"/>
          <w:sz w:val="24"/>
        </w:rPr>
        <w:t>, Bloomberg, and Financial Times</w:t>
      </w:r>
      <w:r w:rsidR="00672705" w:rsidRPr="00A7130E">
        <w:rPr>
          <w:rFonts w:ascii="Times New Roman" w:hAnsi="Times New Roman" w:cs="Times New Roman"/>
          <w:sz w:val="24"/>
        </w:rPr>
        <w:t>.</w:t>
      </w:r>
    </w:p>
    <w:p w14:paraId="5D6A59BF" w14:textId="77777777" w:rsidR="00C46074" w:rsidRPr="00A7130E" w:rsidRDefault="00C46074" w:rsidP="00C46074">
      <w:pPr>
        <w:spacing w:after="0"/>
        <w:ind w:left="2160" w:hanging="2160"/>
        <w:jc w:val="both"/>
        <w:rPr>
          <w:rFonts w:ascii="Times New Roman" w:hAnsi="Times New Roman" w:cs="Times New Roman"/>
          <w:sz w:val="24"/>
        </w:rPr>
      </w:pPr>
    </w:p>
    <w:p w14:paraId="5401DB6A" w14:textId="5B42AB5E"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Exchange Rate</w:t>
      </w:r>
      <w:r w:rsidRPr="00A7130E">
        <w:rPr>
          <w:rFonts w:ascii="Times New Roman" w:hAnsi="Times New Roman" w:cs="Times New Roman"/>
          <w:sz w:val="24"/>
        </w:rPr>
        <w:tab/>
        <w:t xml:space="preserve">The exchange is defined as the exchange rate of the acquirer’s currency to target’s currency. The exchange rate was downloaded from Bloomberg, and exchange rate was calculated as the </w:t>
      </w:r>
      <w:r w:rsidR="00595BE7">
        <w:rPr>
          <w:rFonts w:ascii="Times New Roman" w:hAnsi="Times New Roman" w:cs="Times New Roman"/>
          <w:sz w:val="24"/>
        </w:rPr>
        <w:t>mean</w:t>
      </w:r>
      <w:r w:rsidRPr="00A7130E">
        <w:rPr>
          <w:rFonts w:ascii="Times New Roman" w:hAnsi="Times New Roman" w:cs="Times New Roman"/>
          <w:sz w:val="24"/>
        </w:rPr>
        <w:t xml:space="preserve"> exchange rate over the </w:t>
      </w:r>
      <w:r w:rsidR="0098088B" w:rsidRPr="00A7130E">
        <w:rPr>
          <w:rFonts w:ascii="Times New Roman" w:hAnsi="Times New Roman" w:cs="Times New Roman"/>
          <w:sz w:val="24"/>
        </w:rPr>
        <w:t>two year period prior to the announcement day of the bid</w:t>
      </w:r>
      <w:r w:rsidRPr="00A7130E">
        <w:rPr>
          <w:rFonts w:ascii="Times New Roman" w:hAnsi="Times New Roman" w:cs="Times New Roman"/>
          <w:sz w:val="24"/>
        </w:rPr>
        <w:t xml:space="preserve">. </w:t>
      </w:r>
    </w:p>
    <w:p w14:paraId="664B41FB" w14:textId="77777777" w:rsidR="00C46074" w:rsidRPr="00A7130E" w:rsidRDefault="00C46074" w:rsidP="00C46074">
      <w:pPr>
        <w:spacing w:after="0"/>
        <w:ind w:left="2160" w:hanging="2160"/>
        <w:jc w:val="both"/>
        <w:rPr>
          <w:rFonts w:ascii="Times New Roman" w:hAnsi="Times New Roman" w:cs="Times New Roman"/>
          <w:sz w:val="24"/>
        </w:rPr>
      </w:pPr>
    </w:p>
    <w:p w14:paraId="702F172B" w14:textId="77777777"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Region Target</w:t>
      </w:r>
      <w:r w:rsidRPr="00A7130E">
        <w:rPr>
          <w:rFonts w:ascii="Times New Roman" w:hAnsi="Times New Roman" w:cs="Times New Roman"/>
          <w:sz w:val="24"/>
        </w:rPr>
        <w:tab/>
        <w:t xml:space="preserve">Austria, Belgium, France, Germany, Greece, Italy, Luxemburg, the Netherlands, Spain, and the UK are all dummy variables that take a value of 1 if the target is listed in the corresponding country and 0 otherwise. Targets nations were gathered from Thomson One.  </w:t>
      </w:r>
    </w:p>
    <w:p w14:paraId="5998B66B" w14:textId="77777777" w:rsidR="00C46074" w:rsidRPr="00A7130E" w:rsidRDefault="00C46074" w:rsidP="00C46074">
      <w:pPr>
        <w:spacing w:after="0"/>
        <w:ind w:left="2160" w:hanging="2160"/>
        <w:jc w:val="both"/>
        <w:rPr>
          <w:rFonts w:ascii="Times New Roman" w:hAnsi="Times New Roman" w:cs="Times New Roman"/>
          <w:sz w:val="24"/>
        </w:rPr>
      </w:pPr>
    </w:p>
    <w:p w14:paraId="529B12FE" w14:textId="3F9374E3"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Multiplies</w:t>
      </w:r>
      <w:r w:rsidRPr="00A7130E">
        <w:rPr>
          <w:rFonts w:ascii="Times New Roman" w:hAnsi="Times New Roman" w:cs="Times New Roman"/>
          <w:sz w:val="24"/>
        </w:rPr>
        <w:t xml:space="preserve"> </w:t>
      </w:r>
      <w:r w:rsidRPr="00A7130E">
        <w:rPr>
          <w:rFonts w:ascii="Times New Roman" w:hAnsi="Times New Roman" w:cs="Times New Roman"/>
          <w:sz w:val="24"/>
        </w:rPr>
        <w:tab/>
      </w:r>
      <w:r w:rsidR="00391A94" w:rsidRPr="00A7130E">
        <w:rPr>
          <w:rFonts w:ascii="Times New Roman" w:hAnsi="Times New Roman" w:cs="Times New Roman"/>
          <w:sz w:val="24"/>
        </w:rPr>
        <w:t xml:space="preserve">Target’s </w:t>
      </w:r>
      <w:r w:rsidRPr="00A7130E">
        <w:rPr>
          <w:rFonts w:ascii="Times New Roman" w:hAnsi="Times New Roman" w:cs="Times New Roman"/>
          <w:sz w:val="24"/>
        </w:rPr>
        <w:t xml:space="preserve">Earnings per share (EPS) is a continuous variable that reports the one year, prior to the bid, average EPS in US dollars for each target company. EV/EBITDA is a continuous variable that the reports the one year, prior to the bid, average ratio of the target’s enterprise value (EV) to target’s earnings before interest, tax amortization and depreciation (EBITDA).  Average Net Assets growth rate is a continuous variable which reports the average growth in target’s net assets three years prior to the bid. Average EPS growth rate is a continuous variable which reports the average growth in target’s net assets three years prior to the bid. Average earnings before interest and tax (EBIT) growth rate is a continuous variable which </w:t>
      </w:r>
      <w:r w:rsidRPr="00A7130E">
        <w:rPr>
          <w:rFonts w:ascii="Times New Roman" w:hAnsi="Times New Roman" w:cs="Times New Roman"/>
          <w:sz w:val="24"/>
        </w:rPr>
        <w:lastRenderedPageBreak/>
        <w:t xml:space="preserve">reports the average growth in target’s net assets three years prior to the bid. All these multiplies were downloaded from Thomson One. </w:t>
      </w:r>
    </w:p>
    <w:p w14:paraId="2234783C" w14:textId="77777777" w:rsidR="00C46074" w:rsidRPr="00A7130E" w:rsidRDefault="00C46074" w:rsidP="00C46074">
      <w:pPr>
        <w:spacing w:after="0"/>
        <w:ind w:left="2160" w:hanging="2160"/>
        <w:jc w:val="both"/>
        <w:rPr>
          <w:rFonts w:ascii="Times New Roman" w:hAnsi="Times New Roman" w:cs="Times New Roman"/>
          <w:sz w:val="24"/>
        </w:rPr>
      </w:pPr>
    </w:p>
    <w:p w14:paraId="51F56718" w14:textId="77777777"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Log MV</w:t>
      </w:r>
      <w:r w:rsidRPr="00A7130E">
        <w:rPr>
          <w:rFonts w:ascii="Times New Roman" w:hAnsi="Times New Roman" w:cs="Times New Roman"/>
          <w:sz w:val="24"/>
        </w:rPr>
        <w:tab/>
        <w:t xml:space="preserve">Log MV is a continuous variable that reports log of the average target’s market value (MV) one year prior to the bid. Targets’ average market value were downloaded from Thomson One and then transformed using the natural logarithm. </w:t>
      </w:r>
    </w:p>
    <w:p w14:paraId="4E80E0A1" w14:textId="77777777" w:rsidR="00C46074" w:rsidRPr="00A7130E" w:rsidRDefault="00C46074" w:rsidP="00C46074">
      <w:pPr>
        <w:spacing w:after="0"/>
        <w:ind w:left="2160" w:hanging="2160"/>
        <w:jc w:val="both"/>
        <w:rPr>
          <w:rFonts w:ascii="Times New Roman" w:hAnsi="Times New Roman" w:cs="Times New Roman"/>
          <w:sz w:val="24"/>
        </w:rPr>
      </w:pPr>
    </w:p>
    <w:p w14:paraId="41366352" w14:textId="77777777"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Stake %</w:t>
      </w:r>
      <w:r w:rsidRPr="00A7130E">
        <w:rPr>
          <w:rFonts w:ascii="Times New Roman" w:hAnsi="Times New Roman" w:cs="Times New Roman"/>
          <w:sz w:val="24"/>
        </w:rPr>
        <w:tab/>
        <w:t xml:space="preserve">Stake percentage is a continuous variable that reports the percentage of stake acquired in the deal, and it was downloaded from Thomson One. </w:t>
      </w:r>
    </w:p>
    <w:p w14:paraId="5E8D0AAB" w14:textId="77777777" w:rsidR="00C46074" w:rsidRPr="00A7130E" w:rsidRDefault="00C46074" w:rsidP="00C46074">
      <w:pPr>
        <w:spacing w:after="0"/>
        <w:ind w:left="2160" w:hanging="2160"/>
        <w:jc w:val="both"/>
        <w:rPr>
          <w:rFonts w:ascii="Times New Roman" w:hAnsi="Times New Roman" w:cs="Times New Roman"/>
          <w:sz w:val="24"/>
        </w:rPr>
      </w:pPr>
    </w:p>
    <w:p w14:paraId="63DF1FB4" w14:textId="77777777"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Stock Run up</w:t>
      </w:r>
      <w:r w:rsidRPr="00A7130E">
        <w:rPr>
          <w:rFonts w:ascii="Times New Roman" w:hAnsi="Times New Roman" w:cs="Times New Roman"/>
          <w:sz w:val="24"/>
        </w:rPr>
        <w:tab/>
        <w:t xml:space="preserve">Stock run up a continuous variable that reports target’s average stock prices in the four weeks prior to the announcement of the deal. </w:t>
      </w:r>
    </w:p>
    <w:p w14:paraId="01D03794" w14:textId="77777777" w:rsidR="00C46074" w:rsidRPr="00A7130E" w:rsidRDefault="00C46074" w:rsidP="00C46074">
      <w:pPr>
        <w:spacing w:after="0"/>
        <w:ind w:left="2160" w:hanging="2160"/>
        <w:jc w:val="both"/>
        <w:rPr>
          <w:rFonts w:ascii="Times New Roman" w:hAnsi="Times New Roman" w:cs="Times New Roman"/>
          <w:sz w:val="24"/>
        </w:rPr>
      </w:pPr>
    </w:p>
    <w:p w14:paraId="2BF0CD8F" w14:textId="7BE0FFA3"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 xml:space="preserve">Payment </w:t>
      </w:r>
      <w:r w:rsidRPr="00A7130E">
        <w:rPr>
          <w:rFonts w:ascii="Times New Roman" w:hAnsi="Times New Roman" w:cs="Times New Roman"/>
          <w:sz w:val="24"/>
        </w:rPr>
        <w:tab/>
        <w:t xml:space="preserve">Cash is a dummy variable that takes a value of 1 if the deal is 100% financed in cash and 0 otherwise. Stock is dummy variable that takes a value of 1 if the deal is financed 100% through stock offering and 0 otherwise. Mixed is a dummy variable that takes a value of 1 if the deal is finance by cash and stock offering and 0 otherwise. The payment method of the deal was extracted from Thomson One. </w:t>
      </w:r>
    </w:p>
    <w:p w14:paraId="500AA18B" w14:textId="77777777" w:rsidR="00C46074" w:rsidRPr="00A7130E" w:rsidRDefault="00C46074" w:rsidP="00C46074">
      <w:pPr>
        <w:spacing w:after="0"/>
        <w:ind w:left="2160" w:hanging="2160"/>
        <w:jc w:val="both"/>
        <w:rPr>
          <w:rFonts w:ascii="Times New Roman" w:hAnsi="Times New Roman" w:cs="Times New Roman"/>
          <w:i/>
          <w:sz w:val="24"/>
        </w:rPr>
      </w:pPr>
    </w:p>
    <w:p w14:paraId="42E443FD" w14:textId="77777777"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Hostile</w:t>
      </w:r>
      <w:r w:rsidRPr="00A7130E">
        <w:rPr>
          <w:rFonts w:ascii="Times New Roman" w:hAnsi="Times New Roman" w:cs="Times New Roman"/>
          <w:i/>
          <w:sz w:val="24"/>
        </w:rPr>
        <w:tab/>
      </w:r>
      <w:r w:rsidRPr="00A7130E">
        <w:rPr>
          <w:rFonts w:ascii="Times New Roman" w:hAnsi="Times New Roman" w:cs="Times New Roman"/>
          <w:sz w:val="24"/>
        </w:rPr>
        <w:t xml:space="preserve">Hostile is a dummy variable that takes a value of 1 if the deal attitude is hostile and 0 otherwise. Information regarding the deal attitude was extracted from Thomson One. </w:t>
      </w:r>
    </w:p>
    <w:p w14:paraId="4A11095E" w14:textId="77777777" w:rsidR="00C46074" w:rsidRPr="00A7130E" w:rsidRDefault="00C46074" w:rsidP="00C46074">
      <w:pPr>
        <w:spacing w:after="0"/>
        <w:ind w:left="2160" w:hanging="2160"/>
        <w:jc w:val="both"/>
        <w:rPr>
          <w:rFonts w:ascii="Times New Roman" w:hAnsi="Times New Roman" w:cs="Times New Roman"/>
          <w:sz w:val="24"/>
        </w:rPr>
      </w:pPr>
    </w:p>
    <w:p w14:paraId="0AA1276E" w14:textId="54E12A6A"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 xml:space="preserve">Industry </w:t>
      </w:r>
      <w:r w:rsidRPr="00A7130E">
        <w:rPr>
          <w:rFonts w:ascii="Times New Roman" w:hAnsi="Times New Roman" w:cs="Times New Roman"/>
          <w:i/>
          <w:sz w:val="24"/>
        </w:rPr>
        <w:tab/>
      </w:r>
      <w:r w:rsidRPr="00A7130E">
        <w:rPr>
          <w:rFonts w:ascii="Times New Roman" w:hAnsi="Times New Roman" w:cs="Times New Roman"/>
          <w:sz w:val="24"/>
        </w:rPr>
        <w:t>High technology, materials, industrials, consumer product and services, energy and power, health care, media and entertainments</w:t>
      </w:r>
      <w:r w:rsidR="00677BCC" w:rsidRPr="00A7130E">
        <w:rPr>
          <w:rFonts w:ascii="Times New Roman" w:hAnsi="Times New Roman" w:cs="Times New Roman"/>
          <w:sz w:val="24"/>
        </w:rPr>
        <w:t xml:space="preserve"> (M&amp;E)</w:t>
      </w:r>
      <w:r w:rsidRPr="00A7130E">
        <w:rPr>
          <w:rFonts w:ascii="Times New Roman" w:hAnsi="Times New Roman" w:cs="Times New Roman"/>
          <w:sz w:val="24"/>
        </w:rPr>
        <w:t xml:space="preserve">, consumer staples, telecommunication, real estate, and retail are dummy variables that takes a value of 1 if the target firm’s industry is considered to be one of the corresponding industry and 0 otherwise. Information about the target’s industry was extracted from Thomson One. </w:t>
      </w:r>
    </w:p>
    <w:p w14:paraId="637256FD" w14:textId="77777777" w:rsidR="00C46074" w:rsidRPr="00A7130E" w:rsidRDefault="00C46074" w:rsidP="00C46074">
      <w:pPr>
        <w:spacing w:after="0"/>
        <w:ind w:left="2160" w:hanging="2160"/>
        <w:jc w:val="both"/>
        <w:rPr>
          <w:rFonts w:ascii="Times New Roman" w:hAnsi="Times New Roman" w:cs="Times New Roman"/>
          <w:i/>
          <w:sz w:val="24"/>
        </w:rPr>
      </w:pPr>
    </w:p>
    <w:p w14:paraId="3480124F" w14:textId="77777777" w:rsidR="00C46074" w:rsidRPr="00A7130E" w:rsidRDefault="00C46074" w:rsidP="00C46074">
      <w:pPr>
        <w:spacing w:after="0"/>
        <w:ind w:left="2160" w:hanging="2160"/>
        <w:jc w:val="both"/>
        <w:rPr>
          <w:rFonts w:ascii="Times New Roman" w:hAnsi="Times New Roman" w:cs="Times New Roman"/>
          <w:sz w:val="24"/>
        </w:rPr>
      </w:pPr>
      <w:r w:rsidRPr="00A7130E">
        <w:rPr>
          <w:rFonts w:ascii="Times New Roman" w:hAnsi="Times New Roman" w:cs="Times New Roman"/>
          <w:i/>
          <w:sz w:val="24"/>
        </w:rPr>
        <w:t>Related</w:t>
      </w:r>
      <w:r w:rsidRPr="00A7130E">
        <w:rPr>
          <w:rFonts w:ascii="Times New Roman" w:hAnsi="Times New Roman" w:cs="Times New Roman"/>
          <w:sz w:val="24"/>
        </w:rPr>
        <w:t xml:space="preserve"> </w:t>
      </w:r>
      <w:r w:rsidRPr="00A7130E">
        <w:rPr>
          <w:rFonts w:ascii="Times New Roman" w:hAnsi="Times New Roman" w:cs="Times New Roman"/>
          <w:sz w:val="24"/>
        </w:rPr>
        <w:tab/>
        <w:t xml:space="preserve">Related is dummy variable that take a value of 1 if the both the target and acquirer are from the same industry and 0 otherwise. Information about the target and acquirer industries was extracted from Thomson One. </w:t>
      </w:r>
    </w:p>
    <w:p w14:paraId="7C3E525F" w14:textId="77777777" w:rsidR="00651D1A" w:rsidRPr="00A7130E" w:rsidRDefault="00651D1A" w:rsidP="00C46074">
      <w:pPr>
        <w:spacing w:after="0"/>
        <w:ind w:left="2160" w:hanging="2160"/>
        <w:jc w:val="both"/>
        <w:rPr>
          <w:rFonts w:ascii="Times New Roman" w:hAnsi="Times New Roman" w:cs="Times New Roman"/>
          <w:sz w:val="24"/>
        </w:rPr>
      </w:pPr>
    </w:p>
    <w:p w14:paraId="304B37D8" w14:textId="77777777" w:rsidR="00C46074" w:rsidRPr="00A7130E" w:rsidRDefault="00C46074" w:rsidP="00C46074">
      <w:pPr>
        <w:spacing w:after="0"/>
        <w:ind w:left="2160" w:hanging="2160"/>
        <w:jc w:val="both"/>
        <w:rPr>
          <w:rFonts w:ascii="Times New Roman" w:hAnsi="Times New Roman" w:cs="Times New Roman"/>
          <w:sz w:val="24"/>
        </w:rPr>
      </w:pPr>
    </w:p>
    <w:p w14:paraId="6903EED8" w14:textId="77777777" w:rsidR="00F015DF" w:rsidRPr="00A7130E" w:rsidRDefault="00F015DF" w:rsidP="00F015DF">
      <w:pPr>
        <w:pStyle w:val="ListParagraph"/>
        <w:spacing w:after="0"/>
        <w:ind w:left="0"/>
        <w:jc w:val="both"/>
        <w:rPr>
          <w:rFonts w:ascii="Times New Roman" w:hAnsi="Times New Roman" w:cs="Times New Roman"/>
          <w:b/>
          <w:sz w:val="24"/>
        </w:rPr>
      </w:pPr>
    </w:p>
    <w:p w14:paraId="384CF7A7" w14:textId="77777777" w:rsidR="0041756C" w:rsidRDefault="0041756C" w:rsidP="00F015DF">
      <w:pPr>
        <w:pStyle w:val="ListParagraph"/>
        <w:spacing w:after="0"/>
        <w:ind w:left="0"/>
        <w:jc w:val="both"/>
        <w:rPr>
          <w:rFonts w:ascii="Times New Roman" w:hAnsi="Times New Roman" w:cs="Times New Roman"/>
          <w:b/>
          <w:sz w:val="24"/>
        </w:rPr>
      </w:pPr>
    </w:p>
    <w:p w14:paraId="08C80DAA" w14:textId="77777777" w:rsidR="008C0428" w:rsidRDefault="008C0428" w:rsidP="00F015DF">
      <w:pPr>
        <w:pStyle w:val="ListParagraph"/>
        <w:spacing w:after="0"/>
        <w:ind w:left="0"/>
        <w:jc w:val="both"/>
        <w:rPr>
          <w:rFonts w:ascii="Times New Roman" w:hAnsi="Times New Roman" w:cs="Times New Roman"/>
          <w:b/>
          <w:sz w:val="24"/>
        </w:rPr>
      </w:pPr>
    </w:p>
    <w:p w14:paraId="7BC59848" w14:textId="77777777" w:rsidR="0041756C" w:rsidRDefault="0041756C" w:rsidP="00F015DF">
      <w:pPr>
        <w:pStyle w:val="ListParagraph"/>
        <w:spacing w:after="0"/>
        <w:ind w:left="0"/>
        <w:jc w:val="both"/>
        <w:rPr>
          <w:rFonts w:ascii="Times New Roman" w:hAnsi="Times New Roman" w:cs="Times New Roman"/>
          <w:b/>
          <w:sz w:val="24"/>
        </w:rPr>
      </w:pPr>
    </w:p>
    <w:p w14:paraId="66700175" w14:textId="77777777" w:rsidR="0041756C" w:rsidRPr="00A7130E" w:rsidRDefault="0041756C" w:rsidP="00F015DF">
      <w:pPr>
        <w:pStyle w:val="ListParagraph"/>
        <w:spacing w:after="0"/>
        <w:ind w:left="0"/>
        <w:jc w:val="both"/>
        <w:rPr>
          <w:rFonts w:ascii="Times New Roman" w:hAnsi="Times New Roman" w:cs="Times New Roman"/>
          <w:b/>
          <w:sz w:val="24"/>
        </w:rPr>
      </w:pPr>
    </w:p>
    <w:p w14:paraId="32535B3F" w14:textId="77777777" w:rsidR="0041756C" w:rsidRDefault="0041756C" w:rsidP="0041756C">
      <w:pPr>
        <w:pStyle w:val="ListParagraph"/>
        <w:spacing w:after="0"/>
        <w:ind w:left="0"/>
        <w:jc w:val="both"/>
        <w:rPr>
          <w:rFonts w:ascii="Times New Roman" w:hAnsi="Times New Roman" w:cs="Times New Roman"/>
          <w:b/>
          <w:sz w:val="24"/>
        </w:rPr>
      </w:pPr>
    </w:p>
    <w:p w14:paraId="3A14A755" w14:textId="41779E8B" w:rsidR="00651D1A" w:rsidRPr="00A7130E" w:rsidRDefault="00651D1A" w:rsidP="00651D1A">
      <w:pPr>
        <w:pStyle w:val="ListParagraph"/>
        <w:numPr>
          <w:ilvl w:val="0"/>
          <w:numId w:val="9"/>
        </w:numPr>
        <w:spacing w:after="0"/>
        <w:ind w:left="0" w:firstLine="0"/>
        <w:jc w:val="both"/>
        <w:rPr>
          <w:rFonts w:ascii="Times New Roman" w:hAnsi="Times New Roman" w:cs="Times New Roman"/>
          <w:b/>
          <w:sz w:val="24"/>
        </w:rPr>
      </w:pPr>
      <w:r w:rsidRPr="00A7130E">
        <w:rPr>
          <w:rFonts w:ascii="Times New Roman" w:hAnsi="Times New Roman" w:cs="Times New Roman"/>
          <w:b/>
          <w:sz w:val="24"/>
        </w:rPr>
        <w:lastRenderedPageBreak/>
        <w:t>Tables for robustness checks</w:t>
      </w:r>
    </w:p>
    <w:p w14:paraId="04F2E593" w14:textId="57A7638E" w:rsidR="00AE17DF" w:rsidRDefault="00AE17DF" w:rsidP="00651D1A">
      <w:pPr>
        <w:tabs>
          <w:tab w:val="center" w:pos="4680"/>
          <w:tab w:val="left" w:pos="5407"/>
        </w:tabs>
        <w:spacing w:after="60" w:line="276" w:lineRule="auto"/>
        <w:rPr>
          <w:rFonts w:ascii="Times New Roman" w:hAnsi="Times New Roman" w:cs="Times New Roman"/>
        </w:rPr>
      </w:pPr>
    </w:p>
    <w:p w14:paraId="38D8EA57" w14:textId="2E82702C" w:rsidR="00651D1A" w:rsidRPr="00A7130E" w:rsidRDefault="00AE17DF" w:rsidP="00651D1A">
      <w:pPr>
        <w:tabs>
          <w:tab w:val="center" w:pos="4680"/>
          <w:tab w:val="left" w:pos="5407"/>
        </w:tabs>
        <w:spacing w:after="60" w:line="276" w:lineRule="auto"/>
        <w:rPr>
          <w:rFonts w:ascii="Times New Roman" w:hAnsi="Times New Roman" w:cs="Times New Roman"/>
        </w:rPr>
      </w:pPr>
      <w:r>
        <w:rPr>
          <w:rFonts w:ascii="Times New Roman" w:hAnsi="Times New Roman" w:cs="Times New Roman"/>
        </w:rPr>
        <w:tab/>
      </w:r>
      <w:r w:rsidR="00651D1A" w:rsidRPr="00A7130E">
        <w:rPr>
          <w:rFonts w:ascii="Times New Roman" w:hAnsi="Times New Roman" w:cs="Times New Roman"/>
        </w:rPr>
        <w:t>Table 5</w:t>
      </w:r>
      <w:r w:rsidR="00651D1A" w:rsidRPr="00A7130E">
        <w:rPr>
          <w:rFonts w:ascii="Times New Roman" w:hAnsi="Times New Roman" w:cs="Times New Roman"/>
        </w:rPr>
        <w:tab/>
      </w:r>
    </w:p>
    <w:p w14:paraId="7CECFF0D" w14:textId="77777777" w:rsidR="008031A4" w:rsidRPr="00C03199" w:rsidRDefault="008031A4" w:rsidP="008031A4">
      <w:pPr>
        <w:tabs>
          <w:tab w:val="left" w:pos="1052"/>
        </w:tabs>
        <w:spacing w:after="120" w:line="276" w:lineRule="auto"/>
        <w:jc w:val="center"/>
        <w:rPr>
          <w:rFonts w:ascii="Times New Roman" w:hAnsi="Times New Roman" w:cs="Times New Roman"/>
        </w:rPr>
      </w:pPr>
      <w:r w:rsidRPr="008031A4">
        <w:rPr>
          <w:rFonts w:ascii="Times New Roman" w:hAnsi="Times New Roman" w:cs="Times New Roman"/>
        </w:rPr>
        <w:t>Cross-border target firms’ cross-sectional analysis</w:t>
      </w:r>
    </w:p>
    <w:p w14:paraId="28549792" w14:textId="2B01951A" w:rsidR="00651D1A" w:rsidRPr="00A7130E" w:rsidRDefault="008031A4" w:rsidP="008031A4">
      <w:pPr>
        <w:spacing w:after="120" w:line="276" w:lineRule="auto"/>
        <w:jc w:val="center"/>
        <w:rPr>
          <w:rFonts w:ascii="Times New Roman" w:hAnsi="Times New Roman" w:cs="Times New Roman"/>
        </w:rPr>
      </w:pPr>
      <w:r w:rsidRPr="00A7130E">
        <w:rPr>
          <w:rFonts w:ascii="Times New Roman" w:hAnsi="Times New Roman" w:cs="Times New Roman"/>
        </w:rPr>
        <w:t xml:space="preserve"> </w:t>
      </w:r>
      <w:r w:rsidR="00651D1A" w:rsidRPr="00A7130E">
        <w:rPr>
          <w:rFonts w:ascii="Times New Roman" w:hAnsi="Times New Roman" w:cs="Times New Roman"/>
        </w:rPr>
        <w:t>(Excluding UK target firms)</w:t>
      </w:r>
    </w:p>
    <w:p w14:paraId="50478518" w14:textId="0F33D186" w:rsidR="00651D1A" w:rsidRPr="00A7130E" w:rsidRDefault="00775EA8" w:rsidP="00775EA8">
      <w:pPr>
        <w:spacing w:after="0"/>
        <w:jc w:val="both"/>
        <w:rPr>
          <w:rFonts w:ascii="Times New Roman" w:hAnsi="Times New Roman" w:cs="Times New Roman"/>
        </w:rPr>
      </w:pPr>
      <w:r w:rsidRPr="008031A4">
        <w:rPr>
          <w:rFonts w:ascii="Times New Roman" w:hAnsi="Times New Roman" w:cs="Times New Roman"/>
        </w:rPr>
        <w:t xml:space="preserve">This table presents the </w:t>
      </w:r>
      <w:r>
        <w:rPr>
          <w:rFonts w:ascii="Times New Roman" w:hAnsi="Times New Roman" w:cs="Times New Roman"/>
        </w:rPr>
        <w:t>results of the regressions</w:t>
      </w:r>
      <w:r w:rsidRPr="008031A4">
        <w:rPr>
          <w:rFonts w:ascii="Times New Roman" w:hAnsi="Times New Roman" w:cs="Times New Roman"/>
        </w:rPr>
        <w:t xml:space="preserve"> </w:t>
      </w:r>
      <w:r>
        <w:rPr>
          <w:rFonts w:ascii="Times New Roman" w:hAnsi="Times New Roman" w:cs="Times New Roman"/>
        </w:rPr>
        <w:t>for</w:t>
      </w:r>
      <w:r w:rsidRPr="008031A4">
        <w:rPr>
          <w:rFonts w:ascii="Times New Roman" w:hAnsi="Times New Roman" w:cs="Times New Roman"/>
        </w:rPr>
        <w:t xml:space="preserve"> </w:t>
      </w:r>
      <w:r>
        <w:rPr>
          <w:rFonts w:ascii="Times New Roman" w:hAnsi="Times New Roman" w:cs="Times New Roman"/>
        </w:rPr>
        <w:t xml:space="preserve">the </w:t>
      </w:r>
      <w:r w:rsidRPr="008031A4">
        <w:rPr>
          <w:rFonts w:ascii="Times New Roman" w:hAnsi="Times New Roman" w:cs="Times New Roman"/>
        </w:rPr>
        <w:t xml:space="preserve">cumulative abnormal returns to </w:t>
      </w:r>
      <w:r>
        <w:rPr>
          <w:rFonts w:ascii="Times New Roman" w:hAnsi="Times New Roman" w:cs="Times New Roman"/>
        </w:rPr>
        <w:t>the shareholders of target firms in cross-border deals</w:t>
      </w:r>
      <w:r w:rsidRPr="008031A4">
        <w:rPr>
          <w:rFonts w:ascii="Times New Roman" w:hAnsi="Times New Roman" w:cs="Times New Roman"/>
        </w:rPr>
        <w:t xml:space="preserve"> in </w:t>
      </w:r>
      <w:r>
        <w:rPr>
          <w:rFonts w:ascii="Times New Roman" w:hAnsi="Times New Roman" w:cs="Times New Roman"/>
        </w:rPr>
        <w:t>nine</w:t>
      </w:r>
      <w:r w:rsidRPr="008031A4">
        <w:rPr>
          <w:rFonts w:ascii="Times New Roman" w:hAnsi="Times New Roman" w:cs="Times New Roman"/>
        </w:rPr>
        <w:t xml:space="preserve"> distinct European countries</w:t>
      </w:r>
      <w:r w:rsidR="00651D1A" w:rsidRPr="00A7130E">
        <w:rPr>
          <w:rFonts w:ascii="Times New Roman" w:hAnsi="Times New Roman" w:cs="Times New Roman"/>
        </w:rPr>
        <w:t xml:space="preserve">. OLS regressions, adjusted for heteroskedasticity, are used to generate the following output. </w:t>
      </w:r>
      <w:r w:rsidRPr="00775EA8">
        <w:rPr>
          <w:rFonts w:ascii="Times New Roman" w:hAnsi="Times New Roman" w:cs="Times New Roman"/>
        </w:rPr>
        <w:t>All i</w:t>
      </w:r>
      <w:r>
        <w:rPr>
          <w:rFonts w:ascii="Times New Roman" w:hAnsi="Times New Roman" w:cs="Times New Roman"/>
        </w:rPr>
        <w:t>nformation about the variables’</w:t>
      </w:r>
      <w:r w:rsidRPr="00775EA8">
        <w:rPr>
          <w:rFonts w:ascii="Times New Roman" w:hAnsi="Times New Roman" w:cs="Times New Roman"/>
        </w:rPr>
        <w:t xml:space="preserve"> definition, type, calculation, and source are described </w:t>
      </w:r>
      <w:r>
        <w:rPr>
          <w:rFonts w:ascii="Times New Roman" w:hAnsi="Times New Roman" w:cs="Times New Roman"/>
        </w:rPr>
        <w:t xml:space="preserve">in the appendix, section “A”. </w:t>
      </w:r>
      <w:r w:rsidR="006755C5">
        <w:rPr>
          <w:rFonts w:ascii="Times New Roman" w:hAnsi="Times New Roman" w:cs="Times New Roman"/>
        </w:rPr>
        <w:t>The constant of the regressions is removed to adjust for collinearity</w:t>
      </w:r>
      <w:r w:rsidR="006755C5" w:rsidRPr="00C03199">
        <w:rPr>
          <w:rFonts w:ascii="Times New Roman" w:hAnsi="Times New Roman" w:cs="Times New Roman"/>
        </w:rPr>
        <w:t>.</w:t>
      </w:r>
      <w:r w:rsidR="00651D1A" w:rsidRPr="00A7130E">
        <w:rPr>
          <w:rFonts w:ascii="Times New Roman" w:hAnsi="Times New Roman" w:cs="Times New Roman"/>
        </w:rPr>
        <w:t xml:space="preserve"> This regression is a robustness check for the output of table 3, and the table reports the changes observed in the variables when UK target firms are removed. </w:t>
      </w:r>
      <w:r w:rsidR="00C73B74">
        <w:rPr>
          <w:rFonts w:ascii="Times New Roman" w:hAnsi="Times New Roman" w:cs="Times New Roman"/>
        </w:rPr>
        <w:t xml:space="preserve">The dummy variable ‘Rest of the world’ is dropped as there are no acquirers that fit into this category. </w:t>
      </w:r>
    </w:p>
    <w:tbl>
      <w:tblPr>
        <w:tblW w:w="9575" w:type="dxa"/>
        <w:jc w:val="center"/>
        <w:tblLayout w:type="fixed"/>
        <w:tblCellMar>
          <w:left w:w="75" w:type="dxa"/>
          <w:right w:w="75" w:type="dxa"/>
        </w:tblCellMar>
        <w:tblLook w:val="0000" w:firstRow="0" w:lastRow="0" w:firstColumn="0" w:lastColumn="0" w:noHBand="0" w:noVBand="0"/>
      </w:tblPr>
      <w:tblGrid>
        <w:gridCol w:w="75"/>
        <w:gridCol w:w="1871"/>
        <w:gridCol w:w="75"/>
        <w:gridCol w:w="1147"/>
        <w:gridCol w:w="75"/>
        <w:gridCol w:w="1147"/>
        <w:gridCol w:w="75"/>
        <w:gridCol w:w="1147"/>
        <w:gridCol w:w="75"/>
        <w:gridCol w:w="1258"/>
        <w:gridCol w:w="75"/>
        <w:gridCol w:w="1258"/>
        <w:gridCol w:w="75"/>
        <w:gridCol w:w="1147"/>
        <w:gridCol w:w="75"/>
      </w:tblGrid>
      <w:tr w:rsidR="00651D1A" w:rsidRPr="00A7130E" w14:paraId="37029FFF" w14:textId="77777777" w:rsidTr="00F015DF">
        <w:trPr>
          <w:gridBefore w:val="1"/>
          <w:wBefore w:w="75" w:type="dxa"/>
          <w:trHeight w:val="362"/>
          <w:jc w:val="center"/>
        </w:trPr>
        <w:tc>
          <w:tcPr>
            <w:tcW w:w="1946" w:type="dxa"/>
            <w:gridSpan w:val="2"/>
            <w:tcBorders>
              <w:top w:val="single" w:sz="6" w:space="0" w:color="auto"/>
              <w:left w:val="nil"/>
              <w:bottom w:val="nil"/>
              <w:right w:val="nil"/>
            </w:tcBorders>
          </w:tcPr>
          <w:p w14:paraId="62C9C761"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24"/>
                <w:szCs w:val="24"/>
              </w:rPr>
            </w:pPr>
          </w:p>
        </w:tc>
        <w:tc>
          <w:tcPr>
            <w:tcW w:w="1222" w:type="dxa"/>
            <w:gridSpan w:val="2"/>
            <w:tcBorders>
              <w:top w:val="single" w:sz="6" w:space="0" w:color="auto"/>
              <w:left w:val="nil"/>
              <w:bottom w:val="nil"/>
              <w:right w:val="nil"/>
            </w:tcBorders>
          </w:tcPr>
          <w:p w14:paraId="71F2B006"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222" w:type="dxa"/>
            <w:gridSpan w:val="2"/>
            <w:tcBorders>
              <w:top w:val="single" w:sz="6" w:space="0" w:color="auto"/>
              <w:left w:val="nil"/>
              <w:bottom w:val="nil"/>
              <w:right w:val="nil"/>
            </w:tcBorders>
          </w:tcPr>
          <w:p w14:paraId="0657C394"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222" w:type="dxa"/>
            <w:gridSpan w:val="2"/>
            <w:tcBorders>
              <w:top w:val="single" w:sz="6" w:space="0" w:color="auto"/>
              <w:left w:val="nil"/>
              <w:bottom w:val="nil"/>
              <w:right w:val="nil"/>
            </w:tcBorders>
          </w:tcPr>
          <w:p w14:paraId="6FF6BFBB"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333" w:type="dxa"/>
            <w:gridSpan w:val="2"/>
            <w:tcBorders>
              <w:top w:val="single" w:sz="6" w:space="0" w:color="auto"/>
              <w:left w:val="nil"/>
              <w:bottom w:val="nil"/>
              <w:right w:val="nil"/>
            </w:tcBorders>
          </w:tcPr>
          <w:p w14:paraId="68266743"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333" w:type="dxa"/>
            <w:gridSpan w:val="2"/>
            <w:tcBorders>
              <w:top w:val="single" w:sz="6" w:space="0" w:color="auto"/>
              <w:left w:val="nil"/>
              <w:bottom w:val="nil"/>
              <w:right w:val="nil"/>
            </w:tcBorders>
          </w:tcPr>
          <w:p w14:paraId="245458C6"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222" w:type="dxa"/>
            <w:gridSpan w:val="2"/>
            <w:tcBorders>
              <w:top w:val="single" w:sz="6" w:space="0" w:color="auto"/>
              <w:left w:val="nil"/>
              <w:bottom w:val="nil"/>
              <w:right w:val="nil"/>
            </w:tcBorders>
          </w:tcPr>
          <w:p w14:paraId="52DE58D4"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r>
      <w:tr w:rsidR="00651D1A" w:rsidRPr="00A7130E" w14:paraId="11C33266" w14:textId="77777777" w:rsidTr="00F015DF">
        <w:trPr>
          <w:gridBefore w:val="1"/>
          <w:wBefore w:w="75" w:type="dxa"/>
          <w:trHeight w:val="90"/>
          <w:jc w:val="center"/>
        </w:trPr>
        <w:tc>
          <w:tcPr>
            <w:tcW w:w="1946" w:type="dxa"/>
            <w:gridSpan w:val="2"/>
            <w:tcBorders>
              <w:top w:val="nil"/>
              <w:left w:val="nil"/>
              <w:bottom w:val="nil"/>
              <w:right w:val="nil"/>
            </w:tcBorders>
          </w:tcPr>
          <w:p w14:paraId="7AC0D173"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24"/>
              </w:rPr>
            </w:pPr>
            <w:r w:rsidRPr="00A7130E">
              <w:rPr>
                <w:rFonts w:ascii="Times New Roman" w:hAnsi="Times New Roman" w:cs="Times New Roman"/>
                <w:sz w:val="18"/>
                <w:szCs w:val="24"/>
              </w:rPr>
              <w:t>Event window</w:t>
            </w:r>
          </w:p>
        </w:tc>
        <w:tc>
          <w:tcPr>
            <w:tcW w:w="1222" w:type="dxa"/>
            <w:gridSpan w:val="2"/>
            <w:tcBorders>
              <w:top w:val="nil"/>
              <w:left w:val="nil"/>
              <w:bottom w:val="nil"/>
              <w:right w:val="nil"/>
            </w:tcBorders>
          </w:tcPr>
          <w:p w14:paraId="5230247C"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CAR 0, +1</w:t>
            </w:r>
          </w:p>
        </w:tc>
        <w:tc>
          <w:tcPr>
            <w:tcW w:w="1222" w:type="dxa"/>
            <w:gridSpan w:val="2"/>
            <w:tcBorders>
              <w:top w:val="nil"/>
              <w:left w:val="nil"/>
              <w:bottom w:val="nil"/>
              <w:right w:val="nil"/>
            </w:tcBorders>
          </w:tcPr>
          <w:p w14:paraId="1BF47EB1"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CAR 0, +1</w:t>
            </w:r>
          </w:p>
        </w:tc>
        <w:tc>
          <w:tcPr>
            <w:tcW w:w="1222" w:type="dxa"/>
            <w:gridSpan w:val="2"/>
            <w:tcBorders>
              <w:top w:val="nil"/>
              <w:left w:val="nil"/>
              <w:bottom w:val="nil"/>
              <w:right w:val="nil"/>
            </w:tcBorders>
          </w:tcPr>
          <w:p w14:paraId="0DAD1762"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CAR 0, +1</w:t>
            </w:r>
          </w:p>
        </w:tc>
        <w:tc>
          <w:tcPr>
            <w:tcW w:w="1333" w:type="dxa"/>
            <w:gridSpan w:val="2"/>
            <w:tcBorders>
              <w:top w:val="nil"/>
              <w:left w:val="nil"/>
              <w:bottom w:val="nil"/>
              <w:right w:val="nil"/>
            </w:tcBorders>
          </w:tcPr>
          <w:p w14:paraId="4466BE3A"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CAR -1, +5</w:t>
            </w:r>
          </w:p>
        </w:tc>
        <w:tc>
          <w:tcPr>
            <w:tcW w:w="1333" w:type="dxa"/>
            <w:gridSpan w:val="2"/>
            <w:tcBorders>
              <w:top w:val="nil"/>
              <w:left w:val="nil"/>
              <w:bottom w:val="nil"/>
              <w:right w:val="nil"/>
            </w:tcBorders>
          </w:tcPr>
          <w:p w14:paraId="349C96AE"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CAR -1,+5</w:t>
            </w:r>
          </w:p>
        </w:tc>
        <w:tc>
          <w:tcPr>
            <w:tcW w:w="1222" w:type="dxa"/>
            <w:gridSpan w:val="2"/>
            <w:tcBorders>
              <w:top w:val="nil"/>
              <w:left w:val="nil"/>
              <w:bottom w:val="nil"/>
              <w:right w:val="nil"/>
            </w:tcBorders>
          </w:tcPr>
          <w:p w14:paraId="764D625B"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CAR -1,+5</w:t>
            </w:r>
          </w:p>
        </w:tc>
      </w:tr>
      <w:tr w:rsidR="00651D1A" w:rsidRPr="00A7130E" w14:paraId="0EF1DC18" w14:textId="77777777" w:rsidTr="00F015DF">
        <w:trPr>
          <w:gridBefore w:val="1"/>
          <w:wBefore w:w="75" w:type="dxa"/>
          <w:trHeight w:val="281"/>
          <w:jc w:val="center"/>
        </w:trPr>
        <w:tc>
          <w:tcPr>
            <w:tcW w:w="1946" w:type="dxa"/>
            <w:gridSpan w:val="2"/>
            <w:tcBorders>
              <w:top w:val="nil"/>
              <w:left w:val="nil"/>
              <w:bottom w:val="single" w:sz="6" w:space="0" w:color="auto"/>
              <w:right w:val="nil"/>
            </w:tcBorders>
          </w:tcPr>
          <w:p w14:paraId="087137EB"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24"/>
              </w:rPr>
            </w:pPr>
          </w:p>
        </w:tc>
        <w:tc>
          <w:tcPr>
            <w:tcW w:w="1222" w:type="dxa"/>
            <w:gridSpan w:val="2"/>
            <w:tcBorders>
              <w:top w:val="nil"/>
              <w:left w:val="nil"/>
              <w:bottom w:val="single" w:sz="6" w:space="0" w:color="auto"/>
              <w:right w:val="nil"/>
            </w:tcBorders>
          </w:tcPr>
          <w:p w14:paraId="7A7AE312"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(1)</w:t>
            </w:r>
          </w:p>
        </w:tc>
        <w:tc>
          <w:tcPr>
            <w:tcW w:w="1222" w:type="dxa"/>
            <w:gridSpan w:val="2"/>
            <w:tcBorders>
              <w:top w:val="nil"/>
              <w:left w:val="nil"/>
              <w:bottom w:val="single" w:sz="6" w:space="0" w:color="auto"/>
              <w:right w:val="nil"/>
            </w:tcBorders>
          </w:tcPr>
          <w:p w14:paraId="57662C4A"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(2)</w:t>
            </w:r>
          </w:p>
        </w:tc>
        <w:tc>
          <w:tcPr>
            <w:tcW w:w="1222" w:type="dxa"/>
            <w:gridSpan w:val="2"/>
            <w:tcBorders>
              <w:top w:val="nil"/>
              <w:left w:val="nil"/>
              <w:bottom w:val="single" w:sz="6" w:space="0" w:color="auto"/>
              <w:right w:val="nil"/>
            </w:tcBorders>
          </w:tcPr>
          <w:p w14:paraId="05BDEB61"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(3)</w:t>
            </w:r>
          </w:p>
        </w:tc>
        <w:tc>
          <w:tcPr>
            <w:tcW w:w="1333" w:type="dxa"/>
            <w:gridSpan w:val="2"/>
            <w:tcBorders>
              <w:top w:val="nil"/>
              <w:left w:val="nil"/>
              <w:bottom w:val="single" w:sz="6" w:space="0" w:color="auto"/>
              <w:right w:val="nil"/>
            </w:tcBorders>
          </w:tcPr>
          <w:p w14:paraId="61FB8934"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(1)</w:t>
            </w:r>
          </w:p>
        </w:tc>
        <w:tc>
          <w:tcPr>
            <w:tcW w:w="1333" w:type="dxa"/>
            <w:gridSpan w:val="2"/>
            <w:tcBorders>
              <w:top w:val="nil"/>
              <w:left w:val="nil"/>
              <w:bottom w:val="single" w:sz="6" w:space="0" w:color="auto"/>
              <w:right w:val="nil"/>
            </w:tcBorders>
          </w:tcPr>
          <w:p w14:paraId="09CB8D19"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(2)</w:t>
            </w:r>
          </w:p>
        </w:tc>
        <w:tc>
          <w:tcPr>
            <w:tcW w:w="1222" w:type="dxa"/>
            <w:gridSpan w:val="2"/>
            <w:tcBorders>
              <w:top w:val="nil"/>
              <w:left w:val="nil"/>
              <w:bottom w:val="single" w:sz="6" w:space="0" w:color="auto"/>
              <w:right w:val="nil"/>
            </w:tcBorders>
          </w:tcPr>
          <w:p w14:paraId="60F0BF90"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24"/>
              </w:rPr>
            </w:pPr>
            <w:r w:rsidRPr="00A7130E">
              <w:rPr>
                <w:rFonts w:ascii="Times New Roman" w:hAnsi="Times New Roman" w:cs="Times New Roman"/>
                <w:sz w:val="18"/>
                <w:szCs w:val="24"/>
              </w:rPr>
              <w:t>(3)</w:t>
            </w:r>
          </w:p>
        </w:tc>
      </w:tr>
      <w:tr w:rsidR="00651D1A" w:rsidRPr="00A7130E" w14:paraId="79888756" w14:textId="77777777" w:rsidTr="00F015DF">
        <w:trPr>
          <w:gridBefore w:val="1"/>
          <w:wBefore w:w="75" w:type="dxa"/>
          <w:trHeight w:val="380"/>
          <w:jc w:val="center"/>
        </w:trPr>
        <w:tc>
          <w:tcPr>
            <w:tcW w:w="1946" w:type="dxa"/>
            <w:gridSpan w:val="2"/>
            <w:tcBorders>
              <w:top w:val="nil"/>
              <w:left w:val="nil"/>
              <w:bottom w:val="nil"/>
              <w:right w:val="nil"/>
            </w:tcBorders>
          </w:tcPr>
          <w:p w14:paraId="6F9543F5"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24"/>
                <w:szCs w:val="24"/>
              </w:rPr>
            </w:pPr>
          </w:p>
        </w:tc>
        <w:tc>
          <w:tcPr>
            <w:tcW w:w="1222" w:type="dxa"/>
            <w:gridSpan w:val="2"/>
            <w:tcBorders>
              <w:top w:val="nil"/>
              <w:left w:val="nil"/>
              <w:bottom w:val="nil"/>
              <w:right w:val="nil"/>
            </w:tcBorders>
          </w:tcPr>
          <w:p w14:paraId="4C5CF388"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222" w:type="dxa"/>
            <w:gridSpan w:val="2"/>
            <w:tcBorders>
              <w:top w:val="nil"/>
              <w:left w:val="nil"/>
              <w:bottom w:val="nil"/>
              <w:right w:val="nil"/>
            </w:tcBorders>
          </w:tcPr>
          <w:p w14:paraId="24F7870B"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222" w:type="dxa"/>
            <w:gridSpan w:val="2"/>
            <w:tcBorders>
              <w:top w:val="nil"/>
              <w:left w:val="nil"/>
              <w:bottom w:val="nil"/>
              <w:right w:val="nil"/>
            </w:tcBorders>
          </w:tcPr>
          <w:p w14:paraId="47047448"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333" w:type="dxa"/>
            <w:gridSpan w:val="2"/>
            <w:tcBorders>
              <w:top w:val="nil"/>
              <w:left w:val="nil"/>
              <w:bottom w:val="nil"/>
              <w:right w:val="nil"/>
            </w:tcBorders>
          </w:tcPr>
          <w:p w14:paraId="10EDCC58"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333" w:type="dxa"/>
            <w:gridSpan w:val="2"/>
            <w:tcBorders>
              <w:top w:val="nil"/>
              <w:left w:val="nil"/>
              <w:bottom w:val="nil"/>
              <w:right w:val="nil"/>
            </w:tcBorders>
          </w:tcPr>
          <w:p w14:paraId="0DC50BD0"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c>
          <w:tcPr>
            <w:tcW w:w="1222" w:type="dxa"/>
            <w:gridSpan w:val="2"/>
            <w:tcBorders>
              <w:top w:val="nil"/>
              <w:left w:val="nil"/>
              <w:bottom w:val="nil"/>
              <w:right w:val="nil"/>
            </w:tcBorders>
          </w:tcPr>
          <w:p w14:paraId="5B62D4BF"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24"/>
                <w:szCs w:val="24"/>
              </w:rPr>
            </w:pPr>
          </w:p>
        </w:tc>
      </w:tr>
      <w:tr w:rsidR="00651D1A" w:rsidRPr="00A7130E" w14:paraId="69C664C3" w14:textId="77777777" w:rsidTr="00F015DF">
        <w:trPr>
          <w:gridAfter w:val="1"/>
          <w:wAfter w:w="75" w:type="dxa"/>
          <w:trHeight w:val="362"/>
          <w:jc w:val="center"/>
        </w:trPr>
        <w:tc>
          <w:tcPr>
            <w:tcW w:w="1946" w:type="dxa"/>
            <w:gridSpan w:val="2"/>
            <w:tcBorders>
              <w:top w:val="nil"/>
              <w:left w:val="nil"/>
              <w:bottom w:val="nil"/>
              <w:right w:val="nil"/>
            </w:tcBorders>
          </w:tcPr>
          <w:p w14:paraId="05BCFA49"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No prior EU operation</w:t>
            </w:r>
          </w:p>
        </w:tc>
        <w:tc>
          <w:tcPr>
            <w:tcW w:w="1222" w:type="dxa"/>
            <w:gridSpan w:val="2"/>
            <w:tcBorders>
              <w:top w:val="nil"/>
              <w:left w:val="nil"/>
              <w:bottom w:val="nil"/>
              <w:right w:val="nil"/>
            </w:tcBorders>
          </w:tcPr>
          <w:p w14:paraId="3DDA88BA" w14:textId="7683407F"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0.0230</w:t>
            </w:r>
          </w:p>
        </w:tc>
        <w:tc>
          <w:tcPr>
            <w:tcW w:w="1222" w:type="dxa"/>
            <w:gridSpan w:val="2"/>
            <w:tcBorders>
              <w:top w:val="nil"/>
              <w:left w:val="nil"/>
              <w:bottom w:val="nil"/>
              <w:right w:val="nil"/>
            </w:tcBorders>
          </w:tcPr>
          <w:p w14:paraId="03BC28FB"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0.0031</w:t>
            </w:r>
          </w:p>
        </w:tc>
        <w:tc>
          <w:tcPr>
            <w:tcW w:w="1222" w:type="dxa"/>
            <w:gridSpan w:val="2"/>
            <w:tcBorders>
              <w:top w:val="nil"/>
              <w:left w:val="nil"/>
              <w:bottom w:val="nil"/>
              <w:right w:val="nil"/>
            </w:tcBorders>
          </w:tcPr>
          <w:p w14:paraId="647CDDC1" w14:textId="244E462B"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0.0276</w:t>
            </w:r>
          </w:p>
        </w:tc>
        <w:tc>
          <w:tcPr>
            <w:tcW w:w="1333" w:type="dxa"/>
            <w:gridSpan w:val="2"/>
            <w:tcBorders>
              <w:top w:val="nil"/>
              <w:left w:val="nil"/>
              <w:bottom w:val="nil"/>
              <w:right w:val="nil"/>
            </w:tcBorders>
          </w:tcPr>
          <w:p w14:paraId="25541446"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0.0355</w:t>
            </w:r>
          </w:p>
        </w:tc>
        <w:tc>
          <w:tcPr>
            <w:tcW w:w="1333" w:type="dxa"/>
            <w:gridSpan w:val="2"/>
            <w:tcBorders>
              <w:top w:val="nil"/>
              <w:left w:val="nil"/>
              <w:bottom w:val="nil"/>
              <w:right w:val="nil"/>
            </w:tcBorders>
          </w:tcPr>
          <w:p w14:paraId="259A8F22"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0.0394</w:t>
            </w:r>
          </w:p>
        </w:tc>
        <w:tc>
          <w:tcPr>
            <w:tcW w:w="1222" w:type="dxa"/>
            <w:gridSpan w:val="2"/>
            <w:tcBorders>
              <w:top w:val="nil"/>
              <w:left w:val="nil"/>
              <w:bottom w:val="nil"/>
              <w:right w:val="nil"/>
            </w:tcBorders>
          </w:tcPr>
          <w:p w14:paraId="3571CCB1"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0.0383</w:t>
            </w:r>
          </w:p>
        </w:tc>
      </w:tr>
      <w:tr w:rsidR="006755C5" w:rsidRPr="00A7130E" w14:paraId="0C3191A9" w14:textId="77777777" w:rsidTr="00F015DF">
        <w:trPr>
          <w:gridAfter w:val="1"/>
          <w:wAfter w:w="75" w:type="dxa"/>
          <w:trHeight w:val="362"/>
          <w:jc w:val="center"/>
        </w:trPr>
        <w:tc>
          <w:tcPr>
            <w:tcW w:w="1946" w:type="dxa"/>
            <w:gridSpan w:val="2"/>
            <w:tcBorders>
              <w:top w:val="nil"/>
              <w:left w:val="nil"/>
              <w:bottom w:val="nil"/>
              <w:right w:val="nil"/>
            </w:tcBorders>
          </w:tcPr>
          <w:p w14:paraId="5727AA75" w14:textId="64ADBD62" w:rsidR="006755C5" w:rsidRPr="00A7130E" w:rsidRDefault="006755C5" w:rsidP="00F015DF">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EU</w:t>
            </w:r>
          </w:p>
        </w:tc>
        <w:tc>
          <w:tcPr>
            <w:tcW w:w="1222" w:type="dxa"/>
            <w:gridSpan w:val="2"/>
            <w:tcBorders>
              <w:top w:val="nil"/>
              <w:left w:val="nil"/>
              <w:bottom w:val="nil"/>
              <w:right w:val="nil"/>
            </w:tcBorders>
          </w:tcPr>
          <w:p w14:paraId="27C32F23" w14:textId="78475342" w:rsidR="006755C5" w:rsidRPr="00A7130E" w:rsidRDefault="006755C5" w:rsidP="00F015DF">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0.0010</w:t>
            </w:r>
          </w:p>
        </w:tc>
        <w:tc>
          <w:tcPr>
            <w:tcW w:w="1222" w:type="dxa"/>
            <w:gridSpan w:val="2"/>
            <w:tcBorders>
              <w:top w:val="nil"/>
              <w:left w:val="nil"/>
              <w:bottom w:val="nil"/>
              <w:right w:val="nil"/>
            </w:tcBorders>
          </w:tcPr>
          <w:p w14:paraId="05F40E7C" w14:textId="17F8B7EA" w:rsidR="006755C5" w:rsidRPr="00A7130E" w:rsidRDefault="0057131F" w:rsidP="00F015DF">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-0.0204</w:t>
            </w:r>
          </w:p>
        </w:tc>
        <w:tc>
          <w:tcPr>
            <w:tcW w:w="1222" w:type="dxa"/>
            <w:gridSpan w:val="2"/>
            <w:tcBorders>
              <w:top w:val="nil"/>
              <w:left w:val="nil"/>
              <w:bottom w:val="nil"/>
              <w:right w:val="nil"/>
            </w:tcBorders>
          </w:tcPr>
          <w:p w14:paraId="7EDC6A6F" w14:textId="0D72C408" w:rsidR="006755C5" w:rsidRPr="00A7130E" w:rsidRDefault="0057131F" w:rsidP="00F015DF">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-0.0276</w:t>
            </w:r>
          </w:p>
        </w:tc>
        <w:tc>
          <w:tcPr>
            <w:tcW w:w="1333" w:type="dxa"/>
            <w:gridSpan w:val="2"/>
            <w:tcBorders>
              <w:top w:val="nil"/>
              <w:left w:val="nil"/>
              <w:bottom w:val="nil"/>
              <w:right w:val="nil"/>
            </w:tcBorders>
          </w:tcPr>
          <w:p w14:paraId="68EC17C9" w14:textId="135CFB05" w:rsidR="006755C5" w:rsidRPr="00A7130E" w:rsidRDefault="00C73B74" w:rsidP="00F015DF">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0.221**</w:t>
            </w:r>
          </w:p>
        </w:tc>
        <w:tc>
          <w:tcPr>
            <w:tcW w:w="1333" w:type="dxa"/>
            <w:gridSpan w:val="2"/>
            <w:tcBorders>
              <w:top w:val="nil"/>
              <w:left w:val="nil"/>
              <w:bottom w:val="nil"/>
              <w:right w:val="nil"/>
            </w:tcBorders>
          </w:tcPr>
          <w:p w14:paraId="445976C6" w14:textId="71169E3E" w:rsidR="006755C5"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0.0245</w:t>
            </w:r>
          </w:p>
        </w:tc>
        <w:tc>
          <w:tcPr>
            <w:tcW w:w="1222" w:type="dxa"/>
            <w:gridSpan w:val="2"/>
            <w:tcBorders>
              <w:top w:val="nil"/>
              <w:left w:val="nil"/>
              <w:bottom w:val="nil"/>
              <w:right w:val="nil"/>
            </w:tcBorders>
          </w:tcPr>
          <w:p w14:paraId="372E7454" w14:textId="2AA3F9B4" w:rsidR="006755C5"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0.0383</w:t>
            </w:r>
          </w:p>
        </w:tc>
      </w:tr>
      <w:tr w:rsidR="00C73B74" w:rsidRPr="00A7130E" w14:paraId="084F6921" w14:textId="77777777" w:rsidTr="00F015DF">
        <w:trPr>
          <w:gridAfter w:val="1"/>
          <w:wAfter w:w="75" w:type="dxa"/>
          <w:trHeight w:val="362"/>
          <w:jc w:val="center"/>
        </w:trPr>
        <w:tc>
          <w:tcPr>
            <w:tcW w:w="1946" w:type="dxa"/>
            <w:gridSpan w:val="2"/>
            <w:tcBorders>
              <w:top w:val="nil"/>
              <w:left w:val="nil"/>
              <w:bottom w:val="nil"/>
              <w:right w:val="nil"/>
            </w:tcBorders>
          </w:tcPr>
          <w:p w14:paraId="7B146B19"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US</w:t>
            </w:r>
          </w:p>
        </w:tc>
        <w:tc>
          <w:tcPr>
            <w:tcW w:w="1222" w:type="dxa"/>
            <w:gridSpan w:val="2"/>
            <w:tcBorders>
              <w:top w:val="nil"/>
              <w:left w:val="nil"/>
              <w:bottom w:val="nil"/>
              <w:right w:val="nil"/>
            </w:tcBorders>
          </w:tcPr>
          <w:p w14:paraId="595D8B40" w14:textId="2932C01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0.0170</w:t>
            </w:r>
          </w:p>
        </w:tc>
        <w:tc>
          <w:tcPr>
            <w:tcW w:w="1222" w:type="dxa"/>
            <w:gridSpan w:val="2"/>
            <w:tcBorders>
              <w:top w:val="nil"/>
              <w:left w:val="nil"/>
              <w:bottom w:val="nil"/>
              <w:right w:val="nil"/>
            </w:tcBorders>
          </w:tcPr>
          <w:p w14:paraId="74B4091D" w14:textId="44A52FB3"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0.0164</w:t>
            </w:r>
          </w:p>
        </w:tc>
        <w:tc>
          <w:tcPr>
            <w:tcW w:w="1222" w:type="dxa"/>
            <w:gridSpan w:val="2"/>
            <w:tcBorders>
              <w:top w:val="nil"/>
              <w:left w:val="nil"/>
              <w:bottom w:val="nil"/>
              <w:right w:val="nil"/>
            </w:tcBorders>
          </w:tcPr>
          <w:p w14:paraId="39CE88D5" w14:textId="485BE41C"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0.00681</w:t>
            </w:r>
          </w:p>
        </w:tc>
        <w:tc>
          <w:tcPr>
            <w:tcW w:w="1333" w:type="dxa"/>
            <w:gridSpan w:val="2"/>
            <w:tcBorders>
              <w:top w:val="nil"/>
              <w:left w:val="nil"/>
              <w:bottom w:val="nil"/>
              <w:right w:val="nil"/>
            </w:tcBorders>
          </w:tcPr>
          <w:p w14:paraId="4364316A" w14:textId="3DA2CC3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0.108*</w:t>
            </w:r>
          </w:p>
        </w:tc>
        <w:tc>
          <w:tcPr>
            <w:tcW w:w="1333" w:type="dxa"/>
            <w:gridSpan w:val="2"/>
            <w:tcBorders>
              <w:top w:val="nil"/>
              <w:left w:val="nil"/>
              <w:bottom w:val="nil"/>
              <w:right w:val="nil"/>
            </w:tcBorders>
          </w:tcPr>
          <w:p w14:paraId="75C887C5" w14:textId="37C27A2F"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0.103*</w:t>
            </w:r>
          </w:p>
        </w:tc>
        <w:tc>
          <w:tcPr>
            <w:tcW w:w="1222" w:type="dxa"/>
            <w:gridSpan w:val="2"/>
            <w:tcBorders>
              <w:top w:val="nil"/>
              <w:left w:val="nil"/>
              <w:bottom w:val="nil"/>
              <w:right w:val="nil"/>
            </w:tcBorders>
          </w:tcPr>
          <w:p w14:paraId="290D8FB9" w14:textId="481F340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0.116**</w:t>
            </w:r>
          </w:p>
        </w:tc>
      </w:tr>
      <w:tr w:rsidR="00C73B74" w:rsidRPr="00A7130E" w14:paraId="134493E2" w14:textId="77777777" w:rsidTr="00F015DF">
        <w:trPr>
          <w:gridAfter w:val="1"/>
          <w:wAfter w:w="75" w:type="dxa"/>
          <w:trHeight w:val="362"/>
          <w:jc w:val="center"/>
        </w:trPr>
        <w:tc>
          <w:tcPr>
            <w:tcW w:w="1946" w:type="dxa"/>
            <w:gridSpan w:val="2"/>
            <w:tcBorders>
              <w:top w:val="nil"/>
              <w:left w:val="nil"/>
              <w:bottom w:val="nil"/>
              <w:right w:val="nil"/>
            </w:tcBorders>
          </w:tcPr>
          <w:p w14:paraId="6980BDF3"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Asia</w:t>
            </w:r>
          </w:p>
        </w:tc>
        <w:tc>
          <w:tcPr>
            <w:tcW w:w="1222" w:type="dxa"/>
            <w:gridSpan w:val="2"/>
            <w:tcBorders>
              <w:top w:val="nil"/>
              <w:left w:val="nil"/>
              <w:bottom w:val="nil"/>
              <w:right w:val="nil"/>
            </w:tcBorders>
          </w:tcPr>
          <w:p w14:paraId="0B03FE81" w14:textId="6167FC60"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0.162</w:t>
            </w:r>
          </w:p>
        </w:tc>
        <w:tc>
          <w:tcPr>
            <w:tcW w:w="1222" w:type="dxa"/>
            <w:gridSpan w:val="2"/>
            <w:tcBorders>
              <w:top w:val="nil"/>
              <w:left w:val="nil"/>
              <w:bottom w:val="nil"/>
              <w:right w:val="nil"/>
            </w:tcBorders>
          </w:tcPr>
          <w:p w14:paraId="33474B91" w14:textId="4291C70F"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0.135</w:t>
            </w:r>
          </w:p>
        </w:tc>
        <w:tc>
          <w:tcPr>
            <w:tcW w:w="1222" w:type="dxa"/>
            <w:gridSpan w:val="2"/>
            <w:tcBorders>
              <w:top w:val="nil"/>
              <w:left w:val="nil"/>
              <w:bottom w:val="nil"/>
              <w:right w:val="nil"/>
            </w:tcBorders>
          </w:tcPr>
          <w:p w14:paraId="512AD610" w14:textId="092ECDA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0.0965</w:t>
            </w:r>
          </w:p>
        </w:tc>
        <w:tc>
          <w:tcPr>
            <w:tcW w:w="1333" w:type="dxa"/>
            <w:gridSpan w:val="2"/>
            <w:tcBorders>
              <w:top w:val="nil"/>
              <w:left w:val="nil"/>
              <w:bottom w:val="nil"/>
              <w:right w:val="nil"/>
            </w:tcBorders>
          </w:tcPr>
          <w:p w14:paraId="7362FC3A" w14:textId="25F96606"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0.0859</w:t>
            </w:r>
          </w:p>
        </w:tc>
        <w:tc>
          <w:tcPr>
            <w:tcW w:w="1333" w:type="dxa"/>
            <w:gridSpan w:val="2"/>
            <w:tcBorders>
              <w:top w:val="nil"/>
              <w:left w:val="nil"/>
              <w:bottom w:val="nil"/>
              <w:right w:val="nil"/>
            </w:tcBorders>
          </w:tcPr>
          <w:p w14:paraId="377323CC" w14:textId="01FF4646"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0.0416</w:t>
            </w:r>
          </w:p>
        </w:tc>
        <w:tc>
          <w:tcPr>
            <w:tcW w:w="1222" w:type="dxa"/>
            <w:gridSpan w:val="2"/>
            <w:tcBorders>
              <w:top w:val="nil"/>
              <w:left w:val="nil"/>
              <w:bottom w:val="nil"/>
              <w:right w:val="nil"/>
            </w:tcBorders>
          </w:tcPr>
          <w:p w14:paraId="57312425" w14:textId="23489972"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0.0348</w:t>
            </w:r>
          </w:p>
        </w:tc>
      </w:tr>
      <w:tr w:rsidR="00651D1A" w:rsidRPr="00A7130E" w14:paraId="7D4A74EE" w14:textId="77777777" w:rsidTr="00F015DF">
        <w:trPr>
          <w:gridAfter w:val="1"/>
          <w:wAfter w:w="75" w:type="dxa"/>
          <w:trHeight w:val="362"/>
          <w:jc w:val="center"/>
        </w:trPr>
        <w:tc>
          <w:tcPr>
            <w:tcW w:w="1946" w:type="dxa"/>
            <w:gridSpan w:val="2"/>
            <w:tcBorders>
              <w:top w:val="nil"/>
              <w:left w:val="nil"/>
              <w:bottom w:val="nil"/>
              <w:right w:val="nil"/>
            </w:tcBorders>
          </w:tcPr>
          <w:p w14:paraId="48EA02EB"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Exchange Rate</w:t>
            </w:r>
          </w:p>
        </w:tc>
        <w:tc>
          <w:tcPr>
            <w:tcW w:w="1222" w:type="dxa"/>
            <w:gridSpan w:val="2"/>
            <w:tcBorders>
              <w:top w:val="nil"/>
              <w:left w:val="nil"/>
              <w:bottom w:val="nil"/>
              <w:right w:val="nil"/>
            </w:tcBorders>
          </w:tcPr>
          <w:p w14:paraId="547EC597"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0.0333</w:t>
            </w:r>
          </w:p>
        </w:tc>
        <w:tc>
          <w:tcPr>
            <w:tcW w:w="1222" w:type="dxa"/>
            <w:gridSpan w:val="2"/>
            <w:tcBorders>
              <w:top w:val="nil"/>
              <w:left w:val="nil"/>
              <w:bottom w:val="nil"/>
              <w:right w:val="nil"/>
            </w:tcBorders>
          </w:tcPr>
          <w:p w14:paraId="1E6F11FE"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0.0109</w:t>
            </w:r>
          </w:p>
        </w:tc>
        <w:tc>
          <w:tcPr>
            <w:tcW w:w="1222" w:type="dxa"/>
            <w:gridSpan w:val="2"/>
            <w:tcBorders>
              <w:top w:val="nil"/>
              <w:left w:val="nil"/>
              <w:bottom w:val="nil"/>
              <w:right w:val="nil"/>
            </w:tcBorders>
          </w:tcPr>
          <w:p w14:paraId="2611F279"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0.0138</w:t>
            </w:r>
          </w:p>
        </w:tc>
        <w:tc>
          <w:tcPr>
            <w:tcW w:w="1333" w:type="dxa"/>
            <w:gridSpan w:val="2"/>
            <w:tcBorders>
              <w:top w:val="nil"/>
              <w:left w:val="nil"/>
              <w:bottom w:val="nil"/>
              <w:right w:val="nil"/>
            </w:tcBorders>
          </w:tcPr>
          <w:p w14:paraId="198FE473" w14:textId="08FB312C" w:rsidR="00651D1A" w:rsidRPr="00A7130E" w:rsidRDefault="00DC6A66"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-0.0077</w:t>
            </w:r>
          </w:p>
        </w:tc>
        <w:tc>
          <w:tcPr>
            <w:tcW w:w="1333" w:type="dxa"/>
            <w:gridSpan w:val="2"/>
            <w:tcBorders>
              <w:top w:val="nil"/>
              <w:left w:val="nil"/>
              <w:bottom w:val="nil"/>
              <w:right w:val="nil"/>
            </w:tcBorders>
          </w:tcPr>
          <w:p w14:paraId="403BD71C"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-0.0271</w:t>
            </w:r>
          </w:p>
        </w:tc>
        <w:tc>
          <w:tcPr>
            <w:tcW w:w="1222" w:type="dxa"/>
            <w:gridSpan w:val="2"/>
            <w:tcBorders>
              <w:top w:val="nil"/>
              <w:left w:val="nil"/>
              <w:bottom w:val="nil"/>
              <w:right w:val="nil"/>
            </w:tcBorders>
          </w:tcPr>
          <w:p w14:paraId="52B82403" w14:textId="1A322D2B"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-0.0087</w:t>
            </w:r>
          </w:p>
        </w:tc>
      </w:tr>
      <w:tr w:rsidR="00651D1A" w:rsidRPr="00A7130E" w14:paraId="51D7451C" w14:textId="77777777" w:rsidTr="00F015DF">
        <w:trPr>
          <w:gridAfter w:val="1"/>
          <w:wAfter w:w="75" w:type="dxa"/>
          <w:trHeight w:val="362"/>
          <w:jc w:val="center"/>
        </w:trPr>
        <w:tc>
          <w:tcPr>
            <w:tcW w:w="1946" w:type="dxa"/>
            <w:gridSpan w:val="2"/>
            <w:tcBorders>
              <w:top w:val="nil"/>
              <w:left w:val="nil"/>
              <w:bottom w:val="nil"/>
              <w:right w:val="nil"/>
            </w:tcBorders>
          </w:tcPr>
          <w:p w14:paraId="1104E8BF"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CASH</w:t>
            </w:r>
          </w:p>
        </w:tc>
        <w:tc>
          <w:tcPr>
            <w:tcW w:w="1222" w:type="dxa"/>
            <w:gridSpan w:val="2"/>
            <w:tcBorders>
              <w:top w:val="nil"/>
              <w:left w:val="nil"/>
              <w:bottom w:val="nil"/>
              <w:right w:val="nil"/>
            </w:tcBorders>
          </w:tcPr>
          <w:p w14:paraId="0461B0E5"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-0.0258</w:t>
            </w:r>
          </w:p>
        </w:tc>
        <w:tc>
          <w:tcPr>
            <w:tcW w:w="1222" w:type="dxa"/>
            <w:gridSpan w:val="2"/>
            <w:tcBorders>
              <w:top w:val="nil"/>
              <w:left w:val="nil"/>
              <w:bottom w:val="nil"/>
              <w:right w:val="nil"/>
            </w:tcBorders>
          </w:tcPr>
          <w:p w14:paraId="32CBFBF0"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-0.0293</w:t>
            </w:r>
          </w:p>
        </w:tc>
        <w:tc>
          <w:tcPr>
            <w:tcW w:w="1222" w:type="dxa"/>
            <w:gridSpan w:val="2"/>
            <w:tcBorders>
              <w:top w:val="nil"/>
              <w:left w:val="nil"/>
              <w:bottom w:val="nil"/>
              <w:right w:val="nil"/>
            </w:tcBorders>
          </w:tcPr>
          <w:p w14:paraId="568CE93F"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-0.0193</w:t>
            </w:r>
          </w:p>
        </w:tc>
        <w:tc>
          <w:tcPr>
            <w:tcW w:w="1333" w:type="dxa"/>
            <w:gridSpan w:val="2"/>
            <w:tcBorders>
              <w:top w:val="nil"/>
              <w:left w:val="nil"/>
              <w:bottom w:val="nil"/>
              <w:right w:val="nil"/>
            </w:tcBorders>
          </w:tcPr>
          <w:p w14:paraId="76DD0587"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0.0554</w:t>
            </w:r>
          </w:p>
        </w:tc>
        <w:tc>
          <w:tcPr>
            <w:tcW w:w="1333" w:type="dxa"/>
            <w:gridSpan w:val="2"/>
            <w:tcBorders>
              <w:top w:val="nil"/>
              <w:left w:val="nil"/>
              <w:bottom w:val="nil"/>
              <w:right w:val="nil"/>
            </w:tcBorders>
          </w:tcPr>
          <w:p w14:paraId="1829FE9C"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0.0549</w:t>
            </w:r>
          </w:p>
        </w:tc>
        <w:tc>
          <w:tcPr>
            <w:tcW w:w="1222" w:type="dxa"/>
            <w:gridSpan w:val="2"/>
            <w:tcBorders>
              <w:top w:val="nil"/>
              <w:left w:val="nil"/>
              <w:bottom w:val="nil"/>
              <w:right w:val="nil"/>
            </w:tcBorders>
          </w:tcPr>
          <w:p w14:paraId="1E19762C"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0.0558</w:t>
            </w:r>
          </w:p>
        </w:tc>
      </w:tr>
      <w:tr w:rsidR="00651D1A" w:rsidRPr="00A7130E" w14:paraId="4344A31C" w14:textId="77777777" w:rsidTr="00F015DF">
        <w:trPr>
          <w:gridAfter w:val="1"/>
          <w:wAfter w:w="75" w:type="dxa"/>
          <w:trHeight w:val="362"/>
          <w:jc w:val="center"/>
        </w:trPr>
        <w:tc>
          <w:tcPr>
            <w:tcW w:w="1946" w:type="dxa"/>
            <w:gridSpan w:val="2"/>
            <w:tcBorders>
              <w:top w:val="nil"/>
              <w:left w:val="nil"/>
              <w:bottom w:val="nil"/>
              <w:right w:val="nil"/>
            </w:tcBorders>
          </w:tcPr>
          <w:p w14:paraId="4A8315D1"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STOCK</w:t>
            </w:r>
          </w:p>
        </w:tc>
        <w:tc>
          <w:tcPr>
            <w:tcW w:w="1222" w:type="dxa"/>
            <w:gridSpan w:val="2"/>
            <w:tcBorders>
              <w:top w:val="nil"/>
              <w:left w:val="nil"/>
              <w:bottom w:val="nil"/>
              <w:right w:val="nil"/>
            </w:tcBorders>
          </w:tcPr>
          <w:p w14:paraId="21E8DA2E"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-0.0282</w:t>
            </w:r>
          </w:p>
        </w:tc>
        <w:tc>
          <w:tcPr>
            <w:tcW w:w="1222" w:type="dxa"/>
            <w:gridSpan w:val="2"/>
            <w:tcBorders>
              <w:top w:val="nil"/>
              <w:left w:val="nil"/>
              <w:bottom w:val="nil"/>
              <w:right w:val="nil"/>
            </w:tcBorders>
          </w:tcPr>
          <w:p w14:paraId="7D06D5B9"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-0.0320</w:t>
            </w:r>
          </w:p>
        </w:tc>
        <w:tc>
          <w:tcPr>
            <w:tcW w:w="1222" w:type="dxa"/>
            <w:gridSpan w:val="2"/>
            <w:tcBorders>
              <w:top w:val="nil"/>
              <w:left w:val="nil"/>
              <w:bottom w:val="nil"/>
              <w:right w:val="nil"/>
            </w:tcBorders>
          </w:tcPr>
          <w:p w14:paraId="0A421132" w14:textId="5654B5B2" w:rsidR="00651D1A" w:rsidRPr="00A7130E" w:rsidRDefault="00DC6A66"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0.0088</w:t>
            </w:r>
          </w:p>
        </w:tc>
        <w:tc>
          <w:tcPr>
            <w:tcW w:w="1333" w:type="dxa"/>
            <w:gridSpan w:val="2"/>
            <w:tcBorders>
              <w:top w:val="nil"/>
              <w:left w:val="nil"/>
              <w:bottom w:val="nil"/>
              <w:right w:val="nil"/>
            </w:tcBorders>
          </w:tcPr>
          <w:p w14:paraId="239A6FBA"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-0.0733</w:t>
            </w:r>
          </w:p>
        </w:tc>
        <w:tc>
          <w:tcPr>
            <w:tcW w:w="1333" w:type="dxa"/>
            <w:gridSpan w:val="2"/>
            <w:tcBorders>
              <w:top w:val="nil"/>
              <w:left w:val="nil"/>
              <w:bottom w:val="nil"/>
              <w:right w:val="nil"/>
            </w:tcBorders>
          </w:tcPr>
          <w:p w14:paraId="76BCEDC3"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-0.0811</w:t>
            </w:r>
          </w:p>
        </w:tc>
        <w:tc>
          <w:tcPr>
            <w:tcW w:w="1222" w:type="dxa"/>
            <w:gridSpan w:val="2"/>
            <w:tcBorders>
              <w:top w:val="nil"/>
              <w:left w:val="nil"/>
              <w:bottom w:val="nil"/>
              <w:right w:val="nil"/>
            </w:tcBorders>
          </w:tcPr>
          <w:p w14:paraId="48FA3EB6"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-0.0795</w:t>
            </w:r>
          </w:p>
        </w:tc>
      </w:tr>
      <w:tr w:rsidR="00651D1A" w:rsidRPr="00A7130E" w14:paraId="67A0BF30" w14:textId="77777777" w:rsidTr="00F015DF">
        <w:trPr>
          <w:gridAfter w:val="1"/>
          <w:wAfter w:w="75" w:type="dxa"/>
          <w:trHeight w:val="362"/>
          <w:jc w:val="center"/>
        </w:trPr>
        <w:tc>
          <w:tcPr>
            <w:tcW w:w="1946" w:type="dxa"/>
            <w:gridSpan w:val="2"/>
            <w:tcBorders>
              <w:top w:val="nil"/>
              <w:left w:val="nil"/>
              <w:bottom w:val="nil"/>
              <w:right w:val="nil"/>
            </w:tcBorders>
          </w:tcPr>
          <w:p w14:paraId="3B323E97"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Percentage of Stake</w:t>
            </w:r>
          </w:p>
        </w:tc>
        <w:tc>
          <w:tcPr>
            <w:tcW w:w="1222" w:type="dxa"/>
            <w:gridSpan w:val="2"/>
            <w:tcBorders>
              <w:top w:val="nil"/>
              <w:left w:val="nil"/>
              <w:bottom w:val="nil"/>
              <w:right w:val="nil"/>
            </w:tcBorders>
          </w:tcPr>
          <w:p w14:paraId="11980365"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0.0003</w:t>
            </w:r>
          </w:p>
        </w:tc>
        <w:tc>
          <w:tcPr>
            <w:tcW w:w="1222" w:type="dxa"/>
            <w:gridSpan w:val="2"/>
            <w:tcBorders>
              <w:top w:val="nil"/>
              <w:left w:val="nil"/>
              <w:bottom w:val="nil"/>
              <w:right w:val="nil"/>
            </w:tcBorders>
          </w:tcPr>
          <w:p w14:paraId="0FC6F9AF"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222" w:type="dxa"/>
            <w:gridSpan w:val="2"/>
            <w:tcBorders>
              <w:top w:val="nil"/>
              <w:left w:val="nil"/>
              <w:bottom w:val="nil"/>
              <w:right w:val="nil"/>
            </w:tcBorders>
          </w:tcPr>
          <w:p w14:paraId="5F6566B2" w14:textId="36712FC8" w:rsidR="00651D1A" w:rsidRPr="00A7130E" w:rsidRDefault="00DC6A66"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-0.0006</w:t>
            </w:r>
          </w:p>
        </w:tc>
        <w:tc>
          <w:tcPr>
            <w:tcW w:w="1333" w:type="dxa"/>
            <w:gridSpan w:val="2"/>
            <w:tcBorders>
              <w:top w:val="nil"/>
              <w:left w:val="nil"/>
              <w:bottom w:val="nil"/>
              <w:right w:val="nil"/>
            </w:tcBorders>
          </w:tcPr>
          <w:p w14:paraId="50219660" w14:textId="63664D65"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-0.0004</w:t>
            </w:r>
          </w:p>
        </w:tc>
        <w:tc>
          <w:tcPr>
            <w:tcW w:w="1333" w:type="dxa"/>
            <w:gridSpan w:val="2"/>
            <w:tcBorders>
              <w:top w:val="nil"/>
              <w:left w:val="nil"/>
              <w:bottom w:val="nil"/>
              <w:right w:val="nil"/>
            </w:tcBorders>
          </w:tcPr>
          <w:p w14:paraId="3392C74E" w14:textId="268C37D1"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-0.0012</w:t>
            </w:r>
          </w:p>
        </w:tc>
        <w:tc>
          <w:tcPr>
            <w:tcW w:w="1222" w:type="dxa"/>
            <w:gridSpan w:val="2"/>
            <w:tcBorders>
              <w:top w:val="nil"/>
              <w:left w:val="nil"/>
              <w:bottom w:val="nil"/>
              <w:right w:val="nil"/>
            </w:tcBorders>
          </w:tcPr>
          <w:p w14:paraId="20F4BA6E" w14:textId="0C83AED0"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-0.0004</w:t>
            </w:r>
          </w:p>
        </w:tc>
      </w:tr>
      <w:tr w:rsidR="00651D1A" w:rsidRPr="00A7130E" w14:paraId="3FA9ACAA" w14:textId="77777777" w:rsidTr="00F015DF">
        <w:trPr>
          <w:gridAfter w:val="1"/>
          <w:wAfter w:w="75" w:type="dxa"/>
          <w:trHeight w:val="362"/>
          <w:jc w:val="center"/>
        </w:trPr>
        <w:tc>
          <w:tcPr>
            <w:tcW w:w="1946" w:type="dxa"/>
            <w:gridSpan w:val="2"/>
            <w:tcBorders>
              <w:top w:val="nil"/>
              <w:left w:val="nil"/>
              <w:bottom w:val="nil"/>
              <w:right w:val="nil"/>
            </w:tcBorders>
          </w:tcPr>
          <w:p w14:paraId="1CD37B3E"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Log Market-Value</w:t>
            </w:r>
          </w:p>
        </w:tc>
        <w:tc>
          <w:tcPr>
            <w:tcW w:w="1222" w:type="dxa"/>
            <w:gridSpan w:val="2"/>
            <w:tcBorders>
              <w:top w:val="nil"/>
              <w:left w:val="nil"/>
              <w:bottom w:val="nil"/>
              <w:right w:val="nil"/>
            </w:tcBorders>
          </w:tcPr>
          <w:p w14:paraId="782BB517"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0.0025</w:t>
            </w:r>
          </w:p>
        </w:tc>
        <w:tc>
          <w:tcPr>
            <w:tcW w:w="1222" w:type="dxa"/>
            <w:gridSpan w:val="2"/>
            <w:tcBorders>
              <w:top w:val="nil"/>
              <w:left w:val="nil"/>
              <w:bottom w:val="nil"/>
              <w:right w:val="nil"/>
            </w:tcBorders>
          </w:tcPr>
          <w:p w14:paraId="3FCF1CB4"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0.0190</w:t>
            </w:r>
          </w:p>
        </w:tc>
        <w:tc>
          <w:tcPr>
            <w:tcW w:w="1222" w:type="dxa"/>
            <w:gridSpan w:val="2"/>
            <w:tcBorders>
              <w:top w:val="nil"/>
              <w:left w:val="nil"/>
              <w:bottom w:val="nil"/>
              <w:right w:val="nil"/>
            </w:tcBorders>
          </w:tcPr>
          <w:p w14:paraId="078D0E38"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0.0110</w:t>
            </w:r>
          </w:p>
        </w:tc>
        <w:tc>
          <w:tcPr>
            <w:tcW w:w="1333" w:type="dxa"/>
            <w:gridSpan w:val="2"/>
            <w:tcBorders>
              <w:top w:val="nil"/>
              <w:left w:val="nil"/>
              <w:bottom w:val="nil"/>
              <w:right w:val="nil"/>
            </w:tcBorders>
          </w:tcPr>
          <w:p w14:paraId="4967323D"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-0.0307</w:t>
            </w:r>
          </w:p>
        </w:tc>
        <w:tc>
          <w:tcPr>
            <w:tcW w:w="1333" w:type="dxa"/>
            <w:gridSpan w:val="2"/>
            <w:tcBorders>
              <w:top w:val="nil"/>
              <w:left w:val="nil"/>
              <w:bottom w:val="nil"/>
              <w:right w:val="nil"/>
            </w:tcBorders>
          </w:tcPr>
          <w:p w14:paraId="16FF3B55"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-0.0233</w:t>
            </w:r>
          </w:p>
        </w:tc>
        <w:tc>
          <w:tcPr>
            <w:tcW w:w="1222" w:type="dxa"/>
            <w:gridSpan w:val="2"/>
            <w:tcBorders>
              <w:top w:val="nil"/>
              <w:left w:val="nil"/>
              <w:bottom w:val="nil"/>
              <w:right w:val="nil"/>
            </w:tcBorders>
          </w:tcPr>
          <w:p w14:paraId="5893F84E"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-0.0172</w:t>
            </w:r>
          </w:p>
        </w:tc>
      </w:tr>
      <w:tr w:rsidR="00696C1A" w:rsidRPr="00A7130E" w14:paraId="0868A955" w14:textId="77777777" w:rsidTr="00F015DF">
        <w:trPr>
          <w:gridAfter w:val="1"/>
          <w:wAfter w:w="75" w:type="dxa"/>
          <w:trHeight w:val="362"/>
          <w:jc w:val="center"/>
        </w:trPr>
        <w:tc>
          <w:tcPr>
            <w:tcW w:w="1946" w:type="dxa"/>
            <w:gridSpan w:val="2"/>
            <w:tcBorders>
              <w:top w:val="nil"/>
              <w:left w:val="nil"/>
              <w:bottom w:val="nil"/>
              <w:right w:val="nil"/>
            </w:tcBorders>
          </w:tcPr>
          <w:p w14:paraId="6B51D7E9" w14:textId="77777777" w:rsidR="00696C1A" w:rsidRPr="00A7130E" w:rsidRDefault="00696C1A" w:rsidP="00696C1A">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Stock run-up</w:t>
            </w:r>
          </w:p>
        </w:tc>
        <w:tc>
          <w:tcPr>
            <w:tcW w:w="1222" w:type="dxa"/>
            <w:gridSpan w:val="2"/>
            <w:tcBorders>
              <w:top w:val="nil"/>
              <w:left w:val="nil"/>
              <w:bottom w:val="nil"/>
              <w:right w:val="nil"/>
            </w:tcBorders>
          </w:tcPr>
          <w:p w14:paraId="3DD503E6" w14:textId="2D43F553"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22" w:type="dxa"/>
            <w:gridSpan w:val="2"/>
            <w:tcBorders>
              <w:top w:val="nil"/>
              <w:left w:val="nil"/>
              <w:bottom w:val="nil"/>
              <w:right w:val="nil"/>
            </w:tcBorders>
          </w:tcPr>
          <w:p w14:paraId="30036AF1" w14:textId="5B8D4212"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22" w:type="dxa"/>
            <w:gridSpan w:val="2"/>
            <w:tcBorders>
              <w:top w:val="nil"/>
              <w:left w:val="nil"/>
              <w:bottom w:val="nil"/>
              <w:right w:val="nil"/>
            </w:tcBorders>
          </w:tcPr>
          <w:p w14:paraId="0E2A77F8" w14:textId="569CE38E"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333" w:type="dxa"/>
            <w:gridSpan w:val="2"/>
            <w:tcBorders>
              <w:top w:val="nil"/>
              <w:left w:val="nil"/>
              <w:bottom w:val="nil"/>
              <w:right w:val="nil"/>
            </w:tcBorders>
          </w:tcPr>
          <w:p w14:paraId="0E492576" w14:textId="1302FA57"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333" w:type="dxa"/>
            <w:gridSpan w:val="2"/>
            <w:tcBorders>
              <w:top w:val="nil"/>
              <w:left w:val="nil"/>
              <w:bottom w:val="nil"/>
              <w:right w:val="nil"/>
            </w:tcBorders>
          </w:tcPr>
          <w:p w14:paraId="272ED478" w14:textId="7EDF9818"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22" w:type="dxa"/>
            <w:gridSpan w:val="2"/>
            <w:tcBorders>
              <w:top w:val="nil"/>
              <w:left w:val="nil"/>
              <w:bottom w:val="nil"/>
              <w:right w:val="nil"/>
            </w:tcBorders>
          </w:tcPr>
          <w:p w14:paraId="4A99C6B3" w14:textId="7302FDDD"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651D1A" w:rsidRPr="00A7130E" w14:paraId="11B6B907" w14:textId="77777777" w:rsidTr="00F015DF">
        <w:trPr>
          <w:gridAfter w:val="1"/>
          <w:wAfter w:w="75" w:type="dxa"/>
          <w:trHeight w:val="362"/>
          <w:jc w:val="center"/>
        </w:trPr>
        <w:tc>
          <w:tcPr>
            <w:tcW w:w="1946" w:type="dxa"/>
            <w:gridSpan w:val="2"/>
            <w:tcBorders>
              <w:top w:val="nil"/>
              <w:left w:val="nil"/>
              <w:bottom w:val="nil"/>
              <w:right w:val="nil"/>
            </w:tcBorders>
          </w:tcPr>
          <w:p w14:paraId="3234CF5D"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EV to EBITDA</w:t>
            </w:r>
          </w:p>
        </w:tc>
        <w:tc>
          <w:tcPr>
            <w:tcW w:w="1222" w:type="dxa"/>
            <w:gridSpan w:val="2"/>
            <w:tcBorders>
              <w:top w:val="nil"/>
              <w:left w:val="nil"/>
              <w:bottom w:val="nil"/>
              <w:right w:val="nil"/>
            </w:tcBorders>
          </w:tcPr>
          <w:p w14:paraId="2F03E014"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222" w:type="dxa"/>
            <w:gridSpan w:val="2"/>
            <w:tcBorders>
              <w:top w:val="nil"/>
              <w:left w:val="nil"/>
              <w:bottom w:val="nil"/>
              <w:right w:val="nil"/>
            </w:tcBorders>
          </w:tcPr>
          <w:p w14:paraId="42B82912"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222" w:type="dxa"/>
            <w:gridSpan w:val="2"/>
            <w:tcBorders>
              <w:top w:val="nil"/>
              <w:left w:val="nil"/>
              <w:bottom w:val="nil"/>
              <w:right w:val="nil"/>
            </w:tcBorders>
          </w:tcPr>
          <w:p w14:paraId="2E0C6E28" w14:textId="34232E0B" w:rsidR="00651D1A" w:rsidRPr="00A7130E" w:rsidRDefault="00DC6A66"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333" w:type="dxa"/>
            <w:gridSpan w:val="2"/>
            <w:tcBorders>
              <w:top w:val="nil"/>
              <w:left w:val="nil"/>
              <w:bottom w:val="nil"/>
              <w:right w:val="nil"/>
            </w:tcBorders>
          </w:tcPr>
          <w:p w14:paraId="2DEACD79" w14:textId="22C4FE39"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333" w:type="dxa"/>
            <w:gridSpan w:val="2"/>
            <w:tcBorders>
              <w:top w:val="nil"/>
              <w:left w:val="nil"/>
              <w:bottom w:val="nil"/>
              <w:right w:val="nil"/>
            </w:tcBorders>
          </w:tcPr>
          <w:p w14:paraId="23D965BD" w14:textId="5924CC11"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222" w:type="dxa"/>
            <w:gridSpan w:val="2"/>
            <w:tcBorders>
              <w:top w:val="nil"/>
              <w:left w:val="nil"/>
              <w:bottom w:val="nil"/>
              <w:right w:val="nil"/>
            </w:tcBorders>
          </w:tcPr>
          <w:p w14:paraId="6620C1C6" w14:textId="59AFD547"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-0.0003</w:t>
            </w:r>
          </w:p>
        </w:tc>
      </w:tr>
      <w:tr w:rsidR="00651D1A" w:rsidRPr="00A7130E" w14:paraId="4EC75E2A" w14:textId="77777777" w:rsidTr="00F015DF">
        <w:trPr>
          <w:gridAfter w:val="1"/>
          <w:wAfter w:w="75" w:type="dxa"/>
          <w:trHeight w:val="362"/>
          <w:jc w:val="center"/>
        </w:trPr>
        <w:tc>
          <w:tcPr>
            <w:tcW w:w="1946" w:type="dxa"/>
            <w:gridSpan w:val="2"/>
            <w:tcBorders>
              <w:top w:val="nil"/>
              <w:left w:val="nil"/>
              <w:bottom w:val="nil"/>
              <w:right w:val="nil"/>
            </w:tcBorders>
          </w:tcPr>
          <w:p w14:paraId="29E4EAD5"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Target EPS</w:t>
            </w:r>
          </w:p>
        </w:tc>
        <w:tc>
          <w:tcPr>
            <w:tcW w:w="1222" w:type="dxa"/>
            <w:gridSpan w:val="2"/>
            <w:tcBorders>
              <w:top w:val="nil"/>
              <w:left w:val="nil"/>
              <w:bottom w:val="nil"/>
              <w:right w:val="nil"/>
            </w:tcBorders>
          </w:tcPr>
          <w:p w14:paraId="4E11A413"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-0.0005</w:t>
            </w:r>
          </w:p>
        </w:tc>
        <w:tc>
          <w:tcPr>
            <w:tcW w:w="1222" w:type="dxa"/>
            <w:gridSpan w:val="2"/>
            <w:tcBorders>
              <w:top w:val="nil"/>
              <w:left w:val="nil"/>
              <w:bottom w:val="nil"/>
              <w:right w:val="nil"/>
            </w:tcBorders>
          </w:tcPr>
          <w:p w14:paraId="15D05DAC"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-0.0007</w:t>
            </w:r>
          </w:p>
        </w:tc>
        <w:tc>
          <w:tcPr>
            <w:tcW w:w="1222" w:type="dxa"/>
            <w:gridSpan w:val="2"/>
            <w:tcBorders>
              <w:top w:val="nil"/>
              <w:left w:val="nil"/>
              <w:bottom w:val="nil"/>
              <w:right w:val="nil"/>
            </w:tcBorders>
          </w:tcPr>
          <w:p w14:paraId="75A6511E" w14:textId="4F001A03" w:rsidR="00651D1A" w:rsidRPr="00A7130E" w:rsidRDefault="00DC6A66"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-0.0010</w:t>
            </w:r>
          </w:p>
        </w:tc>
        <w:tc>
          <w:tcPr>
            <w:tcW w:w="1333" w:type="dxa"/>
            <w:gridSpan w:val="2"/>
            <w:tcBorders>
              <w:top w:val="nil"/>
              <w:left w:val="nil"/>
              <w:bottom w:val="nil"/>
              <w:right w:val="nil"/>
            </w:tcBorders>
          </w:tcPr>
          <w:p w14:paraId="0882F09A" w14:textId="5BFC3986"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0.0027</w:t>
            </w:r>
            <w:r w:rsidR="00651D1A" w:rsidRPr="00A7130E">
              <w:rPr>
                <w:rFonts w:ascii="Times New Roman" w:hAnsi="Times New Roman" w:cs="Times New Roman"/>
                <w:sz w:val="18"/>
                <w:szCs w:val="18"/>
              </w:rPr>
              <w:t>**</w:t>
            </w:r>
          </w:p>
        </w:tc>
        <w:tc>
          <w:tcPr>
            <w:tcW w:w="1333" w:type="dxa"/>
            <w:gridSpan w:val="2"/>
            <w:tcBorders>
              <w:top w:val="nil"/>
              <w:left w:val="nil"/>
              <w:bottom w:val="nil"/>
              <w:right w:val="nil"/>
            </w:tcBorders>
          </w:tcPr>
          <w:p w14:paraId="2254EB6F" w14:textId="14F928C0"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0.0026</w:t>
            </w:r>
            <w:r w:rsidR="00651D1A" w:rsidRPr="00A7130E">
              <w:rPr>
                <w:rFonts w:ascii="Times New Roman" w:hAnsi="Times New Roman" w:cs="Times New Roman"/>
                <w:sz w:val="18"/>
                <w:szCs w:val="18"/>
              </w:rPr>
              <w:t>**</w:t>
            </w:r>
          </w:p>
        </w:tc>
        <w:tc>
          <w:tcPr>
            <w:tcW w:w="1222" w:type="dxa"/>
            <w:gridSpan w:val="2"/>
            <w:tcBorders>
              <w:top w:val="nil"/>
              <w:left w:val="nil"/>
              <w:bottom w:val="nil"/>
              <w:right w:val="nil"/>
            </w:tcBorders>
          </w:tcPr>
          <w:p w14:paraId="2ED8D09A" w14:textId="182E4022"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0.0020</w:t>
            </w:r>
          </w:p>
        </w:tc>
      </w:tr>
      <w:tr w:rsidR="00651D1A" w:rsidRPr="00A7130E" w14:paraId="41A537D6" w14:textId="77777777" w:rsidTr="00F015DF">
        <w:trPr>
          <w:gridAfter w:val="1"/>
          <w:wAfter w:w="75" w:type="dxa"/>
          <w:trHeight w:val="362"/>
          <w:jc w:val="center"/>
        </w:trPr>
        <w:tc>
          <w:tcPr>
            <w:tcW w:w="1946" w:type="dxa"/>
            <w:gridSpan w:val="2"/>
            <w:tcBorders>
              <w:top w:val="nil"/>
              <w:left w:val="nil"/>
              <w:bottom w:val="nil"/>
              <w:right w:val="nil"/>
            </w:tcBorders>
          </w:tcPr>
          <w:p w14:paraId="51745044"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Assets growth rate</w:t>
            </w:r>
          </w:p>
        </w:tc>
        <w:tc>
          <w:tcPr>
            <w:tcW w:w="1222" w:type="dxa"/>
            <w:gridSpan w:val="2"/>
            <w:tcBorders>
              <w:top w:val="nil"/>
              <w:left w:val="nil"/>
              <w:bottom w:val="nil"/>
              <w:right w:val="nil"/>
            </w:tcBorders>
          </w:tcPr>
          <w:p w14:paraId="763826D4" w14:textId="023DD97F" w:rsidR="00651D1A" w:rsidRPr="00A7130E" w:rsidRDefault="005F0720"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 xml:space="preserve"> </w:t>
            </w:r>
            <w:r w:rsidR="00651D1A" w:rsidRPr="00A7130E">
              <w:rPr>
                <w:rFonts w:ascii="Times New Roman" w:hAnsi="Times New Roman" w:cs="Times New Roman"/>
                <w:sz w:val="18"/>
                <w:szCs w:val="18"/>
              </w:rPr>
              <w:t>0.0005**</w:t>
            </w:r>
          </w:p>
        </w:tc>
        <w:tc>
          <w:tcPr>
            <w:tcW w:w="1222" w:type="dxa"/>
            <w:gridSpan w:val="2"/>
            <w:tcBorders>
              <w:top w:val="nil"/>
              <w:left w:val="nil"/>
              <w:bottom w:val="nil"/>
              <w:right w:val="nil"/>
            </w:tcBorders>
          </w:tcPr>
          <w:p w14:paraId="633682F5" w14:textId="19CD8CA5" w:rsidR="00651D1A" w:rsidRPr="00A7130E" w:rsidRDefault="005F0720"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 xml:space="preserve"> </w:t>
            </w:r>
            <w:r w:rsidR="00651D1A" w:rsidRPr="00A7130E">
              <w:rPr>
                <w:rFonts w:ascii="Times New Roman" w:hAnsi="Times New Roman" w:cs="Times New Roman"/>
                <w:sz w:val="18"/>
                <w:szCs w:val="18"/>
              </w:rPr>
              <w:t>0.0006**</w:t>
            </w:r>
          </w:p>
        </w:tc>
        <w:tc>
          <w:tcPr>
            <w:tcW w:w="1222" w:type="dxa"/>
            <w:gridSpan w:val="2"/>
            <w:tcBorders>
              <w:top w:val="nil"/>
              <w:left w:val="nil"/>
              <w:bottom w:val="nil"/>
              <w:right w:val="nil"/>
            </w:tcBorders>
          </w:tcPr>
          <w:p w14:paraId="3D4AD93B" w14:textId="7D994F8F" w:rsidR="00651D1A" w:rsidRPr="00A7130E" w:rsidRDefault="005F0720"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 xml:space="preserve"> </w:t>
            </w:r>
            <w:r w:rsidR="00DC6A66" w:rsidRPr="00A7130E">
              <w:rPr>
                <w:rFonts w:ascii="Times New Roman" w:hAnsi="Times New Roman" w:cs="Times New Roman"/>
                <w:sz w:val="18"/>
                <w:szCs w:val="18"/>
              </w:rPr>
              <w:t>0.0006</w:t>
            </w:r>
            <w:r w:rsidR="00651D1A" w:rsidRPr="00A7130E">
              <w:rPr>
                <w:rFonts w:ascii="Times New Roman" w:hAnsi="Times New Roman" w:cs="Times New Roman"/>
                <w:sz w:val="18"/>
                <w:szCs w:val="18"/>
              </w:rPr>
              <w:t>**</w:t>
            </w:r>
          </w:p>
        </w:tc>
        <w:tc>
          <w:tcPr>
            <w:tcW w:w="1333" w:type="dxa"/>
            <w:gridSpan w:val="2"/>
            <w:tcBorders>
              <w:top w:val="nil"/>
              <w:left w:val="nil"/>
              <w:bottom w:val="nil"/>
              <w:right w:val="nil"/>
            </w:tcBorders>
          </w:tcPr>
          <w:p w14:paraId="7B7C794F" w14:textId="7D8E2BF0" w:rsidR="00651D1A" w:rsidRPr="00A7130E" w:rsidRDefault="005F0720"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 xml:space="preserve"> </w:t>
            </w:r>
            <w:r w:rsidR="00F015DF" w:rsidRPr="00A7130E">
              <w:rPr>
                <w:rFonts w:ascii="Times New Roman" w:hAnsi="Times New Roman" w:cs="Times New Roman"/>
                <w:sz w:val="18"/>
                <w:szCs w:val="18"/>
              </w:rPr>
              <w:t>0.0005</w:t>
            </w:r>
            <w:r w:rsidR="00651D1A" w:rsidRPr="00A7130E">
              <w:rPr>
                <w:rFonts w:ascii="Times New Roman" w:hAnsi="Times New Roman" w:cs="Times New Roman"/>
                <w:sz w:val="18"/>
                <w:szCs w:val="18"/>
              </w:rPr>
              <w:t>**</w:t>
            </w:r>
          </w:p>
        </w:tc>
        <w:tc>
          <w:tcPr>
            <w:tcW w:w="1333" w:type="dxa"/>
            <w:gridSpan w:val="2"/>
            <w:tcBorders>
              <w:top w:val="nil"/>
              <w:left w:val="nil"/>
              <w:bottom w:val="nil"/>
              <w:right w:val="nil"/>
            </w:tcBorders>
          </w:tcPr>
          <w:p w14:paraId="7146B379" w14:textId="5238944B" w:rsidR="00651D1A" w:rsidRPr="00A7130E" w:rsidRDefault="005F0720"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 xml:space="preserve"> </w:t>
            </w:r>
            <w:r w:rsidR="00F015DF" w:rsidRPr="00A7130E">
              <w:rPr>
                <w:rFonts w:ascii="Times New Roman" w:hAnsi="Times New Roman" w:cs="Times New Roman"/>
                <w:sz w:val="18"/>
                <w:szCs w:val="18"/>
              </w:rPr>
              <w:t>0.0006</w:t>
            </w:r>
            <w:r w:rsidR="00651D1A" w:rsidRPr="00A7130E">
              <w:rPr>
                <w:rFonts w:ascii="Times New Roman" w:hAnsi="Times New Roman" w:cs="Times New Roman"/>
                <w:sz w:val="18"/>
                <w:szCs w:val="18"/>
              </w:rPr>
              <w:t>**</w:t>
            </w:r>
          </w:p>
        </w:tc>
        <w:tc>
          <w:tcPr>
            <w:tcW w:w="1222" w:type="dxa"/>
            <w:gridSpan w:val="2"/>
            <w:tcBorders>
              <w:top w:val="nil"/>
              <w:left w:val="nil"/>
              <w:bottom w:val="nil"/>
              <w:right w:val="nil"/>
            </w:tcBorders>
          </w:tcPr>
          <w:p w14:paraId="406018D3" w14:textId="5F9DCFB2" w:rsidR="00651D1A" w:rsidRPr="00A7130E" w:rsidRDefault="005F0720"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 xml:space="preserve"> </w:t>
            </w:r>
            <w:r w:rsidR="00F015DF" w:rsidRPr="00A7130E">
              <w:rPr>
                <w:rFonts w:ascii="Times New Roman" w:hAnsi="Times New Roman" w:cs="Times New Roman"/>
                <w:sz w:val="18"/>
                <w:szCs w:val="18"/>
              </w:rPr>
              <w:t>0.0005</w:t>
            </w:r>
            <w:r w:rsidR="00651D1A" w:rsidRPr="00A7130E">
              <w:rPr>
                <w:rFonts w:ascii="Times New Roman" w:hAnsi="Times New Roman" w:cs="Times New Roman"/>
                <w:sz w:val="18"/>
                <w:szCs w:val="18"/>
              </w:rPr>
              <w:t>*</w:t>
            </w:r>
          </w:p>
        </w:tc>
      </w:tr>
      <w:tr w:rsidR="00696C1A" w:rsidRPr="00A7130E" w14:paraId="519CCEC2" w14:textId="77777777" w:rsidTr="00F015DF">
        <w:trPr>
          <w:gridAfter w:val="1"/>
          <w:wAfter w:w="75" w:type="dxa"/>
          <w:trHeight w:val="362"/>
          <w:jc w:val="center"/>
        </w:trPr>
        <w:tc>
          <w:tcPr>
            <w:tcW w:w="1946" w:type="dxa"/>
            <w:gridSpan w:val="2"/>
            <w:tcBorders>
              <w:top w:val="nil"/>
              <w:left w:val="nil"/>
              <w:bottom w:val="nil"/>
              <w:right w:val="nil"/>
            </w:tcBorders>
          </w:tcPr>
          <w:p w14:paraId="7A5BD6C5" w14:textId="77777777" w:rsidR="00696C1A" w:rsidRPr="00A7130E" w:rsidRDefault="00696C1A" w:rsidP="00696C1A">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EBIT growth rate</w:t>
            </w:r>
          </w:p>
        </w:tc>
        <w:tc>
          <w:tcPr>
            <w:tcW w:w="1222" w:type="dxa"/>
            <w:gridSpan w:val="2"/>
            <w:tcBorders>
              <w:top w:val="nil"/>
              <w:left w:val="nil"/>
              <w:bottom w:val="nil"/>
              <w:right w:val="nil"/>
            </w:tcBorders>
          </w:tcPr>
          <w:p w14:paraId="304B2F17" w14:textId="3167A6C6"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22" w:type="dxa"/>
            <w:gridSpan w:val="2"/>
            <w:tcBorders>
              <w:top w:val="nil"/>
              <w:left w:val="nil"/>
              <w:bottom w:val="nil"/>
              <w:right w:val="nil"/>
            </w:tcBorders>
          </w:tcPr>
          <w:p w14:paraId="4F5A5202" w14:textId="55C12AFC"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22" w:type="dxa"/>
            <w:gridSpan w:val="2"/>
            <w:tcBorders>
              <w:top w:val="nil"/>
              <w:left w:val="nil"/>
              <w:bottom w:val="nil"/>
              <w:right w:val="nil"/>
            </w:tcBorders>
          </w:tcPr>
          <w:p w14:paraId="5708E999" w14:textId="0F7838CE"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333" w:type="dxa"/>
            <w:gridSpan w:val="2"/>
            <w:tcBorders>
              <w:top w:val="nil"/>
              <w:left w:val="nil"/>
              <w:bottom w:val="nil"/>
              <w:right w:val="nil"/>
            </w:tcBorders>
          </w:tcPr>
          <w:p w14:paraId="0BF66861" w14:textId="3A7F098D"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333" w:type="dxa"/>
            <w:gridSpan w:val="2"/>
            <w:tcBorders>
              <w:top w:val="nil"/>
              <w:left w:val="nil"/>
              <w:bottom w:val="nil"/>
              <w:right w:val="nil"/>
            </w:tcBorders>
          </w:tcPr>
          <w:p w14:paraId="070F03E5" w14:textId="63BD455E"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22" w:type="dxa"/>
            <w:gridSpan w:val="2"/>
            <w:tcBorders>
              <w:top w:val="nil"/>
              <w:left w:val="nil"/>
              <w:bottom w:val="nil"/>
              <w:right w:val="nil"/>
            </w:tcBorders>
          </w:tcPr>
          <w:p w14:paraId="66151393" w14:textId="3DCD053C"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r>
      <w:tr w:rsidR="00696C1A" w:rsidRPr="00A7130E" w14:paraId="7851C7B2" w14:textId="77777777" w:rsidTr="00F015DF">
        <w:trPr>
          <w:gridAfter w:val="1"/>
          <w:wAfter w:w="75" w:type="dxa"/>
          <w:trHeight w:val="362"/>
          <w:jc w:val="center"/>
        </w:trPr>
        <w:tc>
          <w:tcPr>
            <w:tcW w:w="1946" w:type="dxa"/>
            <w:gridSpan w:val="2"/>
            <w:tcBorders>
              <w:top w:val="nil"/>
              <w:left w:val="nil"/>
              <w:bottom w:val="nil"/>
              <w:right w:val="nil"/>
            </w:tcBorders>
          </w:tcPr>
          <w:p w14:paraId="07B4D8F3" w14:textId="77777777" w:rsidR="00696C1A" w:rsidRPr="00A7130E" w:rsidRDefault="00696C1A" w:rsidP="00696C1A">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EPS growth rate</w:t>
            </w:r>
          </w:p>
        </w:tc>
        <w:tc>
          <w:tcPr>
            <w:tcW w:w="1222" w:type="dxa"/>
            <w:gridSpan w:val="2"/>
            <w:tcBorders>
              <w:top w:val="nil"/>
              <w:left w:val="nil"/>
              <w:bottom w:val="nil"/>
              <w:right w:val="nil"/>
            </w:tcBorders>
          </w:tcPr>
          <w:p w14:paraId="3FF3880B" w14:textId="77777777"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222" w:type="dxa"/>
            <w:gridSpan w:val="2"/>
            <w:tcBorders>
              <w:top w:val="nil"/>
              <w:left w:val="nil"/>
              <w:bottom w:val="nil"/>
              <w:right w:val="nil"/>
            </w:tcBorders>
          </w:tcPr>
          <w:p w14:paraId="7CB6D673" w14:textId="15696CAF"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222" w:type="dxa"/>
            <w:gridSpan w:val="2"/>
            <w:tcBorders>
              <w:top w:val="nil"/>
              <w:left w:val="nil"/>
              <w:bottom w:val="nil"/>
              <w:right w:val="nil"/>
            </w:tcBorders>
          </w:tcPr>
          <w:p w14:paraId="0D4DEC6C" w14:textId="00E0ACB0"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333" w:type="dxa"/>
            <w:gridSpan w:val="2"/>
            <w:tcBorders>
              <w:top w:val="nil"/>
              <w:left w:val="nil"/>
              <w:bottom w:val="nil"/>
              <w:right w:val="nil"/>
            </w:tcBorders>
          </w:tcPr>
          <w:p w14:paraId="01739B6B" w14:textId="6C1DC1C4"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333" w:type="dxa"/>
            <w:gridSpan w:val="2"/>
            <w:tcBorders>
              <w:top w:val="nil"/>
              <w:left w:val="nil"/>
              <w:bottom w:val="nil"/>
              <w:right w:val="nil"/>
            </w:tcBorders>
          </w:tcPr>
          <w:p w14:paraId="4B1E037B" w14:textId="460191BC"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222" w:type="dxa"/>
            <w:gridSpan w:val="2"/>
            <w:tcBorders>
              <w:top w:val="nil"/>
              <w:left w:val="nil"/>
              <w:bottom w:val="nil"/>
              <w:right w:val="nil"/>
            </w:tcBorders>
          </w:tcPr>
          <w:p w14:paraId="59785495" w14:textId="77777777"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-0.000174</w:t>
            </w:r>
          </w:p>
        </w:tc>
      </w:tr>
      <w:tr w:rsidR="00651D1A" w:rsidRPr="0057131F" w14:paraId="506F85AB" w14:textId="77777777" w:rsidTr="00F015DF">
        <w:trPr>
          <w:gridAfter w:val="1"/>
          <w:wAfter w:w="75" w:type="dxa"/>
          <w:trHeight w:val="362"/>
          <w:jc w:val="center"/>
        </w:trPr>
        <w:tc>
          <w:tcPr>
            <w:tcW w:w="1946" w:type="dxa"/>
            <w:gridSpan w:val="2"/>
            <w:tcBorders>
              <w:top w:val="nil"/>
              <w:left w:val="nil"/>
              <w:bottom w:val="nil"/>
              <w:right w:val="nil"/>
            </w:tcBorders>
          </w:tcPr>
          <w:p w14:paraId="7466E342" w14:textId="77777777" w:rsidR="00651D1A" w:rsidRPr="00A7130E" w:rsidRDefault="00651D1A" w:rsidP="00F015D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Related</w:t>
            </w:r>
          </w:p>
        </w:tc>
        <w:tc>
          <w:tcPr>
            <w:tcW w:w="1222" w:type="dxa"/>
            <w:gridSpan w:val="2"/>
            <w:tcBorders>
              <w:top w:val="nil"/>
              <w:left w:val="nil"/>
              <w:bottom w:val="nil"/>
              <w:right w:val="nil"/>
            </w:tcBorders>
          </w:tcPr>
          <w:p w14:paraId="2A2954E3"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0.0750**</w:t>
            </w:r>
          </w:p>
        </w:tc>
        <w:tc>
          <w:tcPr>
            <w:tcW w:w="1222" w:type="dxa"/>
            <w:gridSpan w:val="2"/>
            <w:tcBorders>
              <w:top w:val="nil"/>
              <w:left w:val="nil"/>
              <w:bottom w:val="nil"/>
              <w:right w:val="nil"/>
            </w:tcBorders>
          </w:tcPr>
          <w:p w14:paraId="0EAA5053" w14:textId="3BB442C8"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0.0684*</w:t>
            </w:r>
            <w:r w:rsidR="0057131F">
              <w:rPr>
                <w:rFonts w:ascii="Times New Roman" w:hAnsi="Times New Roman" w:cs="Times New Roman"/>
                <w:sz w:val="18"/>
                <w:szCs w:val="18"/>
              </w:rPr>
              <w:t>*</w:t>
            </w:r>
          </w:p>
        </w:tc>
        <w:tc>
          <w:tcPr>
            <w:tcW w:w="1222" w:type="dxa"/>
            <w:gridSpan w:val="2"/>
            <w:tcBorders>
              <w:top w:val="nil"/>
              <w:left w:val="nil"/>
              <w:bottom w:val="nil"/>
              <w:right w:val="nil"/>
            </w:tcBorders>
          </w:tcPr>
          <w:p w14:paraId="36D83B0C" w14:textId="06D7246D"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0.0575</w:t>
            </w:r>
            <w:r w:rsidR="0057131F">
              <w:rPr>
                <w:rFonts w:ascii="Times New Roman" w:hAnsi="Times New Roman" w:cs="Times New Roman"/>
                <w:sz w:val="18"/>
                <w:szCs w:val="18"/>
              </w:rPr>
              <w:t>*</w:t>
            </w:r>
          </w:p>
        </w:tc>
        <w:tc>
          <w:tcPr>
            <w:tcW w:w="1333" w:type="dxa"/>
            <w:gridSpan w:val="2"/>
            <w:tcBorders>
              <w:top w:val="nil"/>
              <w:left w:val="nil"/>
              <w:bottom w:val="nil"/>
              <w:right w:val="nil"/>
            </w:tcBorders>
          </w:tcPr>
          <w:p w14:paraId="205E0C5C" w14:textId="6388ED70" w:rsidR="00651D1A" w:rsidRPr="00A7130E" w:rsidRDefault="00F015DF"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-0.0041</w:t>
            </w:r>
          </w:p>
        </w:tc>
        <w:tc>
          <w:tcPr>
            <w:tcW w:w="1333" w:type="dxa"/>
            <w:gridSpan w:val="2"/>
            <w:tcBorders>
              <w:top w:val="nil"/>
              <w:left w:val="nil"/>
              <w:bottom w:val="nil"/>
              <w:right w:val="nil"/>
            </w:tcBorders>
          </w:tcPr>
          <w:p w14:paraId="530CE675"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-0.0245</w:t>
            </w:r>
          </w:p>
        </w:tc>
        <w:tc>
          <w:tcPr>
            <w:tcW w:w="1222" w:type="dxa"/>
            <w:gridSpan w:val="2"/>
            <w:tcBorders>
              <w:top w:val="nil"/>
              <w:left w:val="nil"/>
              <w:bottom w:val="nil"/>
              <w:right w:val="nil"/>
            </w:tcBorders>
          </w:tcPr>
          <w:p w14:paraId="30F209D2" w14:textId="77777777" w:rsidR="00651D1A" w:rsidRPr="00A7130E" w:rsidRDefault="00651D1A" w:rsidP="00F015DF">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-0.0300</w:t>
            </w:r>
          </w:p>
        </w:tc>
      </w:tr>
      <w:tr w:rsidR="00F1552D" w:rsidRPr="0057131F" w14:paraId="43777CF7" w14:textId="77777777" w:rsidTr="00F015DF">
        <w:trPr>
          <w:gridAfter w:val="1"/>
          <w:wAfter w:w="75" w:type="dxa"/>
          <w:trHeight w:val="362"/>
          <w:jc w:val="center"/>
        </w:trPr>
        <w:tc>
          <w:tcPr>
            <w:tcW w:w="1946" w:type="dxa"/>
            <w:gridSpan w:val="2"/>
            <w:tcBorders>
              <w:top w:val="nil"/>
              <w:left w:val="nil"/>
              <w:bottom w:val="nil"/>
              <w:right w:val="nil"/>
            </w:tcBorders>
          </w:tcPr>
          <w:p w14:paraId="6167DCCB" w14:textId="77777777" w:rsidR="00F1552D" w:rsidRPr="00A7130E" w:rsidRDefault="00F1552D" w:rsidP="00F1552D">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Hostile </w:t>
            </w:r>
          </w:p>
          <w:p w14:paraId="688E3242" w14:textId="77777777" w:rsidR="00F1552D" w:rsidRPr="00A7130E" w:rsidRDefault="00F1552D" w:rsidP="00F1552D">
            <w:pPr>
              <w:widowControl w:val="0"/>
              <w:autoSpaceDE w:val="0"/>
              <w:autoSpaceDN w:val="0"/>
              <w:adjustRightInd w:val="0"/>
              <w:spacing w:after="0" w:line="240" w:lineRule="auto"/>
              <w:rPr>
                <w:rFonts w:ascii="Times New Roman" w:hAnsi="Times New Roman" w:cs="Times New Roman"/>
                <w:sz w:val="18"/>
                <w:szCs w:val="18"/>
              </w:rPr>
            </w:pPr>
          </w:p>
        </w:tc>
        <w:tc>
          <w:tcPr>
            <w:tcW w:w="1222" w:type="dxa"/>
            <w:gridSpan w:val="2"/>
            <w:tcBorders>
              <w:top w:val="nil"/>
              <w:left w:val="nil"/>
              <w:bottom w:val="nil"/>
              <w:right w:val="nil"/>
            </w:tcBorders>
          </w:tcPr>
          <w:p w14:paraId="322AF800" w14:textId="2B459D12" w:rsidR="00F1552D" w:rsidRPr="00A7130E" w:rsidRDefault="00F1552D" w:rsidP="00F1552D">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0.0408</w:t>
            </w:r>
          </w:p>
        </w:tc>
        <w:tc>
          <w:tcPr>
            <w:tcW w:w="1222" w:type="dxa"/>
            <w:gridSpan w:val="2"/>
            <w:tcBorders>
              <w:top w:val="nil"/>
              <w:left w:val="nil"/>
              <w:bottom w:val="nil"/>
              <w:right w:val="nil"/>
            </w:tcBorders>
          </w:tcPr>
          <w:p w14:paraId="3578F2AA" w14:textId="3F8AC260" w:rsidR="00F1552D" w:rsidRPr="00A7130E" w:rsidRDefault="00F1552D" w:rsidP="00F1552D">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0.0405</w:t>
            </w:r>
          </w:p>
        </w:tc>
        <w:tc>
          <w:tcPr>
            <w:tcW w:w="1222" w:type="dxa"/>
            <w:gridSpan w:val="2"/>
            <w:tcBorders>
              <w:top w:val="nil"/>
              <w:left w:val="nil"/>
              <w:bottom w:val="nil"/>
              <w:right w:val="nil"/>
            </w:tcBorders>
          </w:tcPr>
          <w:p w14:paraId="7C02355A" w14:textId="1432445C" w:rsidR="00F1552D" w:rsidRPr="00A7130E" w:rsidRDefault="00F1552D" w:rsidP="00F1552D">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0.0398</w:t>
            </w:r>
          </w:p>
        </w:tc>
        <w:tc>
          <w:tcPr>
            <w:tcW w:w="1333" w:type="dxa"/>
            <w:gridSpan w:val="2"/>
            <w:tcBorders>
              <w:top w:val="nil"/>
              <w:left w:val="nil"/>
              <w:bottom w:val="nil"/>
              <w:right w:val="nil"/>
            </w:tcBorders>
          </w:tcPr>
          <w:p w14:paraId="7BC5B67A" w14:textId="17296A7C" w:rsidR="00F1552D" w:rsidRPr="00A7130E" w:rsidRDefault="00F1552D" w:rsidP="00F1552D">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0.0172</w:t>
            </w:r>
          </w:p>
        </w:tc>
        <w:tc>
          <w:tcPr>
            <w:tcW w:w="1333" w:type="dxa"/>
            <w:gridSpan w:val="2"/>
            <w:tcBorders>
              <w:top w:val="nil"/>
              <w:left w:val="nil"/>
              <w:bottom w:val="nil"/>
              <w:right w:val="nil"/>
            </w:tcBorders>
          </w:tcPr>
          <w:p w14:paraId="6AF65F07" w14:textId="77389734" w:rsidR="00F1552D" w:rsidRPr="00A7130E" w:rsidRDefault="00F1552D" w:rsidP="00F1552D">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0.0274</w:t>
            </w:r>
          </w:p>
        </w:tc>
        <w:tc>
          <w:tcPr>
            <w:tcW w:w="1222" w:type="dxa"/>
            <w:gridSpan w:val="2"/>
            <w:tcBorders>
              <w:top w:val="nil"/>
              <w:left w:val="nil"/>
              <w:bottom w:val="nil"/>
              <w:right w:val="nil"/>
            </w:tcBorders>
          </w:tcPr>
          <w:p w14:paraId="08A8815D" w14:textId="14A0ED59" w:rsidR="00F1552D" w:rsidRPr="00A7130E" w:rsidRDefault="00F1552D" w:rsidP="00F1552D">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0.0334</w:t>
            </w:r>
          </w:p>
        </w:tc>
      </w:tr>
      <w:tr w:rsidR="0057131F" w:rsidRPr="0057131F" w14:paraId="34BE7775" w14:textId="77777777" w:rsidTr="00F015DF">
        <w:trPr>
          <w:gridAfter w:val="1"/>
          <w:wAfter w:w="75" w:type="dxa"/>
          <w:trHeight w:val="362"/>
          <w:jc w:val="center"/>
        </w:trPr>
        <w:tc>
          <w:tcPr>
            <w:tcW w:w="1946" w:type="dxa"/>
            <w:gridSpan w:val="2"/>
            <w:tcBorders>
              <w:top w:val="nil"/>
              <w:left w:val="nil"/>
              <w:bottom w:val="nil"/>
              <w:right w:val="nil"/>
            </w:tcBorders>
          </w:tcPr>
          <w:p w14:paraId="5A01E1B3" w14:textId="77777777" w:rsidR="0057131F" w:rsidRPr="00A7130E" w:rsidRDefault="0057131F" w:rsidP="0057131F">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Consumer Products</w:t>
            </w:r>
          </w:p>
        </w:tc>
        <w:tc>
          <w:tcPr>
            <w:tcW w:w="1222" w:type="dxa"/>
            <w:gridSpan w:val="2"/>
            <w:tcBorders>
              <w:top w:val="nil"/>
              <w:left w:val="nil"/>
              <w:bottom w:val="nil"/>
              <w:right w:val="nil"/>
            </w:tcBorders>
          </w:tcPr>
          <w:p w14:paraId="153C854B" w14:textId="77777777" w:rsidR="0057131F" w:rsidRPr="00A7130E" w:rsidRDefault="0057131F" w:rsidP="0057131F">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4DD24BFD" w14:textId="6E516837" w:rsidR="0057131F" w:rsidRPr="00A7130E" w:rsidRDefault="0057131F" w:rsidP="0057131F">
            <w:pPr>
              <w:widowControl w:val="0"/>
              <w:autoSpaceDE w:val="0"/>
              <w:autoSpaceDN w:val="0"/>
              <w:adjustRightInd w:val="0"/>
              <w:spacing w:after="0" w:line="240" w:lineRule="auto"/>
              <w:jc w:val="center"/>
              <w:rPr>
                <w:rFonts w:ascii="Times New Roman" w:hAnsi="Times New Roman" w:cs="Times New Roman"/>
                <w:sz w:val="18"/>
                <w:szCs w:val="18"/>
              </w:rPr>
            </w:pPr>
            <w:r w:rsidRPr="0057131F">
              <w:rPr>
                <w:rFonts w:ascii="Times New Roman" w:hAnsi="Times New Roman" w:cs="Times New Roman"/>
                <w:sz w:val="18"/>
                <w:szCs w:val="18"/>
              </w:rPr>
              <w:t>-0.00550</w:t>
            </w:r>
          </w:p>
        </w:tc>
        <w:tc>
          <w:tcPr>
            <w:tcW w:w="1222" w:type="dxa"/>
            <w:gridSpan w:val="2"/>
            <w:tcBorders>
              <w:top w:val="nil"/>
              <w:left w:val="nil"/>
              <w:bottom w:val="nil"/>
              <w:right w:val="nil"/>
            </w:tcBorders>
          </w:tcPr>
          <w:p w14:paraId="17B9F62A" w14:textId="696A028B" w:rsidR="0057131F" w:rsidRPr="00A7130E" w:rsidRDefault="0057131F" w:rsidP="0057131F">
            <w:pPr>
              <w:widowControl w:val="0"/>
              <w:autoSpaceDE w:val="0"/>
              <w:autoSpaceDN w:val="0"/>
              <w:adjustRightInd w:val="0"/>
              <w:spacing w:after="0" w:line="240" w:lineRule="auto"/>
              <w:jc w:val="center"/>
              <w:rPr>
                <w:rFonts w:ascii="Times New Roman" w:hAnsi="Times New Roman" w:cs="Times New Roman"/>
                <w:sz w:val="18"/>
                <w:szCs w:val="18"/>
              </w:rPr>
            </w:pPr>
            <w:r w:rsidRPr="0057131F">
              <w:rPr>
                <w:rFonts w:ascii="Times New Roman" w:hAnsi="Times New Roman" w:cs="Times New Roman"/>
                <w:sz w:val="18"/>
                <w:szCs w:val="18"/>
              </w:rPr>
              <w:t>0.0711</w:t>
            </w:r>
          </w:p>
        </w:tc>
        <w:tc>
          <w:tcPr>
            <w:tcW w:w="1333" w:type="dxa"/>
            <w:gridSpan w:val="2"/>
            <w:tcBorders>
              <w:top w:val="nil"/>
              <w:left w:val="nil"/>
              <w:bottom w:val="nil"/>
              <w:right w:val="nil"/>
            </w:tcBorders>
          </w:tcPr>
          <w:p w14:paraId="54256726" w14:textId="77777777" w:rsidR="0057131F" w:rsidRPr="00A7130E" w:rsidRDefault="0057131F" w:rsidP="0057131F">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39F2F7FE" w14:textId="7D918962" w:rsidR="0057131F" w:rsidRPr="00A7130E" w:rsidRDefault="0057131F" w:rsidP="0057131F">
            <w:pPr>
              <w:widowControl w:val="0"/>
              <w:autoSpaceDE w:val="0"/>
              <w:autoSpaceDN w:val="0"/>
              <w:adjustRightInd w:val="0"/>
              <w:spacing w:after="0" w:line="240" w:lineRule="auto"/>
              <w:jc w:val="center"/>
              <w:rPr>
                <w:rFonts w:ascii="Times New Roman" w:hAnsi="Times New Roman" w:cs="Times New Roman"/>
                <w:sz w:val="18"/>
                <w:szCs w:val="18"/>
              </w:rPr>
            </w:pPr>
            <w:r w:rsidRPr="0057131F">
              <w:rPr>
                <w:rFonts w:ascii="Times New Roman" w:hAnsi="Times New Roman" w:cs="Times New Roman"/>
                <w:sz w:val="18"/>
                <w:szCs w:val="18"/>
              </w:rPr>
              <w:t>0.186</w:t>
            </w:r>
          </w:p>
        </w:tc>
        <w:tc>
          <w:tcPr>
            <w:tcW w:w="1222" w:type="dxa"/>
            <w:gridSpan w:val="2"/>
            <w:tcBorders>
              <w:top w:val="nil"/>
              <w:left w:val="nil"/>
              <w:bottom w:val="nil"/>
              <w:right w:val="nil"/>
            </w:tcBorders>
          </w:tcPr>
          <w:p w14:paraId="3920A749" w14:textId="4F47C3E6" w:rsidR="0057131F" w:rsidRPr="00A7130E" w:rsidRDefault="0057131F" w:rsidP="0057131F">
            <w:pPr>
              <w:widowControl w:val="0"/>
              <w:autoSpaceDE w:val="0"/>
              <w:autoSpaceDN w:val="0"/>
              <w:adjustRightInd w:val="0"/>
              <w:spacing w:after="0" w:line="240" w:lineRule="auto"/>
              <w:jc w:val="center"/>
              <w:rPr>
                <w:rFonts w:ascii="Times New Roman" w:hAnsi="Times New Roman" w:cs="Times New Roman"/>
                <w:sz w:val="18"/>
                <w:szCs w:val="18"/>
              </w:rPr>
            </w:pPr>
            <w:r w:rsidRPr="0057131F">
              <w:rPr>
                <w:rFonts w:ascii="Times New Roman" w:hAnsi="Times New Roman" w:cs="Times New Roman"/>
                <w:sz w:val="18"/>
                <w:szCs w:val="18"/>
              </w:rPr>
              <w:t>0.0587</w:t>
            </w:r>
          </w:p>
        </w:tc>
      </w:tr>
      <w:tr w:rsidR="00C73B74" w:rsidRPr="00A7130E" w14:paraId="67FD559F" w14:textId="77777777" w:rsidTr="00F015DF">
        <w:trPr>
          <w:gridAfter w:val="1"/>
          <w:wAfter w:w="75" w:type="dxa"/>
          <w:trHeight w:val="362"/>
          <w:jc w:val="center"/>
        </w:trPr>
        <w:tc>
          <w:tcPr>
            <w:tcW w:w="1946" w:type="dxa"/>
            <w:gridSpan w:val="2"/>
            <w:tcBorders>
              <w:top w:val="nil"/>
              <w:left w:val="nil"/>
              <w:bottom w:val="nil"/>
              <w:right w:val="nil"/>
            </w:tcBorders>
          </w:tcPr>
          <w:p w14:paraId="09F9987A"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Consumer Staples</w:t>
            </w:r>
          </w:p>
        </w:tc>
        <w:tc>
          <w:tcPr>
            <w:tcW w:w="1222" w:type="dxa"/>
            <w:gridSpan w:val="2"/>
            <w:tcBorders>
              <w:top w:val="nil"/>
              <w:left w:val="nil"/>
              <w:bottom w:val="nil"/>
              <w:right w:val="nil"/>
            </w:tcBorders>
          </w:tcPr>
          <w:p w14:paraId="475B330C"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10C22C14" w14:textId="6AB2C056"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0.0195</w:t>
            </w:r>
          </w:p>
        </w:tc>
        <w:tc>
          <w:tcPr>
            <w:tcW w:w="1222" w:type="dxa"/>
            <w:gridSpan w:val="2"/>
            <w:tcBorders>
              <w:top w:val="nil"/>
              <w:left w:val="nil"/>
              <w:bottom w:val="nil"/>
              <w:right w:val="nil"/>
            </w:tcBorders>
          </w:tcPr>
          <w:p w14:paraId="0421B125" w14:textId="449034CA"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0.115</w:t>
            </w:r>
          </w:p>
        </w:tc>
        <w:tc>
          <w:tcPr>
            <w:tcW w:w="1333" w:type="dxa"/>
            <w:gridSpan w:val="2"/>
            <w:tcBorders>
              <w:top w:val="nil"/>
              <w:left w:val="nil"/>
              <w:bottom w:val="nil"/>
              <w:right w:val="nil"/>
            </w:tcBorders>
          </w:tcPr>
          <w:p w14:paraId="1B957C8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50D8428E" w14:textId="7A6BF70E"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0.299**</w:t>
            </w:r>
          </w:p>
        </w:tc>
        <w:tc>
          <w:tcPr>
            <w:tcW w:w="1222" w:type="dxa"/>
            <w:gridSpan w:val="2"/>
            <w:tcBorders>
              <w:top w:val="nil"/>
              <w:left w:val="nil"/>
              <w:bottom w:val="nil"/>
              <w:right w:val="nil"/>
            </w:tcBorders>
          </w:tcPr>
          <w:p w14:paraId="137E1BCD" w14:textId="4756501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0.188</w:t>
            </w:r>
          </w:p>
        </w:tc>
      </w:tr>
      <w:tr w:rsidR="00C73B74" w:rsidRPr="00A7130E" w14:paraId="132071ED" w14:textId="77777777" w:rsidTr="00F015DF">
        <w:trPr>
          <w:gridAfter w:val="1"/>
          <w:wAfter w:w="75" w:type="dxa"/>
          <w:trHeight w:val="362"/>
          <w:jc w:val="center"/>
        </w:trPr>
        <w:tc>
          <w:tcPr>
            <w:tcW w:w="1946" w:type="dxa"/>
            <w:gridSpan w:val="2"/>
            <w:tcBorders>
              <w:top w:val="nil"/>
              <w:left w:val="nil"/>
              <w:bottom w:val="nil"/>
              <w:right w:val="nil"/>
            </w:tcBorders>
          </w:tcPr>
          <w:p w14:paraId="7CCA9FE8"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Energy &amp; Power</w:t>
            </w:r>
          </w:p>
        </w:tc>
        <w:tc>
          <w:tcPr>
            <w:tcW w:w="1222" w:type="dxa"/>
            <w:gridSpan w:val="2"/>
            <w:tcBorders>
              <w:top w:val="nil"/>
              <w:left w:val="nil"/>
              <w:bottom w:val="nil"/>
              <w:right w:val="nil"/>
            </w:tcBorders>
          </w:tcPr>
          <w:p w14:paraId="04657DB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4495C29B" w14:textId="301EA598"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-0.0182</w:t>
            </w:r>
          </w:p>
        </w:tc>
        <w:tc>
          <w:tcPr>
            <w:tcW w:w="1222" w:type="dxa"/>
            <w:gridSpan w:val="2"/>
            <w:tcBorders>
              <w:top w:val="nil"/>
              <w:left w:val="nil"/>
              <w:bottom w:val="nil"/>
              <w:right w:val="nil"/>
            </w:tcBorders>
          </w:tcPr>
          <w:p w14:paraId="40579351" w14:textId="4387DDF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0.0537</w:t>
            </w:r>
          </w:p>
        </w:tc>
        <w:tc>
          <w:tcPr>
            <w:tcW w:w="1333" w:type="dxa"/>
            <w:gridSpan w:val="2"/>
            <w:tcBorders>
              <w:top w:val="nil"/>
              <w:left w:val="nil"/>
              <w:bottom w:val="nil"/>
              <w:right w:val="nil"/>
            </w:tcBorders>
          </w:tcPr>
          <w:p w14:paraId="7ABB708D"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03D9C12B" w14:textId="4E5B340E"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0.164</w:t>
            </w:r>
          </w:p>
        </w:tc>
        <w:tc>
          <w:tcPr>
            <w:tcW w:w="1222" w:type="dxa"/>
            <w:gridSpan w:val="2"/>
            <w:tcBorders>
              <w:top w:val="nil"/>
              <w:left w:val="nil"/>
              <w:bottom w:val="nil"/>
              <w:right w:val="nil"/>
            </w:tcBorders>
          </w:tcPr>
          <w:p w14:paraId="53D4507B" w14:textId="515013D3"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-0.00466</w:t>
            </w:r>
          </w:p>
        </w:tc>
      </w:tr>
    </w:tbl>
    <w:p w14:paraId="53510C68" w14:textId="77777777" w:rsidR="008C0428" w:rsidRDefault="008C0428" w:rsidP="0024206F">
      <w:pPr>
        <w:spacing w:after="0" w:line="360" w:lineRule="auto"/>
        <w:jc w:val="center"/>
        <w:rPr>
          <w:rFonts w:ascii="Times New Roman" w:hAnsi="Times New Roman" w:cs="Times New Roman"/>
          <w:sz w:val="20"/>
          <w:szCs w:val="20"/>
        </w:rPr>
      </w:pPr>
    </w:p>
    <w:p w14:paraId="2E5DD2BF" w14:textId="77777777" w:rsidR="00B85E24" w:rsidRDefault="00B85E24" w:rsidP="0024206F">
      <w:pPr>
        <w:spacing w:after="0" w:line="360" w:lineRule="auto"/>
        <w:jc w:val="center"/>
        <w:rPr>
          <w:rFonts w:ascii="Times New Roman" w:hAnsi="Times New Roman" w:cs="Times New Roman"/>
          <w:sz w:val="20"/>
          <w:szCs w:val="20"/>
        </w:rPr>
      </w:pPr>
    </w:p>
    <w:p w14:paraId="26AFB907" w14:textId="0ED6F884" w:rsidR="0024206F" w:rsidRPr="00C03199" w:rsidRDefault="0024206F" w:rsidP="0024206F">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Table 5</w:t>
      </w:r>
    </w:p>
    <w:p w14:paraId="3E5A0B7F" w14:textId="77777777" w:rsidR="0024206F" w:rsidRPr="00C03199" w:rsidRDefault="0024206F" w:rsidP="0024206F">
      <w:pPr>
        <w:spacing w:after="0" w:line="360" w:lineRule="auto"/>
        <w:jc w:val="center"/>
        <w:rPr>
          <w:rFonts w:ascii="Times New Roman" w:hAnsi="Times New Roman" w:cs="Times New Roman"/>
          <w:sz w:val="20"/>
          <w:szCs w:val="20"/>
        </w:rPr>
      </w:pPr>
      <w:r w:rsidRPr="00C03199">
        <w:rPr>
          <w:rFonts w:ascii="Times New Roman" w:hAnsi="Times New Roman" w:cs="Times New Roman"/>
          <w:sz w:val="20"/>
          <w:szCs w:val="20"/>
        </w:rPr>
        <w:t>Continued.</w:t>
      </w:r>
    </w:p>
    <w:p w14:paraId="1F77EBB1" w14:textId="77777777" w:rsidR="0024206F" w:rsidRPr="00C03199" w:rsidRDefault="0024206F" w:rsidP="0024206F">
      <w:pPr>
        <w:spacing w:after="0" w:line="360" w:lineRule="auto"/>
        <w:jc w:val="both"/>
        <w:rPr>
          <w:rFonts w:ascii="Times New Roman" w:hAnsi="Times New Roman" w:cs="Times New Roman"/>
          <w:noProof/>
          <w:sz w:val="20"/>
          <w:szCs w:val="20"/>
        </w:rPr>
      </w:pPr>
      <w:r w:rsidRPr="00C03199">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36569ABC" wp14:editId="337AFA16">
                <wp:simplePos x="0" y="0"/>
                <wp:positionH relativeFrom="margin">
                  <wp:align>left</wp:align>
                </wp:positionH>
                <wp:positionV relativeFrom="paragraph">
                  <wp:posOffset>46879</wp:posOffset>
                </wp:positionV>
                <wp:extent cx="5788550" cy="0"/>
                <wp:effectExtent l="0" t="0" r="22225" b="19050"/>
                <wp:wrapNone/>
                <wp:docPr id="6" name="Straight Connector 6"/>
                <wp:cNvGraphicFramePr/>
                <a:graphic xmlns:a="http://schemas.openxmlformats.org/drawingml/2006/main">
                  <a:graphicData uri="http://schemas.microsoft.com/office/word/2010/wordprocessingShape">
                    <wps:wsp>
                      <wps:cNvCnPr/>
                      <wps:spPr>
                        <a:xfrm>
                          <a:off x="0" y="0"/>
                          <a:ext cx="5788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1DA2A" id="Straight Connector 6" o:spid="_x0000_s1026" style="position:absolute;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pt" to="455.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zQEAAPcDAAAOAAAAZHJzL2Uyb0RvYy54bWysU8GO2yAQvVfqPyDujZ2VkkZWnD1ktb1U&#10;bdRtP4DFEKMCgwYaO3/fASfOaltVVdUL9sC8N/Mew/Z+dJadFEYDvuXLRc2Z8hI6448t//b18d2G&#10;s5iE74QFr1p+VpHf796+2Q6hUXfQg+0UMiLxsRlCy/uUQlNVUfbKibiAoDwdakAnEoV4rDoUA7E7&#10;W93V9boaALuAIFWMtPswHfJd4ddayfRZ66gSsy2n3lJZsazPea12W9EcUYTeyEsb4h+6cMJ4KjpT&#10;PYgk2A80v1A5IxEi6LSQ4CrQ2khVNJCaZf1KzVMvgipayJwYZpvi/6OVn04HZKZr+ZozLxxd0VNC&#10;YY59YnvwngwEZOvs0xBiQ+l7f8BLFMMBs+hRo8tfksPG4u159laNiUnaXL3fbFYrugJ5PatuwIAx&#10;fVDgWP5puTU+yxaNOH2MiYpR6jUlb1uf1wjWdI/G2hLkgVF7i+wk6KrTuMwtE+5FFkUZWWUhU+vl&#10;L52tmli/KE1WULPLUr0M4Y2z+37ltJ4yM0RT9RlU/xl0yc0wVQbzb4FzdqkIPs1AZzzg76re5Osp&#10;/6p60pplP0N3LhdZ7KDpKm5dXkIe35dxgd/e6+4nAAAA//8DAFBLAwQUAAYACAAAACEAdrAqjtsA&#10;AAAEAQAADwAAAGRycy9kb3ducmV2LnhtbEyPzU7DMBCE70i8g7VIXFDrhJ8AIU6FIvXCAYkGVT26&#10;8TaOiNdR7Dbp27NwgeNoRjPfFKvZ9eKEY+g8KUiXCQikxpuOWgWf9XrxBCJETUb3nlDBGQOsysuL&#10;QufGT/SBp01sBZdQyLUCG+OQSxkai06HpR+Q2Dv40enIcmylGfXE5a6Xt0mSSac74gWrB6wsNl+b&#10;o1Owa2/u1tua6qmK74fMzuft20Ol1PXV/PoCIuIc/8Lwg8/oUDLT3h/JBNEr4CNRweM9CDaf0zQD&#10;sf/Vsizkf/jyGwAA//8DAFBLAQItABQABgAIAAAAIQC2gziS/gAAAOEBAAATAAAAAAAAAAAAAAAA&#10;AAAAAABbQ29udGVudF9UeXBlc10ueG1sUEsBAi0AFAAGAAgAAAAhADj9If/WAAAAlAEAAAsAAAAA&#10;AAAAAAAAAAAALwEAAF9yZWxzLy5yZWxzUEsBAi0AFAAGAAgAAAAhAF+IL77NAQAA9wMAAA4AAAAA&#10;AAAAAAAAAAAALgIAAGRycy9lMm9Eb2MueG1sUEsBAi0AFAAGAAgAAAAhAHawKo7bAAAABAEAAA8A&#10;AAAAAAAAAAAAAAAAJwQAAGRycy9kb3ducmV2LnhtbFBLBQYAAAAABAAEAPMAAAAvBQAAAAA=&#10;" strokecolor="black [3213]" strokeweight=".5pt">
                <v:stroke joinstyle="miter"/>
                <w10:wrap anchorx="margin"/>
              </v:line>
            </w:pict>
          </mc:Fallback>
        </mc:AlternateContent>
      </w:r>
      <w:r w:rsidRPr="00C03199">
        <w:rPr>
          <w:rFonts w:ascii="Times New Roman" w:hAnsi="Times New Roman" w:cs="Times New Roman"/>
        </w:rPr>
        <w:tab/>
      </w:r>
    </w:p>
    <w:tbl>
      <w:tblPr>
        <w:tblW w:w="9112" w:type="dxa"/>
        <w:tblLayout w:type="fixed"/>
        <w:tblCellMar>
          <w:left w:w="75" w:type="dxa"/>
          <w:right w:w="75" w:type="dxa"/>
        </w:tblCellMar>
        <w:tblLook w:val="0000" w:firstRow="0" w:lastRow="0" w:firstColumn="0" w:lastColumn="0" w:noHBand="0" w:noVBand="0"/>
      </w:tblPr>
      <w:tblGrid>
        <w:gridCol w:w="1912"/>
        <w:gridCol w:w="1200"/>
        <w:gridCol w:w="1200"/>
        <w:gridCol w:w="1200"/>
        <w:gridCol w:w="1200"/>
        <w:gridCol w:w="1200"/>
        <w:gridCol w:w="1200"/>
      </w:tblGrid>
      <w:tr w:rsidR="0024206F" w:rsidRPr="00C03199" w14:paraId="77108ED0" w14:textId="77777777" w:rsidTr="009352DA">
        <w:trPr>
          <w:trHeight w:val="273"/>
        </w:trPr>
        <w:tc>
          <w:tcPr>
            <w:tcW w:w="1912" w:type="dxa"/>
            <w:tcBorders>
              <w:top w:val="nil"/>
              <w:left w:val="nil"/>
              <w:bottom w:val="nil"/>
              <w:right w:val="nil"/>
            </w:tcBorders>
          </w:tcPr>
          <w:p w14:paraId="5699B5FF"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Event window</w:t>
            </w:r>
          </w:p>
        </w:tc>
        <w:tc>
          <w:tcPr>
            <w:tcW w:w="1200" w:type="dxa"/>
            <w:tcBorders>
              <w:top w:val="nil"/>
              <w:left w:val="nil"/>
              <w:bottom w:val="nil"/>
              <w:right w:val="nil"/>
            </w:tcBorders>
          </w:tcPr>
          <w:p w14:paraId="61E7E987"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18F6BD7B"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4CCFDE91"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5D9A3412"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 +5</w:t>
            </w:r>
          </w:p>
        </w:tc>
        <w:tc>
          <w:tcPr>
            <w:tcW w:w="1200" w:type="dxa"/>
            <w:tcBorders>
              <w:top w:val="nil"/>
              <w:left w:val="nil"/>
              <w:bottom w:val="nil"/>
              <w:right w:val="nil"/>
            </w:tcBorders>
          </w:tcPr>
          <w:p w14:paraId="7FCC76BE"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c>
          <w:tcPr>
            <w:tcW w:w="1200" w:type="dxa"/>
            <w:tcBorders>
              <w:top w:val="nil"/>
              <w:left w:val="nil"/>
              <w:bottom w:val="nil"/>
              <w:right w:val="nil"/>
            </w:tcBorders>
          </w:tcPr>
          <w:p w14:paraId="61F45FEA"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r>
      <w:tr w:rsidR="0024206F" w:rsidRPr="00C03199" w14:paraId="7954693F" w14:textId="77777777" w:rsidTr="009352DA">
        <w:trPr>
          <w:trHeight w:val="273"/>
        </w:trPr>
        <w:tc>
          <w:tcPr>
            <w:tcW w:w="1912" w:type="dxa"/>
            <w:tcBorders>
              <w:top w:val="nil"/>
              <w:left w:val="nil"/>
              <w:bottom w:val="single" w:sz="6" w:space="0" w:color="auto"/>
              <w:right w:val="nil"/>
            </w:tcBorders>
          </w:tcPr>
          <w:p w14:paraId="5143B69A"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p>
        </w:tc>
        <w:tc>
          <w:tcPr>
            <w:tcW w:w="1200" w:type="dxa"/>
            <w:tcBorders>
              <w:top w:val="nil"/>
              <w:left w:val="nil"/>
              <w:bottom w:val="single" w:sz="6" w:space="0" w:color="auto"/>
              <w:right w:val="nil"/>
            </w:tcBorders>
          </w:tcPr>
          <w:p w14:paraId="2DC1014C"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605B81CC"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318F4A00"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c>
          <w:tcPr>
            <w:tcW w:w="1200" w:type="dxa"/>
            <w:tcBorders>
              <w:top w:val="nil"/>
              <w:left w:val="nil"/>
              <w:bottom w:val="single" w:sz="6" w:space="0" w:color="auto"/>
              <w:right w:val="nil"/>
            </w:tcBorders>
          </w:tcPr>
          <w:p w14:paraId="6116A223"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3C570523"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716CE32F"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r>
    </w:tbl>
    <w:p w14:paraId="50DC18C9" w14:textId="77777777" w:rsidR="0024206F" w:rsidRDefault="0024206F" w:rsidP="0024206F">
      <w:pPr>
        <w:spacing w:after="0" w:line="240" w:lineRule="auto"/>
      </w:pPr>
    </w:p>
    <w:tbl>
      <w:tblPr>
        <w:tblW w:w="9575" w:type="dxa"/>
        <w:jc w:val="center"/>
        <w:tblLayout w:type="fixed"/>
        <w:tblCellMar>
          <w:left w:w="75" w:type="dxa"/>
          <w:right w:w="75" w:type="dxa"/>
        </w:tblCellMar>
        <w:tblLook w:val="0000" w:firstRow="0" w:lastRow="0" w:firstColumn="0" w:lastColumn="0" w:noHBand="0" w:noVBand="0"/>
      </w:tblPr>
      <w:tblGrid>
        <w:gridCol w:w="75"/>
        <w:gridCol w:w="1871"/>
        <w:gridCol w:w="75"/>
        <w:gridCol w:w="1147"/>
        <w:gridCol w:w="75"/>
        <w:gridCol w:w="1147"/>
        <w:gridCol w:w="75"/>
        <w:gridCol w:w="1147"/>
        <w:gridCol w:w="75"/>
        <w:gridCol w:w="1258"/>
        <w:gridCol w:w="75"/>
        <w:gridCol w:w="1258"/>
        <w:gridCol w:w="75"/>
        <w:gridCol w:w="1147"/>
        <w:gridCol w:w="75"/>
      </w:tblGrid>
      <w:tr w:rsidR="00C73B74" w:rsidRPr="00A7130E" w14:paraId="66DB7950" w14:textId="77777777" w:rsidTr="00F015DF">
        <w:trPr>
          <w:gridAfter w:val="1"/>
          <w:wAfter w:w="75" w:type="dxa"/>
          <w:trHeight w:val="362"/>
          <w:jc w:val="center"/>
        </w:trPr>
        <w:tc>
          <w:tcPr>
            <w:tcW w:w="1946" w:type="dxa"/>
            <w:gridSpan w:val="2"/>
            <w:tcBorders>
              <w:top w:val="nil"/>
              <w:left w:val="nil"/>
              <w:bottom w:val="nil"/>
              <w:right w:val="nil"/>
            </w:tcBorders>
          </w:tcPr>
          <w:p w14:paraId="5EBF5282"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Health Care</w:t>
            </w:r>
          </w:p>
        </w:tc>
        <w:tc>
          <w:tcPr>
            <w:tcW w:w="1222" w:type="dxa"/>
            <w:gridSpan w:val="2"/>
            <w:tcBorders>
              <w:top w:val="nil"/>
              <w:left w:val="nil"/>
              <w:bottom w:val="nil"/>
              <w:right w:val="nil"/>
            </w:tcBorders>
          </w:tcPr>
          <w:p w14:paraId="6CCD350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1777DAF5" w14:textId="0BF7CC11"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0.100</w:t>
            </w:r>
          </w:p>
        </w:tc>
        <w:tc>
          <w:tcPr>
            <w:tcW w:w="1222" w:type="dxa"/>
            <w:gridSpan w:val="2"/>
            <w:tcBorders>
              <w:top w:val="nil"/>
              <w:left w:val="nil"/>
              <w:bottom w:val="nil"/>
              <w:right w:val="nil"/>
            </w:tcBorders>
          </w:tcPr>
          <w:p w14:paraId="6C17B042" w14:textId="3C68FC08"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0.175</w:t>
            </w:r>
          </w:p>
        </w:tc>
        <w:tc>
          <w:tcPr>
            <w:tcW w:w="1333" w:type="dxa"/>
            <w:gridSpan w:val="2"/>
            <w:tcBorders>
              <w:top w:val="nil"/>
              <w:left w:val="nil"/>
              <w:bottom w:val="nil"/>
              <w:right w:val="nil"/>
            </w:tcBorders>
          </w:tcPr>
          <w:p w14:paraId="63D1CA36" w14:textId="77777777"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02476BBD" w14:textId="7A885D6A"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0.389*</w:t>
            </w:r>
          </w:p>
        </w:tc>
        <w:tc>
          <w:tcPr>
            <w:tcW w:w="1222" w:type="dxa"/>
            <w:gridSpan w:val="2"/>
            <w:tcBorders>
              <w:top w:val="nil"/>
              <w:left w:val="nil"/>
              <w:bottom w:val="nil"/>
              <w:right w:val="nil"/>
            </w:tcBorders>
          </w:tcPr>
          <w:p w14:paraId="08FCD747" w14:textId="04C3A1A9"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0.248</w:t>
            </w:r>
          </w:p>
        </w:tc>
      </w:tr>
      <w:tr w:rsidR="00C73B74" w:rsidRPr="00A7130E" w14:paraId="69D3DC88" w14:textId="77777777" w:rsidTr="00F015DF">
        <w:trPr>
          <w:gridAfter w:val="1"/>
          <w:wAfter w:w="75" w:type="dxa"/>
          <w:trHeight w:val="362"/>
          <w:jc w:val="center"/>
        </w:trPr>
        <w:tc>
          <w:tcPr>
            <w:tcW w:w="1946" w:type="dxa"/>
            <w:gridSpan w:val="2"/>
            <w:tcBorders>
              <w:top w:val="nil"/>
              <w:left w:val="nil"/>
              <w:bottom w:val="nil"/>
              <w:right w:val="nil"/>
            </w:tcBorders>
          </w:tcPr>
          <w:p w14:paraId="0CC9DD94"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High-Tech</w:t>
            </w:r>
          </w:p>
        </w:tc>
        <w:tc>
          <w:tcPr>
            <w:tcW w:w="1222" w:type="dxa"/>
            <w:gridSpan w:val="2"/>
            <w:tcBorders>
              <w:top w:val="nil"/>
              <w:left w:val="nil"/>
              <w:bottom w:val="nil"/>
              <w:right w:val="nil"/>
            </w:tcBorders>
          </w:tcPr>
          <w:p w14:paraId="3746340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1B47ED42" w14:textId="781144AB"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0.0224</w:t>
            </w:r>
          </w:p>
        </w:tc>
        <w:tc>
          <w:tcPr>
            <w:tcW w:w="1222" w:type="dxa"/>
            <w:gridSpan w:val="2"/>
            <w:tcBorders>
              <w:top w:val="nil"/>
              <w:left w:val="nil"/>
              <w:bottom w:val="nil"/>
              <w:right w:val="nil"/>
            </w:tcBorders>
          </w:tcPr>
          <w:p w14:paraId="3165AD3B" w14:textId="70F7D01C"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0.0969</w:t>
            </w:r>
          </w:p>
        </w:tc>
        <w:tc>
          <w:tcPr>
            <w:tcW w:w="1333" w:type="dxa"/>
            <w:gridSpan w:val="2"/>
            <w:tcBorders>
              <w:top w:val="nil"/>
              <w:left w:val="nil"/>
              <w:bottom w:val="nil"/>
              <w:right w:val="nil"/>
            </w:tcBorders>
          </w:tcPr>
          <w:p w14:paraId="24B38960"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16A9F2A8" w14:textId="5592471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0.260**</w:t>
            </w:r>
          </w:p>
        </w:tc>
        <w:tc>
          <w:tcPr>
            <w:tcW w:w="1222" w:type="dxa"/>
            <w:gridSpan w:val="2"/>
            <w:tcBorders>
              <w:top w:val="nil"/>
              <w:left w:val="nil"/>
              <w:bottom w:val="nil"/>
              <w:right w:val="nil"/>
            </w:tcBorders>
          </w:tcPr>
          <w:p w14:paraId="10CED526" w14:textId="6025371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0.112</w:t>
            </w:r>
          </w:p>
        </w:tc>
      </w:tr>
      <w:tr w:rsidR="00C73B74" w:rsidRPr="00A7130E" w14:paraId="2DBAF7E1" w14:textId="77777777" w:rsidTr="00F015DF">
        <w:trPr>
          <w:gridAfter w:val="1"/>
          <w:wAfter w:w="75" w:type="dxa"/>
          <w:trHeight w:val="362"/>
          <w:jc w:val="center"/>
        </w:trPr>
        <w:tc>
          <w:tcPr>
            <w:tcW w:w="1946" w:type="dxa"/>
            <w:gridSpan w:val="2"/>
            <w:tcBorders>
              <w:top w:val="nil"/>
              <w:left w:val="nil"/>
              <w:bottom w:val="nil"/>
              <w:right w:val="nil"/>
            </w:tcBorders>
          </w:tcPr>
          <w:p w14:paraId="7FC0436A"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Industrial</w:t>
            </w:r>
          </w:p>
        </w:tc>
        <w:tc>
          <w:tcPr>
            <w:tcW w:w="1222" w:type="dxa"/>
            <w:gridSpan w:val="2"/>
            <w:tcBorders>
              <w:top w:val="nil"/>
              <w:left w:val="nil"/>
              <w:bottom w:val="nil"/>
              <w:right w:val="nil"/>
            </w:tcBorders>
          </w:tcPr>
          <w:p w14:paraId="0DE73CE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7B196760" w14:textId="06ED918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-0.00296</w:t>
            </w:r>
          </w:p>
        </w:tc>
        <w:tc>
          <w:tcPr>
            <w:tcW w:w="1222" w:type="dxa"/>
            <w:gridSpan w:val="2"/>
            <w:tcBorders>
              <w:top w:val="nil"/>
              <w:left w:val="nil"/>
              <w:bottom w:val="nil"/>
              <w:right w:val="nil"/>
            </w:tcBorders>
          </w:tcPr>
          <w:p w14:paraId="189FC3D1" w14:textId="5E2441CC"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0.0576</w:t>
            </w:r>
          </w:p>
        </w:tc>
        <w:tc>
          <w:tcPr>
            <w:tcW w:w="1333" w:type="dxa"/>
            <w:gridSpan w:val="2"/>
            <w:tcBorders>
              <w:top w:val="nil"/>
              <w:left w:val="nil"/>
              <w:bottom w:val="nil"/>
              <w:right w:val="nil"/>
            </w:tcBorders>
          </w:tcPr>
          <w:p w14:paraId="4427D8CE"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47B5334C" w14:textId="197B21E2"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0.254**</w:t>
            </w:r>
          </w:p>
        </w:tc>
        <w:tc>
          <w:tcPr>
            <w:tcW w:w="1222" w:type="dxa"/>
            <w:gridSpan w:val="2"/>
            <w:tcBorders>
              <w:top w:val="nil"/>
              <w:left w:val="nil"/>
              <w:bottom w:val="nil"/>
              <w:right w:val="nil"/>
            </w:tcBorders>
          </w:tcPr>
          <w:p w14:paraId="0D7DC9FF" w14:textId="6E2A439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0.139</w:t>
            </w:r>
          </w:p>
        </w:tc>
      </w:tr>
      <w:tr w:rsidR="00C73B74" w:rsidRPr="00A7130E" w14:paraId="41B229D2" w14:textId="77777777" w:rsidTr="00F015DF">
        <w:trPr>
          <w:gridAfter w:val="1"/>
          <w:wAfter w:w="75" w:type="dxa"/>
          <w:trHeight w:val="362"/>
          <w:jc w:val="center"/>
        </w:trPr>
        <w:tc>
          <w:tcPr>
            <w:tcW w:w="1946" w:type="dxa"/>
            <w:gridSpan w:val="2"/>
            <w:tcBorders>
              <w:top w:val="nil"/>
              <w:left w:val="nil"/>
              <w:bottom w:val="nil"/>
              <w:right w:val="nil"/>
            </w:tcBorders>
          </w:tcPr>
          <w:p w14:paraId="78C44E13"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Materials</w:t>
            </w:r>
          </w:p>
        </w:tc>
        <w:tc>
          <w:tcPr>
            <w:tcW w:w="1222" w:type="dxa"/>
            <w:gridSpan w:val="2"/>
            <w:tcBorders>
              <w:top w:val="nil"/>
              <w:left w:val="nil"/>
              <w:bottom w:val="nil"/>
              <w:right w:val="nil"/>
            </w:tcBorders>
          </w:tcPr>
          <w:p w14:paraId="1DF418D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386A370A" w14:textId="698A7F46"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0.0166</w:t>
            </w:r>
          </w:p>
        </w:tc>
        <w:tc>
          <w:tcPr>
            <w:tcW w:w="1222" w:type="dxa"/>
            <w:gridSpan w:val="2"/>
            <w:tcBorders>
              <w:top w:val="nil"/>
              <w:left w:val="nil"/>
              <w:bottom w:val="nil"/>
              <w:right w:val="nil"/>
            </w:tcBorders>
          </w:tcPr>
          <w:p w14:paraId="5DCE5E49" w14:textId="4DB0B90A"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0.101</w:t>
            </w:r>
          </w:p>
        </w:tc>
        <w:tc>
          <w:tcPr>
            <w:tcW w:w="1333" w:type="dxa"/>
            <w:gridSpan w:val="2"/>
            <w:tcBorders>
              <w:top w:val="nil"/>
              <w:left w:val="nil"/>
              <w:bottom w:val="nil"/>
              <w:right w:val="nil"/>
            </w:tcBorders>
          </w:tcPr>
          <w:p w14:paraId="510406B0"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2281648F" w14:textId="1248B96C"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0.317**</w:t>
            </w:r>
          </w:p>
        </w:tc>
        <w:tc>
          <w:tcPr>
            <w:tcW w:w="1222" w:type="dxa"/>
            <w:gridSpan w:val="2"/>
            <w:tcBorders>
              <w:top w:val="nil"/>
              <w:left w:val="nil"/>
              <w:bottom w:val="nil"/>
              <w:right w:val="nil"/>
            </w:tcBorders>
          </w:tcPr>
          <w:p w14:paraId="58FB7486" w14:textId="4FACE0A0"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0.167</w:t>
            </w:r>
          </w:p>
        </w:tc>
      </w:tr>
      <w:tr w:rsidR="00C73B74" w:rsidRPr="00A7130E" w14:paraId="24789969" w14:textId="77777777" w:rsidTr="00F015DF">
        <w:trPr>
          <w:gridAfter w:val="1"/>
          <w:wAfter w:w="75" w:type="dxa"/>
          <w:trHeight w:val="362"/>
          <w:jc w:val="center"/>
        </w:trPr>
        <w:tc>
          <w:tcPr>
            <w:tcW w:w="1946" w:type="dxa"/>
            <w:gridSpan w:val="2"/>
            <w:tcBorders>
              <w:top w:val="nil"/>
              <w:left w:val="nil"/>
              <w:bottom w:val="nil"/>
              <w:right w:val="nil"/>
            </w:tcBorders>
          </w:tcPr>
          <w:p w14:paraId="6AFB41C4"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M&amp;E</w:t>
            </w:r>
          </w:p>
        </w:tc>
        <w:tc>
          <w:tcPr>
            <w:tcW w:w="1222" w:type="dxa"/>
            <w:gridSpan w:val="2"/>
            <w:tcBorders>
              <w:top w:val="nil"/>
              <w:left w:val="nil"/>
              <w:bottom w:val="nil"/>
              <w:right w:val="nil"/>
            </w:tcBorders>
          </w:tcPr>
          <w:p w14:paraId="4416EC4C"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3E73EF42" w14:textId="374E7AB0"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-0.0824</w:t>
            </w:r>
          </w:p>
        </w:tc>
        <w:tc>
          <w:tcPr>
            <w:tcW w:w="1222" w:type="dxa"/>
            <w:gridSpan w:val="2"/>
            <w:tcBorders>
              <w:top w:val="nil"/>
              <w:left w:val="nil"/>
              <w:bottom w:val="nil"/>
              <w:right w:val="nil"/>
            </w:tcBorders>
          </w:tcPr>
          <w:p w14:paraId="00AE940B" w14:textId="2BDE167F"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-0.0349</w:t>
            </w:r>
          </w:p>
        </w:tc>
        <w:tc>
          <w:tcPr>
            <w:tcW w:w="1333" w:type="dxa"/>
            <w:gridSpan w:val="2"/>
            <w:tcBorders>
              <w:top w:val="nil"/>
              <w:left w:val="nil"/>
              <w:bottom w:val="nil"/>
              <w:right w:val="nil"/>
            </w:tcBorders>
          </w:tcPr>
          <w:p w14:paraId="44720E09"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66915745" w14:textId="7E3E1FDE"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0.266**</w:t>
            </w:r>
          </w:p>
        </w:tc>
        <w:tc>
          <w:tcPr>
            <w:tcW w:w="1222" w:type="dxa"/>
            <w:gridSpan w:val="2"/>
            <w:tcBorders>
              <w:top w:val="nil"/>
              <w:left w:val="nil"/>
              <w:bottom w:val="nil"/>
              <w:right w:val="nil"/>
            </w:tcBorders>
          </w:tcPr>
          <w:p w14:paraId="70CDDBDD" w14:textId="72D52070"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0.121</w:t>
            </w:r>
          </w:p>
        </w:tc>
      </w:tr>
      <w:tr w:rsidR="00C73B74" w:rsidRPr="00A7130E" w14:paraId="66D19A26" w14:textId="77777777" w:rsidTr="00F015DF">
        <w:trPr>
          <w:gridAfter w:val="1"/>
          <w:wAfter w:w="75" w:type="dxa"/>
          <w:trHeight w:val="362"/>
          <w:jc w:val="center"/>
        </w:trPr>
        <w:tc>
          <w:tcPr>
            <w:tcW w:w="1946" w:type="dxa"/>
            <w:gridSpan w:val="2"/>
            <w:tcBorders>
              <w:top w:val="nil"/>
              <w:left w:val="nil"/>
              <w:bottom w:val="nil"/>
              <w:right w:val="nil"/>
            </w:tcBorders>
          </w:tcPr>
          <w:p w14:paraId="41A208D1"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24"/>
                <w:szCs w:val="24"/>
              </w:rPr>
            </w:pPr>
            <w:r w:rsidRPr="00A7130E">
              <w:rPr>
                <w:rFonts w:ascii="Times New Roman" w:hAnsi="Times New Roman" w:cs="Times New Roman"/>
                <w:sz w:val="18"/>
                <w:szCs w:val="18"/>
              </w:rPr>
              <w:t>Telecommunications</w:t>
            </w:r>
          </w:p>
        </w:tc>
        <w:tc>
          <w:tcPr>
            <w:tcW w:w="1222" w:type="dxa"/>
            <w:gridSpan w:val="2"/>
            <w:tcBorders>
              <w:top w:val="nil"/>
              <w:left w:val="nil"/>
              <w:bottom w:val="nil"/>
              <w:right w:val="nil"/>
            </w:tcBorders>
          </w:tcPr>
          <w:p w14:paraId="0039123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287BBA98" w14:textId="46172185"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-0.115</w:t>
            </w:r>
          </w:p>
        </w:tc>
        <w:tc>
          <w:tcPr>
            <w:tcW w:w="1222" w:type="dxa"/>
            <w:gridSpan w:val="2"/>
            <w:tcBorders>
              <w:top w:val="nil"/>
              <w:left w:val="nil"/>
              <w:bottom w:val="nil"/>
              <w:right w:val="nil"/>
            </w:tcBorders>
          </w:tcPr>
          <w:p w14:paraId="2DB21610" w14:textId="0EC6DA7B"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-0.0377</w:t>
            </w:r>
          </w:p>
        </w:tc>
        <w:tc>
          <w:tcPr>
            <w:tcW w:w="1333" w:type="dxa"/>
            <w:gridSpan w:val="2"/>
            <w:tcBorders>
              <w:top w:val="nil"/>
              <w:left w:val="nil"/>
              <w:bottom w:val="nil"/>
              <w:right w:val="nil"/>
            </w:tcBorders>
          </w:tcPr>
          <w:p w14:paraId="2405388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77578A22" w14:textId="25D1AB6E"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0.187</w:t>
            </w:r>
          </w:p>
        </w:tc>
        <w:tc>
          <w:tcPr>
            <w:tcW w:w="1222" w:type="dxa"/>
            <w:gridSpan w:val="2"/>
            <w:tcBorders>
              <w:top w:val="nil"/>
              <w:left w:val="nil"/>
              <w:bottom w:val="nil"/>
              <w:right w:val="nil"/>
            </w:tcBorders>
          </w:tcPr>
          <w:p w14:paraId="745B1F6D" w14:textId="5CF46052"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0.0481</w:t>
            </w:r>
          </w:p>
        </w:tc>
      </w:tr>
      <w:tr w:rsidR="00C73B74" w:rsidRPr="00A7130E" w14:paraId="7D78C030" w14:textId="77777777" w:rsidTr="00F015DF">
        <w:trPr>
          <w:gridAfter w:val="1"/>
          <w:wAfter w:w="75" w:type="dxa"/>
          <w:trHeight w:val="362"/>
          <w:jc w:val="center"/>
        </w:trPr>
        <w:tc>
          <w:tcPr>
            <w:tcW w:w="1946" w:type="dxa"/>
            <w:gridSpan w:val="2"/>
            <w:tcBorders>
              <w:top w:val="nil"/>
              <w:left w:val="nil"/>
              <w:bottom w:val="nil"/>
              <w:right w:val="nil"/>
            </w:tcBorders>
          </w:tcPr>
          <w:p w14:paraId="36ED75D5" w14:textId="1C71DBB0"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Retail</w:t>
            </w:r>
          </w:p>
        </w:tc>
        <w:tc>
          <w:tcPr>
            <w:tcW w:w="1222" w:type="dxa"/>
            <w:gridSpan w:val="2"/>
            <w:tcBorders>
              <w:top w:val="nil"/>
              <w:left w:val="nil"/>
              <w:bottom w:val="nil"/>
              <w:right w:val="nil"/>
            </w:tcBorders>
          </w:tcPr>
          <w:p w14:paraId="4ECE34FC"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57D381C2" w14:textId="13377A06"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-0.00785</w:t>
            </w:r>
          </w:p>
        </w:tc>
        <w:tc>
          <w:tcPr>
            <w:tcW w:w="1222" w:type="dxa"/>
            <w:gridSpan w:val="2"/>
            <w:tcBorders>
              <w:top w:val="nil"/>
              <w:left w:val="nil"/>
              <w:bottom w:val="nil"/>
              <w:right w:val="nil"/>
            </w:tcBorders>
          </w:tcPr>
          <w:p w14:paraId="6825E3FD" w14:textId="5250E3F0"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0.0722</w:t>
            </w:r>
          </w:p>
        </w:tc>
        <w:tc>
          <w:tcPr>
            <w:tcW w:w="1333" w:type="dxa"/>
            <w:gridSpan w:val="2"/>
            <w:tcBorders>
              <w:top w:val="nil"/>
              <w:left w:val="nil"/>
              <w:bottom w:val="nil"/>
              <w:right w:val="nil"/>
            </w:tcBorders>
          </w:tcPr>
          <w:p w14:paraId="10A84C10"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237AAB8D" w14:textId="04454B07"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0.306**</w:t>
            </w:r>
          </w:p>
        </w:tc>
        <w:tc>
          <w:tcPr>
            <w:tcW w:w="1222" w:type="dxa"/>
            <w:gridSpan w:val="2"/>
            <w:tcBorders>
              <w:top w:val="nil"/>
              <w:left w:val="nil"/>
              <w:bottom w:val="nil"/>
              <w:right w:val="nil"/>
            </w:tcBorders>
          </w:tcPr>
          <w:p w14:paraId="3413FA5E" w14:textId="715C010A" w:rsidR="00C73B74" w:rsidRPr="00C73B74"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C73B74">
              <w:rPr>
                <w:rFonts w:ascii="Times New Roman" w:hAnsi="Times New Roman" w:cs="Times New Roman"/>
                <w:sz w:val="18"/>
                <w:szCs w:val="18"/>
              </w:rPr>
              <w:t>0.0748</w:t>
            </w:r>
          </w:p>
        </w:tc>
      </w:tr>
      <w:tr w:rsidR="00C73B74" w:rsidRPr="00A7130E" w14:paraId="64A5AAA2" w14:textId="77777777" w:rsidTr="00F015DF">
        <w:trPr>
          <w:gridAfter w:val="1"/>
          <w:wAfter w:w="75" w:type="dxa"/>
          <w:trHeight w:val="380"/>
          <w:jc w:val="center"/>
        </w:trPr>
        <w:tc>
          <w:tcPr>
            <w:tcW w:w="1946" w:type="dxa"/>
            <w:gridSpan w:val="2"/>
            <w:tcBorders>
              <w:top w:val="nil"/>
              <w:left w:val="nil"/>
              <w:bottom w:val="nil"/>
              <w:right w:val="nil"/>
            </w:tcBorders>
          </w:tcPr>
          <w:p w14:paraId="12137FE5"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Austria</w:t>
            </w:r>
          </w:p>
        </w:tc>
        <w:tc>
          <w:tcPr>
            <w:tcW w:w="1222" w:type="dxa"/>
            <w:gridSpan w:val="2"/>
            <w:tcBorders>
              <w:top w:val="nil"/>
              <w:left w:val="nil"/>
              <w:bottom w:val="nil"/>
              <w:right w:val="nil"/>
            </w:tcBorders>
          </w:tcPr>
          <w:p w14:paraId="111E30BD"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4E406D25"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18A7FDE9" w14:textId="774F47C5"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-0.1100</w:t>
            </w:r>
          </w:p>
        </w:tc>
        <w:tc>
          <w:tcPr>
            <w:tcW w:w="1333" w:type="dxa"/>
            <w:gridSpan w:val="2"/>
            <w:tcBorders>
              <w:top w:val="nil"/>
              <w:left w:val="nil"/>
              <w:bottom w:val="nil"/>
              <w:right w:val="nil"/>
            </w:tcBorders>
          </w:tcPr>
          <w:p w14:paraId="7FC48279"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30CE49F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74F7E1FD"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-0.0267</w:t>
            </w:r>
          </w:p>
        </w:tc>
      </w:tr>
      <w:tr w:rsidR="00C73B74" w:rsidRPr="00A7130E" w14:paraId="2A819FC0" w14:textId="77777777" w:rsidTr="00F015DF">
        <w:trPr>
          <w:gridAfter w:val="1"/>
          <w:wAfter w:w="75" w:type="dxa"/>
          <w:trHeight w:val="362"/>
          <w:jc w:val="center"/>
        </w:trPr>
        <w:tc>
          <w:tcPr>
            <w:tcW w:w="1946" w:type="dxa"/>
            <w:gridSpan w:val="2"/>
            <w:tcBorders>
              <w:top w:val="nil"/>
              <w:left w:val="nil"/>
              <w:bottom w:val="nil"/>
              <w:right w:val="nil"/>
            </w:tcBorders>
          </w:tcPr>
          <w:p w14:paraId="428FEF47"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Belgium</w:t>
            </w:r>
          </w:p>
        </w:tc>
        <w:tc>
          <w:tcPr>
            <w:tcW w:w="1222" w:type="dxa"/>
            <w:gridSpan w:val="2"/>
            <w:tcBorders>
              <w:top w:val="nil"/>
              <w:left w:val="nil"/>
              <w:bottom w:val="nil"/>
              <w:right w:val="nil"/>
            </w:tcBorders>
          </w:tcPr>
          <w:p w14:paraId="26DB5C3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486EB47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5A0E931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-0.0324</w:t>
            </w:r>
          </w:p>
        </w:tc>
        <w:tc>
          <w:tcPr>
            <w:tcW w:w="1333" w:type="dxa"/>
            <w:gridSpan w:val="2"/>
            <w:tcBorders>
              <w:top w:val="nil"/>
              <w:left w:val="nil"/>
              <w:bottom w:val="nil"/>
              <w:right w:val="nil"/>
            </w:tcBorders>
          </w:tcPr>
          <w:p w14:paraId="7C2EEE31"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2F74B727"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2BA315A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-0.0399</w:t>
            </w:r>
          </w:p>
        </w:tc>
      </w:tr>
      <w:tr w:rsidR="00C73B74" w:rsidRPr="00A7130E" w14:paraId="3C829416" w14:textId="77777777" w:rsidTr="00F015DF">
        <w:trPr>
          <w:gridAfter w:val="1"/>
          <w:wAfter w:w="75" w:type="dxa"/>
          <w:trHeight w:val="362"/>
          <w:jc w:val="center"/>
        </w:trPr>
        <w:tc>
          <w:tcPr>
            <w:tcW w:w="1946" w:type="dxa"/>
            <w:gridSpan w:val="2"/>
            <w:tcBorders>
              <w:top w:val="nil"/>
              <w:left w:val="nil"/>
              <w:bottom w:val="nil"/>
              <w:right w:val="nil"/>
            </w:tcBorders>
          </w:tcPr>
          <w:p w14:paraId="49DA4F8F"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France</w:t>
            </w:r>
          </w:p>
        </w:tc>
        <w:tc>
          <w:tcPr>
            <w:tcW w:w="1222" w:type="dxa"/>
            <w:gridSpan w:val="2"/>
            <w:tcBorders>
              <w:top w:val="nil"/>
              <w:left w:val="nil"/>
              <w:bottom w:val="nil"/>
              <w:right w:val="nil"/>
            </w:tcBorders>
          </w:tcPr>
          <w:p w14:paraId="572AED60"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24E16035"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75348D0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-0.0805</w:t>
            </w:r>
          </w:p>
        </w:tc>
        <w:tc>
          <w:tcPr>
            <w:tcW w:w="1333" w:type="dxa"/>
            <w:gridSpan w:val="2"/>
            <w:tcBorders>
              <w:top w:val="nil"/>
              <w:left w:val="nil"/>
              <w:bottom w:val="nil"/>
              <w:right w:val="nil"/>
            </w:tcBorders>
          </w:tcPr>
          <w:p w14:paraId="7C13DD3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211BBCA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402091B5"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0.0317</w:t>
            </w:r>
          </w:p>
        </w:tc>
      </w:tr>
      <w:tr w:rsidR="00C73B74" w:rsidRPr="00A7130E" w14:paraId="1AC897C5" w14:textId="77777777" w:rsidTr="00F015DF">
        <w:trPr>
          <w:gridAfter w:val="1"/>
          <w:wAfter w:w="75" w:type="dxa"/>
          <w:trHeight w:val="362"/>
          <w:jc w:val="center"/>
        </w:trPr>
        <w:tc>
          <w:tcPr>
            <w:tcW w:w="1946" w:type="dxa"/>
            <w:gridSpan w:val="2"/>
            <w:tcBorders>
              <w:top w:val="nil"/>
              <w:left w:val="nil"/>
              <w:bottom w:val="nil"/>
              <w:right w:val="nil"/>
            </w:tcBorders>
          </w:tcPr>
          <w:p w14:paraId="7877E6D5"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Germany</w:t>
            </w:r>
          </w:p>
        </w:tc>
        <w:tc>
          <w:tcPr>
            <w:tcW w:w="1222" w:type="dxa"/>
            <w:gridSpan w:val="2"/>
            <w:tcBorders>
              <w:top w:val="nil"/>
              <w:left w:val="nil"/>
              <w:bottom w:val="nil"/>
              <w:right w:val="nil"/>
            </w:tcBorders>
          </w:tcPr>
          <w:p w14:paraId="2ADF673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5787DAA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11DB6C65"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-0.0881</w:t>
            </w:r>
          </w:p>
        </w:tc>
        <w:tc>
          <w:tcPr>
            <w:tcW w:w="1333" w:type="dxa"/>
            <w:gridSpan w:val="2"/>
            <w:tcBorders>
              <w:top w:val="nil"/>
              <w:left w:val="nil"/>
              <w:bottom w:val="nil"/>
              <w:right w:val="nil"/>
            </w:tcBorders>
          </w:tcPr>
          <w:p w14:paraId="29DA159E"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2E7C0758"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6732969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-0.0235</w:t>
            </w:r>
          </w:p>
        </w:tc>
      </w:tr>
      <w:tr w:rsidR="00C73B74" w:rsidRPr="00A7130E" w14:paraId="0DEC112A" w14:textId="77777777" w:rsidTr="00F015DF">
        <w:trPr>
          <w:gridAfter w:val="1"/>
          <w:wAfter w:w="75" w:type="dxa"/>
          <w:trHeight w:val="362"/>
          <w:jc w:val="center"/>
        </w:trPr>
        <w:tc>
          <w:tcPr>
            <w:tcW w:w="1946" w:type="dxa"/>
            <w:gridSpan w:val="2"/>
            <w:tcBorders>
              <w:top w:val="nil"/>
              <w:left w:val="nil"/>
              <w:bottom w:val="nil"/>
              <w:right w:val="nil"/>
            </w:tcBorders>
          </w:tcPr>
          <w:p w14:paraId="1C7323C8"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Greece</w:t>
            </w:r>
          </w:p>
        </w:tc>
        <w:tc>
          <w:tcPr>
            <w:tcW w:w="1222" w:type="dxa"/>
            <w:gridSpan w:val="2"/>
            <w:tcBorders>
              <w:top w:val="nil"/>
              <w:left w:val="nil"/>
              <w:bottom w:val="nil"/>
              <w:right w:val="nil"/>
            </w:tcBorders>
          </w:tcPr>
          <w:p w14:paraId="08306083"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42F3458D"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09C00266"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-0.0539</w:t>
            </w:r>
          </w:p>
        </w:tc>
        <w:tc>
          <w:tcPr>
            <w:tcW w:w="1333" w:type="dxa"/>
            <w:gridSpan w:val="2"/>
            <w:tcBorders>
              <w:top w:val="nil"/>
              <w:left w:val="nil"/>
              <w:bottom w:val="nil"/>
              <w:right w:val="nil"/>
            </w:tcBorders>
          </w:tcPr>
          <w:p w14:paraId="2628C42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04FA798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18158DC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-0.0260</w:t>
            </w:r>
          </w:p>
        </w:tc>
      </w:tr>
      <w:tr w:rsidR="00C73B74" w:rsidRPr="00A7130E" w14:paraId="0BDC86A5" w14:textId="77777777" w:rsidTr="00F015DF">
        <w:trPr>
          <w:gridAfter w:val="1"/>
          <w:wAfter w:w="75" w:type="dxa"/>
          <w:trHeight w:val="362"/>
          <w:jc w:val="center"/>
        </w:trPr>
        <w:tc>
          <w:tcPr>
            <w:tcW w:w="1946" w:type="dxa"/>
            <w:gridSpan w:val="2"/>
            <w:tcBorders>
              <w:top w:val="nil"/>
              <w:left w:val="nil"/>
              <w:bottom w:val="nil"/>
              <w:right w:val="nil"/>
            </w:tcBorders>
          </w:tcPr>
          <w:p w14:paraId="345B28E3"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Italy</w:t>
            </w:r>
          </w:p>
        </w:tc>
        <w:tc>
          <w:tcPr>
            <w:tcW w:w="1222" w:type="dxa"/>
            <w:gridSpan w:val="2"/>
            <w:tcBorders>
              <w:top w:val="nil"/>
              <w:left w:val="nil"/>
              <w:bottom w:val="nil"/>
              <w:right w:val="nil"/>
            </w:tcBorders>
          </w:tcPr>
          <w:p w14:paraId="283C61E3"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2F83F7A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74C00E90" w14:textId="37814AC6"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-0.1110</w:t>
            </w:r>
          </w:p>
        </w:tc>
        <w:tc>
          <w:tcPr>
            <w:tcW w:w="1333" w:type="dxa"/>
            <w:gridSpan w:val="2"/>
            <w:tcBorders>
              <w:top w:val="nil"/>
              <w:left w:val="nil"/>
              <w:bottom w:val="nil"/>
              <w:right w:val="nil"/>
            </w:tcBorders>
          </w:tcPr>
          <w:p w14:paraId="06FBAF2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007B93B0"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1FDD679C" w14:textId="5E958A2E"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-0.1090</w:t>
            </w:r>
          </w:p>
        </w:tc>
      </w:tr>
      <w:tr w:rsidR="00C73B74" w:rsidRPr="00A7130E" w14:paraId="450AE6E7" w14:textId="77777777" w:rsidTr="00F015DF">
        <w:trPr>
          <w:gridAfter w:val="1"/>
          <w:wAfter w:w="75" w:type="dxa"/>
          <w:trHeight w:val="362"/>
          <w:jc w:val="center"/>
        </w:trPr>
        <w:tc>
          <w:tcPr>
            <w:tcW w:w="1946" w:type="dxa"/>
            <w:gridSpan w:val="2"/>
            <w:tcBorders>
              <w:top w:val="nil"/>
              <w:left w:val="nil"/>
              <w:bottom w:val="nil"/>
              <w:right w:val="nil"/>
            </w:tcBorders>
          </w:tcPr>
          <w:p w14:paraId="2626250C"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Netherlands</w:t>
            </w:r>
          </w:p>
        </w:tc>
        <w:tc>
          <w:tcPr>
            <w:tcW w:w="1222" w:type="dxa"/>
            <w:gridSpan w:val="2"/>
            <w:tcBorders>
              <w:top w:val="nil"/>
              <w:left w:val="nil"/>
              <w:bottom w:val="nil"/>
              <w:right w:val="nil"/>
            </w:tcBorders>
          </w:tcPr>
          <w:p w14:paraId="206808ED"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522B39D6"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5F569EBE"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0.0566</w:t>
            </w:r>
          </w:p>
        </w:tc>
        <w:tc>
          <w:tcPr>
            <w:tcW w:w="1333" w:type="dxa"/>
            <w:gridSpan w:val="2"/>
            <w:tcBorders>
              <w:top w:val="nil"/>
              <w:left w:val="nil"/>
              <w:bottom w:val="nil"/>
              <w:right w:val="nil"/>
            </w:tcBorders>
          </w:tcPr>
          <w:p w14:paraId="1914D90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4FD5F07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5D774E7D"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-0.0381</w:t>
            </w:r>
          </w:p>
        </w:tc>
      </w:tr>
      <w:tr w:rsidR="00C73B74" w:rsidRPr="00A7130E" w14:paraId="149AA767" w14:textId="77777777" w:rsidTr="00F015DF">
        <w:trPr>
          <w:gridAfter w:val="1"/>
          <w:wAfter w:w="75" w:type="dxa"/>
          <w:trHeight w:val="362"/>
          <w:jc w:val="center"/>
        </w:trPr>
        <w:tc>
          <w:tcPr>
            <w:tcW w:w="1946" w:type="dxa"/>
            <w:gridSpan w:val="2"/>
            <w:tcBorders>
              <w:top w:val="nil"/>
              <w:left w:val="nil"/>
              <w:bottom w:val="nil"/>
              <w:right w:val="nil"/>
            </w:tcBorders>
          </w:tcPr>
          <w:p w14:paraId="4E490F6C"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Spain</w:t>
            </w:r>
          </w:p>
        </w:tc>
        <w:tc>
          <w:tcPr>
            <w:tcW w:w="1222" w:type="dxa"/>
            <w:gridSpan w:val="2"/>
            <w:tcBorders>
              <w:top w:val="nil"/>
              <w:left w:val="nil"/>
              <w:bottom w:val="nil"/>
              <w:right w:val="nil"/>
            </w:tcBorders>
          </w:tcPr>
          <w:p w14:paraId="63E18477"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5DA3A817"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6A74528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-0.0930</w:t>
            </w:r>
          </w:p>
        </w:tc>
        <w:tc>
          <w:tcPr>
            <w:tcW w:w="1333" w:type="dxa"/>
            <w:gridSpan w:val="2"/>
            <w:tcBorders>
              <w:top w:val="nil"/>
              <w:left w:val="nil"/>
              <w:bottom w:val="nil"/>
              <w:right w:val="nil"/>
            </w:tcBorders>
          </w:tcPr>
          <w:p w14:paraId="0B8F96A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333" w:type="dxa"/>
            <w:gridSpan w:val="2"/>
            <w:tcBorders>
              <w:top w:val="nil"/>
              <w:left w:val="nil"/>
              <w:bottom w:val="nil"/>
              <w:right w:val="nil"/>
            </w:tcBorders>
          </w:tcPr>
          <w:p w14:paraId="1E94788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nil"/>
              <w:right w:val="nil"/>
            </w:tcBorders>
          </w:tcPr>
          <w:p w14:paraId="40E10C1E"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0.0138</w:t>
            </w:r>
          </w:p>
        </w:tc>
      </w:tr>
      <w:tr w:rsidR="00C73B74" w:rsidRPr="00A7130E" w14:paraId="33F31F46" w14:textId="77777777" w:rsidTr="00F015DF">
        <w:trPr>
          <w:gridBefore w:val="1"/>
          <w:wBefore w:w="75" w:type="dxa"/>
          <w:trHeight w:val="362"/>
          <w:jc w:val="center"/>
        </w:trPr>
        <w:tc>
          <w:tcPr>
            <w:tcW w:w="1946" w:type="dxa"/>
            <w:gridSpan w:val="2"/>
            <w:tcBorders>
              <w:top w:val="nil"/>
              <w:left w:val="nil"/>
              <w:bottom w:val="nil"/>
              <w:right w:val="nil"/>
            </w:tcBorders>
          </w:tcPr>
          <w:p w14:paraId="0C14DF5B"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Constant</w:t>
            </w:r>
          </w:p>
        </w:tc>
        <w:tc>
          <w:tcPr>
            <w:tcW w:w="1222" w:type="dxa"/>
            <w:gridSpan w:val="2"/>
            <w:tcBorders>
              <w:top w:val="nil"/>
              <w:left w:val="nil"/>
              <w:bottom w:val="nil"/>
              <w:right w:val="nil"/>
            </w:tcBorders>
          </w:tcPr>
          <w:p w14:paraId="17C95DBC" w14:textId="66FF0226"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22" w:type="dxa"/>
            <w:gridSpan w:val="2"/>
            <w:tcBorders>
              <w:top w:val="nil"/>
              <w:left w:val="nil"/>
              <w:bottom w:val="nil"/>
              <w:right w:val="nil"/>
            </w:tcBorders>
          </w:tcPr>
          <w:p w14:paraId="231DA734" w14:textId="77EE1923"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22" w:type="dxa"/>
            <w:gridSpan w:val="2"/>
            <w:tcBorders>
              <w:top w:val="nil"/>
              <w:left w:val="nil"/>
              <w:bottom w:val="nil"/>
              <w:right w:val="nil"/>
            </w:tcBorders>
          </w:tcPr>
          <w:p w14:paraId="43A42851" w14:textId="704543EB"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333" w:type="dxa"/>
            <w:gridSpan w:val="2"/>
            <w:tcBorders>
              <w:top w:val="nil"/>
              <w:left w:val="nil"/>
              <w:bottom w:val="nil"/>
              <w:right w:val="nil"/>
            </w:tcBorders>
          </w:tcPr>
          <w:p w14:paraId="0BAB8EA2" w14:textId="6B9EAF0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333" w:type="dxa"/>
            <w:gridSpan w:val="2"/>
            <w:tcBorders>
              <w:top w:val="nil"/>
              <w:left w:val="nil"/>
              <w:bottom w:val="nil"/>
              <w:right w:val="nil"/>
            </w:tcBorders>
          </w:tcPr>
          <w:p w14:paraId="4F8BA335" w14:textId="18C5797D"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22" w:type="dxa"/>
            <w:gridSpan w:val="2"/>
            <w:tcBorders>
              <w:top w:val="nil"/>
              <w:left w:val="nil"/>
              <w:bottom w:val="nil"/>
              <w:right w:val="nil"/>
            </w:tcBorders>
          </w:tcPr>
          <w:p w14:paraId="3B011799" w14:textId="355354C1"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r>
      <w:tr w:rsidR="00C73B74" w:rsidRPr="00A7130E" w14:paraId="4B4FB6B5" w14:textId="77777777" w:rsidTr="00F015DF">
        <w:trPr>
          <w:gridBefore w:val="1"/>
          <w:wBefore w:w="75" w:type="dxa"/>
          <w:trHeight w:val="362"/>
          <w:jc w:val="center"/>
        </w:trPr>
        <w:tc>
          <w:tcPr>
            <w:tcW w:w="1946" w:type="dxa"/>
            <w:gridSpan w:val="2"/>
            <w:tcBorders>
              <w:top w:val="nil"/>
              <w:left w:val="nil"/>
              <w:bottom w:val="nil"/>
              <w:right w:val="nil"/>
            </w:tcBorders>
          </w:tcPr>
          <w:p w14:paraId="1103A057" w14:textId="77777777" w:rsidR="00C73B74" w:rsidRPr="00A7130E" w:rsidRDefault="00C73B74" w:rsidP="00C73B74">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Observations</w:t>
            </w:r>
          </w:p>
        </w:tc>
        <w:tc>
          <w:tcPr>
            <w:tcW w:w="1222" w:type="dxa"/>
            <w:gridSpan w:val="2"/>
            <w:tcBorders>
              <w:top w:val="nil"/>
              <w:left w:val="nil"/>
              <w:bottom w:val="nil"/>
              <w:right w:val="nil"/>
            </w:tcBorders>
          </w:tcPr>
          <w:p w14:paraId="532AF043"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213</w:t>
            </w:r>
          </w:p>
        </w:tc>
        <w:tc>
          <w:tcPr>
            <w:tcW w:w="1222" w:type="dxa"/>
            <w:gridSpan w:val="2"/>
            <w:tcBorders>
              <w:top w:val="nil"/>
              <w:left w:val="nil"/>
              <w:bottom w:val="nil"/>
              <w:right w:val="nil"/>
            </w:tcBorders>
          </w:tcPr>
          <w:p w14:paraId="31501F3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213</w:t>
            </w:r>
          </w:p>
        </w:tc>
        <w:tc>
          <w:tcPr>
            <w:tcW w:w="1222" w:type="dxa"/>
            <w:gridSpan w:val="2"/>
            <w:tcBorders>
              <w:top w:val="nil"/>
              <w:left w:val="nil"/>
              <w:bottom w:val="nil"/>
              <w:right w:val="nil"/>
            </w:tcBorders>
          </w:tcPr>
          <w:p w14:paraId="69C9875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213</w:t>
            </w:r>
          </w:p>
        </w:tc>
        <w:tc>
          <w:tcPr>
            <w:tcW w:w="1333" w:type="dxa"/>
            <w:gridSpan w:val="2"/>
            <w:tcBorders>
              <w:top w:val="nil"/>
              <w:left w:val="nil"/>
              <w:bottom w:val="nil"/>
              <w:right w:val="nil"/>
            </w:tcBorders>
          </w:tcPr>
          <w:p w14:paraId="735B28E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213</w:t>
            </w:r>
          </w:p>
        </w:tc>
        <w:tc>
          <w:tcPr>
            <w:tcW w:w="1333" w:type="dxa"/>
            <w:gridSpan w:val="2"/>
            <w:tcBorders>
              <w:top w:val="nil"/>
              <w:left w:val="nil"/>
              <w:bottom w:val="nil"/>
              <w:right w:val="nil"/>
            </w:tcBorders>
          </w:tcPr>
          <w:p w14:paraId="0B3D9E4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213</w:t>
            </w:r>
          </w:p>
        </w:tc>
        <w:tc>
          <w:tcPr>
            <w:tcW w:w="1222" w:type="dxa"/>
            <w:gridSpan w:val="2"/>
            <w:tcBorders>
              <w:top w:val="nil"/>
              <w:left w:val="nil"/>
              <w:bottom w:val="nil"/>
              <w:right w:val="nil"/>
            </w:tcBorders>
          </w:tcPr>
          <w:p w14:paraId="55EEF59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213</w:t>
            </w:r>
          </w:p>
        </w:tc>
      </w:tr>
      <w:tr w:rsidR="00C73B74" w:rsidRPr="00A7130E" w14:paraId="408AB4F7" w14:textId="77777777" w:rsidTr="00F015DF">
        <w:tblPrEx>
          <w:tblBorders>
            <w:bottom w:val="single" w:sz="6" w:space="0" w:color="auto"/>
          </w:tblBorders>
        </w:tblPrEx>
        <w:trPr>
          <w:gridBefore w:val="1"/>
          <w:wBefore w:w="75" w:type="dxa"/>
          <w:trHeight w:val="380"/>
          <w:jc w:val="center"/>
        </w:trPr>
        <w:tc>
          <w:tcPr>
            <w:tcW w:w="1946" w:type="dxa"/>
            <w:gridSpan w:val="2"/>
            <w:tcBorders>
              <w:top w:val="nil"/>
              <w:left w:val="nil"/>
              <w:bottom w:val="single" w:sz="6" w:space="0" w:color="auto"/>
              <w:right w:val="nil"/>
            </w:tcBorders>
          </w:tcPr>
          <w:p w14:paraId="4C212155" w14:textId="77777777" w:rsidR="00C73B74" w:rsidRPr="00A7130E" w:rsidRDefault="00C73B74" w:rsidP="00C73B74">
            <w:pPr>
              <w:widowControl w:val="0"/>
              <w:autoSpaceDE w:val="0"/>
              <w:autoSpaceDN w:val="0"/>
              <w:adjustRightInd w:val="0"/>
              <w:spacing w:after="0" w:line="240" w:lineRule="auto"/>
              <w:rPr>
                <w:rFonts w:ascii="Times New Roman" w:eastAsiaTheme="minorEastAsia" w:hAnsi="Times New Roman" w:cs="Times New Roman"/>
                <w:sz w:val="18"/>
                <w:szCs w:val="18"/>
              </w:rPr>
            </w:pPr>
            <w:r w:rsidRPr="00A7130E">
              <w:rPr>
                <w:rFonts w:ascii="Times New Roman" w:hAnsi="Times New Roman" w:cs="Times New Roman"/>
                <w:sz w:val="18"/>
                <w:szCs w:val="18"/>
              </w:rPr>
              <w:t xml:space="preserve">Adjusted </w:t>
            </w:r>
            <m:oMath>
              <m:sSup>
                <m:sSupPr>
                  <m:ctrlPr>
                    <w:rPr>
                      <w:rFonts w:ascii="Cambria Math" w:hAnsi="Cambria Math" w:cs="Times New Roman"/>
                      <w:i/>
                      <w:sz w:val="18"/>
                      <w:szCs w:val="18"/>
                    </w:rPr>
                  </m:ctrlPr>
                </m:sSupPr>
                <m:e>
                  <m:r>
                    <w:rPr>
                      <w:rFonts w:ascii="Cambria Math" w:hAnsi="Cambria Math" w:cs="Times New Roman"/>
                      <w:sz w:val="18"/>
                      <w:szCs w:val="18"/>
                    </w:rPr>
                    <m:t>R</m:t>
                  </m:r>
                </m:e>
                <m:sup>
                  <m:r>
                    <w:rPr>
                      <w:rFonts w:ascii="Cambria Math" w:hAnsi="Cambria Math" w:cs="Times New Roman"/>
                      <w:sz w:val="18"/>
                      <w:szCs w:val="18"/>
                    </w:rPr>
                    <m:t>2</m:t>
                  </m:r>
                </m:sup>
              </m:sSup>
            </m:oMath>
          </w:p>
          <w:p w14:paraId="2E08A314" w14:textId="77777777" w:rsidR="00C73B74" w:rsidRPr="00A7130E" w:rsidRDefault="00C73B74" w:rsidP="00C73B74">
            <w:pPr>
              <w:widowControl w:val="0"/>
              <w:autoSpaceDE w:val="0"/>
              <w:autoSpaceDN w:val="0"/>
              <w:adjustRightInd w:val="0"/>
              <w:spacing w:after="0" w:line="240" w:lineRule="auto"/>
              <w:rPr>
                <w:rFonts w:ascii="Times New Roman" w:eastAsiaTheme="minorEastAsia" w:hAnsi="Times New Roman" w:cs="Times New Roman"/>
                <w:sz w:val="18"/>
                <w:szCs w:val="18"/>
              </w:rPr>
            </w:pPr>
            <w:r w:rsidRPr="00A7130E">
              <w:rPr>
                <w:rFonts w:ascii="Times New Roman" w:eastAsiaTheme="minorEastAsia" w:hAnsi="Times New Roman" w:cs="Times New Roman"/>
                <w:sz w:val="18"/>
                <w:szCs w:val="18"/>
              </w:rPr>
              <w:t>F-value</w:t>
            </w:r>
          </w:p>
          <w:p w14:paraId="1C651102" w14:textId="77777777" w:rsidR="00C73B74" w:rsidRPr="00A7130E" w:rsidRDefault="00C73B74" w:rsidP="00C73B74">
            <w:pPr>
              <w:widowControl w:val="0"/>
              <w:autoSpaceDE w:val="0"/>
              <w:autoSpaceDN w:val="0"/>
              <w:adjustRightInd w:val="0"/>
              <w:spacing w:after="0" w:line="240" w:lineRule="auto"/>
              <w:rPr>
                <w:rFonts w:ascii="Times New Roman" w:eastAsiaTheme="minorEastAsia" w:hAnsi="Times New Roman" w:cs="Times New Roman"/>
                <w:sz w:val="18"/>
                <w:szCs w:val="18"/>
              </w:rPr>
            </w:pPr>
            <w:r w:rsidRPr="00A7130E">
              <w:rPr>
                <w:rFonts w:ascii="Times New Roman" w:eastAsiaTheme="minorEastAsia" w:hAnsi="Times New Roman" w:cs="Times New Roman"/>
                <w:sz w:val="18"/>
                <w:szCs w:val="18"/>
              </w:rPr>
              <w:t>P-value</w:t>
            </w:r>
          </w:p>
          <w:p w14:paraId="6C4A2BED" w14:textId="77777777" w:rsidR="00C73B74" w:rsidRPr="00A7130E" w:rsidRDefault="00C73B74" w:rsidP="00C73B74">
            <w:pPr>
              <w:widowControl w:val="0"/>
              <w:autoSpaceDE w:val="0"/>
              <w:autoSpaceDN w:val="0"/>
              <w:adjustRightInd w:val="0"/>
              <w:spacing w:after="0" w:line="240" w:lineRule="auto"/>
              <w:rPr>
                <w:rFonts w:ascii="Times New Roman" w:eastAsiaTheme="minorEastAsia" w:hAnsi="Times New Roman" w:cs="Times New Roman"/>
                <w:sz w:val="18"/>
                <w:szCs w:val="18"/>
              </w:rPr>
            </w:pPr>
            <w:r w:rsidRPr="00A7130E">
              <w:rPr>
                <w:rFonts w:ascii="Times New Roman" w:eastAsiaTheme="minorEastAsia" w:hAnsi="Times New Roman" w:cs="Times New Roman"/>
                <w:sz w:val="18"/>
                <w:szCs w:val="18"/>
              </w:rPr>
              <w:t>Industry Effect</w:t>
            </w:r>
          </w:p>
          <w:p w14:paraId="748417C2" w14:textId="77777777" w:rsidR="00C73B74" w:rsidRPr="00A7130E" w:rsidRDefault="00C73B74" w:rsidP="00C73B74">
            <w:pPr>
              <w:widowControl w:val="0"/>
              <w:autoSpaceDE w:val="0"/>
              <w:autoSpaceDN w:val="0"/>
              <w:adjustRightInd w:val="0"/>
              <w:spacing w:after="0" w:line="240" w:lineRule="auto"/>
              <w:rPr>
                <w:rFonts w:ascii="Times New Roman" w:eastAsiaTheme="minorEastAsia" w:hAnsi="Times New Roman" w:cs="Times New Roman"/>
                <w:sz w:val="18"/>
                <w:szCs w:val="18"/>
              </w:rPr>
            </w:pPr>
            <w:r w:rsidRPr="00A7130E">
              <w:rPr>
                <w:rFonts w:ascii="Times New Roman" w:eastAsiaTheme="minorEastAsia" w:hAnsi="Times New Roman" w:cs="Times New Roman"/>
                <w:sz w:val="18"/>
                <w:szCs w:val="18"/>
              </w:rPr>
              <w:t>Target Nation Effect</w:t>
            </w:r>
          </w:p>
        </w:tc>
        <w:tc>
          <w:tcPr>
            <w:tcW w:w="1222" w:type="dxa"/>
            <w:gridSpan w:val="2"/>
            <w:tcBorders>
              <w:top w:val="nil"/>
              <w:left w:val="nil"/>
              <w:bottom w:val="single" w:sz="6" w:space="0" w:color="auto"/>
              <w:right w:val="nil"/>
            </w:tcBorders>
          </w:tcPr>
          <w:p w14:paraId="0A9066A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4.8%</w:t>
            </w:r>
          </w:p>
          <w:p w14:paraId="60BE4A1D"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1.67*</w:t>
            </w:r>
          </w:p>
          <w:p w14:paraId="7F2E1EA3"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0.056</w:t>
            </w:r>
          </w:p>
          <w:p w14:paraId="275A46D5"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p>
        </w:tc>
        <w:tc>
          <w:tcPr>
            <w:tcW w:w="1222" w:type="dxa"/>
            <w:gridSpan w:val="2"/>
            <w:tcBorders>
              <w:top w:val="nil"/>
              <w:left w:val="nil"/>
              <w:bottom w:val="single" w:sz="6" w:space="0" w:color="auto"/>
              <w:right w:val="nil"/>
            </w:tcBorders>
          </w:tcPr>
          <w:p w14:paraId="4D5C1758"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4.9%</w:t>
            </w:r>
          </w:p>
          <w:p w14:paraId="60F86D20"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1.42*</w:t>
            </w:r>
          </w:p>
          <w:p w14:paraId="357F3C8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0.094</w:t>
            </w:r>
          </w:p>
          <w:p w14:paraId="6D417043"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c>
          <w:tcPr>
            <w:tcW w:w="1222" w:type="dxa"/>
            <w:gridSpan w:val="2"/>
            <w:tcBorders>
              <w:top w:val="nil"/>
              <w:left w:val="nil"/>
              <w:bottom w:val="single" w:sz="6" w:space="0" w:color="auto"/>
              <w:right w:val="nil"/>
            </w:tcBorders>
          </w:tcPr>
          <w:p w14:paraId="027CB227"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5.6%</w:t>
            </w:r>
          </w:p>
          <w:p w14:paraId="04CB46B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1.37</w:t>
            </w:r>
          </w:p>
          <w:p w14:paraId="05652F22"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0.207</w:t>
            </w:r>
          </w:p>
          <w:p w14:paraId="15CDE27E"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p w14:paraId="1676BA5F"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c>
          <w:tcPr>
            <w:tcW w:w="1333" w:type="dxa"/>
            <w:gridSpan w:val="2"/>
            <w:tcBorders>
              <w:top w:val="nil"/>
              <w:left w:val="nil"/>
              <w:bottom w:val="single" w:sz="6" w:space="0" w:color="auto"/>
              <w:right w:val="nil"/>
            </w:tcBorders>
          </w:tcPr>
          <w:p w14:paraId="63D87CBE"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5.4%</w:t>
            </w:r>
          </w:p>
          <w:p w14:paraId="033661A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1.76**</w:t>
            </w:r>
          </w:p>
          <w:p w14:paraId="584C712C"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0.039</w:t>
            </w:r>
          </w:p>
        </w:tc>
        <w:tc>
          <w:tcPr>
            <w:tcW w:w="1333" w:type="dxa"/>
            <w:gridSpan w:val="2"/>
            <w:tcBorders>
              <w:top w:val="nil"/>
              <w:left w:val="nil"/>
              <w:bottom w:val="single" w:sz="6" w:space="0" w:color="auto"/>
              <w:right w:val="nil"/>
            </w:tcBorders>
          </w:tcPr>
          <w:p w14:paraId="079E7F5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6.4%</w:t>
            </w:r>
          </w:p>
          <w:p w14:paraId="66886C6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1.55**</w:t>
            </w:r>
          </w:p>
          <w:p w14:paraId="1AB44513"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0.050</w:t>
            </w:r>
          </w:p>
          <w:p w14:paraId="10CABB94"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c>
          <w:tcPr>
            <w:tcW w:w="1222" w:type="dxa"/>
            <w:gridSpan w:val="2"/>
            <w:tcBorders>
              <w:top w:val="nil"/>
              <w:left w:val="nil"/>
              <w:bottom w:val="single" w:sz="6" w:space="0" w:color="auto"/>
              <w:right w:val="nil"/>
            </w:tcBorders>
          </w:tcPr>
          <w:p w14:paraId="4C8ACFCB"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6.7%</w:t>
            </w:r>
          </w:p>
          <w:p w14:paraId="04526CF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1.45*</w:t>
            </w:r>
          </w:p>
          <w:p w14:paraId="692B5835"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0.065</w:t>
            </w:r>
          </w:p>
          <w:p w14:paraId="3EE3DB98"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p w14:paraId="466C371A" w14:textId="77777777" w:rsidR="00C73B74" w:rsidRPr="00A7130E" w:rsidRDefault="00C73B74" w:rsidP="00C73B74">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r>
    </w:tbl>
    <w:p w14:paraId="244D3D60" w14:textId="77777777" w:rsidR="00651D1A" w:rsidRPr="00C20C42" w:rsidRDefault="00651D1A" w:rsidP="00651D1A">
      <w:pPr>
        <w:spacing w:after="0"/>
        <w:rPr>
          <w:rFonts w:ascii="Times New Roman" w:hAnsi="Times New Roman" w:cs="Times New Roman"/>
          <w:sz w:val="28"/>
        </w:rPr>
      </w:pPr>
      <w:r w:rsidRPr="00C20C42">
        <w:rPr>
          <w:rFonts w:ascii="Times New Roman" w:hAnsi="Times New Roman" w:cs="Times New Roman"/>
        </w:rPr>
        <w:t>*, **, and *** indicate a statistical significance level of 10%, 5%, and 1% (using two-tailed tests), respectively.</w:t>
      </w:r>
    </w:p>
    <w:p w14:paraId="6E39C21E" w14:textId="098E58D8" w:rsidR="00651D1A" w:rsidRPr="00A7130E" w:rsidRDefault="00C20C42" w:rsidP="00C20C42">
      <w:pPr>
        <w:pStyle w:val="ListParagraph"/>
        <w:tabs>
          <w:tab w:val="left" w:pos="365"/>
        </w:tabs>
        <w:spacing w:after="0"/>
        <w:ind w:left="0"/>
        <w:rPr>
          <w:rFonts w:ascii="Times New Roman" w:hAnsi="Times New Roman" w:cs="Times New Roman"/>
          <w:b/>
          <w:sz w:val="24"/>
        </w:rPr>
      </w:pPr>
      <w:r>
        <w:rPr>
          <w:rFonts w:ascii="Times New Roman" w:hAnsi="Times New Roman" w:cs="Times New Roman"/>
          <w:b/>
          <w:sz w:val="24"/>
        </w:rPr>
        <w:tab/>
      </w:r>
    </w:p>
    <w:p w14:paraId="1E425A8F" w14:textId="77777777" w:rsidR="008E661B" w:rsidRPr="00A7130E" w:rsidRDefault="008E661B" w:rsidP="008E661B">
      <w:pPr>
        <w:tabs>
          <w:tab w:val="center" w:pos="4680"/>
          <w:tab w:val="left" w:pos="5407"/>
        </w:tabs>
        <w:spacing w:after="60" w:line="276" w:lineRule="auto"/>
        <w:rPr>
          <w:rFonts w:ascii="Times New Roman" w:hAnsi="Times New Roman" w:cs="Times New Roman"/>
        </w:rPr>
      </w:pPr>
    </w:p>
    <w:p w14:paraId="7298F284" w14:textId="77777777" w:rsidR="008E661B" w:rsidRPr="00A7130E" w:rsidRDefault="008E661B" w:rsidP="008E661B">
      <w:pPr>
        <w:tabs>
          <w:tab w:val="center" w:pos="4680"/>
          <w:tab w:val="left" w:pos="5407"/>
        </w:tabs>
        <w:spacing w:after="60" w:line="276" w:lineRule="auto"/>
        <w:rPr>
          <w:rFonts w:ascii="Times New Roman" w:hAnsi="Times New Roman" w:cs="Times New Roman"/>
        </w:rPr>
      </w:pPr>
    </w:p>
    <w:p w14:paraId="709CB899" w14:textId="77777777" w:rsidR="008E661B" w:rsidRPr="00A7130E" w:rsidRDefault="008E661B" w:rsidP="008E661B">
      <w:pPr>
        <w:tabs>
          <w:tab w:val="center" w:pos="4680"/>
          <w:tab w:val="left" w:pos="5407"/>
        </w:tabs>
        <w:spacing w:after="60" w:line="276" w:lineRule="auto"/>
        <w:rPr>
          <w:rFonts w:ascii="Times New Roman" w:hAnsi="Times New Roman" w:cs="Times New Roman"/>
        </w:rPr>
      </w:pPr>
    </w:p>
    <w:p w14:paraId="31EFAA1F" w14:textId="77777777" w:rsidR="00F95211" w:rsidRPr="00A7130E" w:rsidRDefault="008E661B" w:rsidP="008E661B">
      <w:pPr>
        <w:tabs>
          <w:tab w:val="center" w:pos="4680"/>
          <w:tab w:val="left" w:pos="5407"/>
        </w:tabs>
        <w:spacing w:after="60" w:line="276" w:lineRule="auto"/>
        <w:rPr>
          <w:rFonts w:ascii="Times New Roman" w:hAnsi="Times New Roman" w:cs="Times New Roman"/>
        </w:rPr>
      </w:pPr>
      <w:r w:rsidRPr="00A7130E">
        <w:rPr>
          <w:rFonts w:ascii="Times New Roman" w:hAnsi="Times New Roman" w:cs="Times New Roman"/>
        </w:rPr>
        <w:tab/>
      </w:r>
    </w:p>
    <w:p w14:paraId="01C3F8DA" w14:textId="77777777" w:rsidR="00F95211" w:rsidRPr="00A7130E" w:rsidRDefault="00F95211" w:rsidP="008E661B">
      <w:pPr>
        <w:tabs>
          <w:tab w:val="center" w:pos="4680"/>
          <w:tab w:val="left" w:pos="5407"/>
        </w:tabs>
        <w:spacing w:after="60" w:line="276" w:lineRule="auto"/>
        <w:rPr>
          <w:rFonts w:ascii="Times New Roman" w:hAnsi="Times New Roman" w:cs="Times New Roman"/>
        </w:rPr>
      </w:pPr>
    </w:p>
    <w:p w14:paraId="562E6357" w14:textId="77777777" w:rsidR="00F95211" w:rsidRPr="00A7130E" w:rsidRDefault="00F95211" w:rsidP="008E661B">
      <w:pPr>
        <w:tabs>
          <w:tab w:val="center" w:pos="4680"/>
          <w:tab w:val="left" w:pos="5407"/>
        </w:tabs>
        <w:spacing w:after="60" w:line="276" w:lineRule="auto"/>
        <w:rPr>
          <w:rFonts w:ascii="Times New Roman" w:hAnsi="Times New Roman" w:cs="Times New Roman"/>
        </w:rPr>
      </w:pPr>
    </w:p>
    <w:p w14:paraId="2F354CB5" w14:textId="77777777" w:rsidR="0041756C" w:rsidRDefault="0041756C" w:rsidP="008E661B">
      <w:pPr>
        <w:tabs>
          <w:tab w:val="center" w:pos="4680"/>
          <w:tab w:val="left" w:pos="5407"/>
        </w:tabs>
        <w:spacing w:after="60" w:line="276" w:lineRule="auto"/>
        <w:rPr>
          <w:rFonts w:ascii="Times New Roman" w:hAnsi="Times New Roman" w:cs="Times New Roman"/>
        </w:rPr>
      </w:pPr>
    </w:p>
    <w:p w14:paraId="6755C22D" w14:textId="77777777" w:rsidR="008C0428" w:rsidRDefault="008C0428" w:rsidP="008E661B">
      <w:pPr>
        <w:tabs>
          <w:tab w:val="center" w:pos="4680"/>
          <w:tab w:val="left" w:pos="5407"/>
        </w:tabs>
        <w:spacing w:after="60" w:line="276" w:lineRule="auto"/>
        <w:rPr>
          <w:rFonts w:ascii="Times New Roman" w:hAnsi="Times New Roman" w:cs="Times New Roman"/>
        </w:rPr>
      </w:pPr>
    </w:p>
    <w:p w14:paraId="38117310" w14:textId="7F459AC7" w:rsidR="008E661B" w:rsidRPr="00A7130E" w:rsidRDefault="009F59B7" w:rsidP="008E661B">
      <w:pPr>
        <w:tabs>
          <w:tab w:val="center" w:pos="4680"/>
          <w:tab w:val="left" w:pos="5407"/>
        </w:tabs>
        <w:spacing w:after="60" w:line="276" w:lineRule="auto"/>
        <w:rPr>
          <w:rFonts w:ascii="Times New Roman" w:hAnsi="Times New Roman" w:cs="Times New Roman"/>
        </w:rPr>
      </w:pPr>
      <w:r>
        <w:rPr>
          <w:rFonts w:ascii="Times New Roman" w:hAnsi="Times New Roman" w:cs="Times New Roman"/>
        </w:rPr>
        <w:lastRenderedPageBreak/>
        <w:tab/>
      </w:r>
      <w:r w:rsidR="008E661B" w:rsidRPr="00A7130E">
        <w:rPr>
          <w:rFonts w:ascii="Times New Roman" w:hAnsi="Times New Roman" w:cs="Times New Roman"/>
        </w:rPr>
        <w:t>Table 6</w:t>
      </w:r>
      <w:r w:rsidR="008E661B" w:rsidRPr="00A7130E">
        <w:rPr>
          <w:rFonts w:ascii="Times New Roman" w:hAnsi="Times New Roman" w:cs="Times New Roman"/>
        </w:rPr>
        <w:tab/>
      </w:r>
    </w:p>
    <w:p w14:paraId="76C1D830" w14:textId="032E8EDF" w:rsidR="008031A4" w:rsidRPr="00C03199" w:rsidRDefault="008031A4" w:rsidP="008031A4">
      <w:pPr>
        <w:tabs>
          <w:tab w:val="left" w:pos="1052"/>
        </w:tabs>
        <w:spacing w:after="120" w:line="276" w:lineRule="auto"/>
        <w:jc w:val="center"/>
        <w:rPr>
          <w:rFonts w:ascii="Times New Roman" w:hAnsi="Times New Roman" w:cs="Times New Roman"/>
        </w:rPr>
      </w:pPr>
      <w:r>
        <w:rPr>
          <w:rFonts w:ascii="Times New Roman" w:hAnsi="Times New Roman" w:cs="Times New Roman"/>
        </w:rPr>
        <w:t>T</w:t>
      </w:r>
      <w:r w:rsidRPr="008031A4">
        <w:rPr>
          <w:rFonts w:ascii="Times New Roman" w:hAnsi="Times New Roman" w:cs="Times New Roman"/>
        </w:rPr>
        <w:t>arget firms’ cross-sectional analysis</w:t>
      </w:r>
    </w:p>
    <w:p w14:paraId="68D79880" w14:textId="342A2F46" w:rsidR="008E661B" w:rsidRPr="00A7130E" w:rsidRDefault="008E661B" w:rsidP="008E661B">
      <w:pPr>
        <w:spacing w:after="120" w:line="276" w:lineRule="auto"/>
        <w:jc w:val="center"/>
        <w:rPr>
          <w:rFonts w:ascii="Times New Roman" w:hAnsi="Times New Roman" w:cs="Times New Roman"/>
        </w:rPr>
      </w:pPr>
      <w:r w:rsidRPr="00A7130E">
        <w:rPr>
          <w:rFonts w:ascii="Times New Roman" w:hAnsi="Times New Roman" w:cs="Times New Roman"/>
        </w:rPr>
        <w:t xml:space="preserve"> (Excluding UK target firms)</w:t>
      </w:r>
    </w:p>
    <w:p w14:paraId="5E2E958A" w14:textId="74136C47" w:rsidR="000F276A" w:rsidRPr="00A7130E" w:rsidRDefault="00775EA8" w:rsidP="000F276A">
      <w:pPr>
        <w:widowControl w:val="0"/>
        <w:autoSpaceDE w:val="0"/>
        <w:autoSpaceDN w:val="0"/>
        <w:adjustRightInd w:val="0"/>
        <w:spacing w:after="0" w:line="240" w:lineRule="auto"/>
        <w:jc w:val="both"/>
        <w:rPr>
          <w:rFonts w:ascii="Times New Roman" w:hAnsi="Times New Roman" w:cs="Times New Roman"/>
        </w:rPr>
      </w:pPr>
      <w:r w:rsidRPr="008031A4">
        <w:rPr>
          <w:rFonts w:ascii="Times New Roman" w:hAnsi="Times New Roman" w:cs="Times New Roman"/>
        </w:rPr>
        <w:t xml:space="preserve">This table presents the </w:t>
      </w:r>
      <w:r>
        <w:rPr>
          <w:rFonts w:ascii="Times New Roman" w:hAnsi="Times New Roman" w:cs="Times New Roman"/>
        </w:rPr>
        <w:t>results of the regressions</w:t>
      </w:r>
      <w:r w:rsidRPr="008031A4">
        <w:rPr>
          <w:rFonts w:ascii="Times New Roman" w:hAnsi="Times New Roman" w:cs="Times New Roman"/>
        </w:rPr>
        <w:t xml:space="preserve"> </w:t>
      </w:r>
      <w:r>
        <w:rPr>
          <w:rFonts w:ascii="Times New Roman" w:hAnsi="Times New Roman" w:cs="Times New Roman"/>
        </w:rPr>
        <w:t>for</w:t>
      </w:r>
      <w:r w:rsidRPr="008031A4">
        <w:rPr>
          <w:rFonts w:ascii="Times New Roman" w:hAnsi="Times New Roman" w:cs="Times New Roman"/>
        </w:rPr>
        <w:t xml:space="preserve"> </w:t>
      </w:r>
      <w:r>
        <w:rPr>
          <w:rFonts w:ascii="Times New Roman" w:hAnsi="Times New Roman" w:cs="Times New Roman"/>
        </w:rPr>
        <w:t xml:space="preserve">the </w:t>
      </w:r>
      <w:r w:rsidRPr="008031A4">
        <w:rPr>
          <w:rFonts w:ascii="Times New Roman" w:hAnsi="Times New Roman" w:cs="Times New Roman"/>
        </w:rPr>
        <w:t xml:space="preserve">cumulative abnormal returns to </w:t>
      </w:r>
      <w:r>
        <w:rPr>
          <w:rFonts w:ascii="Times New Roman" w:hAnsi="Times New Roman" w:cs="Times New Roman"/>
        </w:rPr>
        <w:t xml:space="preserve">the shareholders of target firms in </w:t>
      </w:r>
      <w:r w:rsidR="000C1D9C">
        <w:rPr>
          <w:rFonts w:ascii="Times New Roman" w:hAnsi="Times New Roman" w:cs="Times New Roman"/>
        </w:rPr>
        <w:t xml:space="preserve">domestic and </w:t>
      </w:r>
      <w:r>
        <w:rPr>
          <w:rFonts w:ascii="Times New Roman" w:hAnsi="Times New Roman" w:cs="Times New Roman"/>
        </w:rPr>
        <w:t>cross-border deals</w:t>
      </w:r>
      <w:r w:rsidRPr="008031A4">
        <w:rPr>
          <w:rFonts w:ascii="Times New Roman" w:hAnsi="Times New Roman" w:cs="Times New Roman"/>
        </w:rPr>
        <w:t xml:space="preserve"> in </w:t>
      </w:r>
      <w:r>
        <w:rPr>
          <w:rFonts w:ascii="Times New Roman" w:hAnsi="Times New Roman" w:cs="Times New Roman"/>
        </w:rPr>
        <w:t>nine</w:t>
      </w:r>
      <w:r w:rsidRPr="008031A4">
        <w:rPr>
          <w:rFonts w:ascii="Times New Roman" w:hAnsi="Times New Roman" w:cs="Times New Roman"/>
        </w:rPr>
        <w:t xml:space="preserve"> distinct European countries</w:t>
      </w:r>
      <w:r w:rsidRPr="00A7130E">
        <w:rPr>
          <w:rFonts w:ascii="Times New Roman" w:hAnsi="Times New Roman" w:cs="Times New Roman"/>
        </w:rPr>
        <w:t>.</w:t>
      </w:r>
      <w:r w:rsidR="008E661B" w:rsidRPr="00A7130E">
        <w:rPr>
          <w:rFonts w:ascii="Times New Roman" w:hAnsi="Times New Roman" w:cs="Times New Roman"/>
        </w:rPr>
        <w:t xml:space="preserve"> OLS regressions, adjusted for heteroskedasticity, are used to generate the following output. </w:t>
      </w:r>
      <w:r w:rsidR="000C1D9C" w:rsidRPr="00775EA8">
        <w:rPr>
          <w:rFonts w:ascii="Times New Roman" w:hAnsi="Times New Roman" w:cs="Times New Roman"/>
        </w:rPr>
        <w:t>All i</w:t>
      </w:r>
      <w:r w:rsidR="000C1D9C">
        <w:rPr>
          <w:rFonts w:ascii="Times New Roman" w:hAnsi="Times New Roman" w:cs="Times New Roman"/>
        </w:rPr>
        <w:t>nformation about the variables’</w:t>
      </w:r>
      <w:r w:rsidR="000C1D9C" w:rsidRPr="00775EA8">
        <w:rPr>
          <w:rFonts w:ascii="Times New Roman" w:hAnsi="Times New Roman" w:cs="Times New Roman"/>
        </w:rPr>
        <w:t xml:space="preserve"> definition, type, calculation, and source are described </w:t>
      </w:r>
      <w:r w:rsidR="000C1D9C">
        <w:rPr>
          <w:rFonts w:ascii="Times New Roman" w:hAnsi="Times New Roman" w:cs="Times New Roman"/>
        </w:rPr>
        <w:t>in the appendix, section “A”.</w:t>
      </w:r>
      <w:r w:rsidR="008E661B" w:rsidRPr="00A7130E">
        <w:rPr>
          <w:rFonts w:ascii="Times New Roman" w:hAnsi="Times New Roman" w:cs="Times New Roman"/>
        </w:rPr>
        <w:t xml:space="preserve"> Cross is a dummy that takes a value of 1 for cross-border acquisitions and 0 otherwise</w:t>
      </w:r>
      <w:r w:rsidR="009F59B7">
        <w:rPr>
          <w:rFonts w:ascii="Times New Roman" w:hAnsi="Times New Roman" w:cs="Times New Roman"/>
        </w:rPr>
        <w:t>. The constants of the regressions are removed to adjust for collinearity</w:t>
      </w:r>
      <w:r w:rsidR="008E661B" w:rsidRPr="00A7130E">
        <w:rPr>
          <w:rFonts w:ascii="Times New Roman" w:hAnsi="Times New Roman" w:cs="Times New Roman"/>
        </w:rPr>
        <w:t>. This regression is a robustness</w:t>
      </w:r>
      <w:r w:rsidR="000F276A" w:rsidRPr="00A7130E">
        <w:rPr>
          <w:rFonts w:ascii="Times New Roman" w:hAnsi="Times New Roman" w:cs="Times New Roman"/>
        </w:rPr>
        <w:t xml:space="preserve"> check for the output of table 4</w:t>
      </w:r>
      <w:r w:rsidR="008E661B" w:rsidRPr="00A7130E">
        <w:rPr>
          <w:rFonts w:ascii="Times New Roman" w:hAnsi="Times New Roman" w:cs="Times New Roman"/>
        </w:rPr>
        <w:t>, and the table reports the changes observed in the variables wh</w:t>
      </w:r>
      <w:r w:rsidR="000F276A" w:rsidRPr="00A7130E">
        <w:rPr>
          <w:rFonts w:ascii="Times New Roman" w:hAnsi="Times New Roman" w:cs="Times New Roman"/>
        </w:rPr>
        <w:t xml:space="preserve">en UK target firms are removed. Although the </w:t>
      </w:r>
      <w:r w:rsidR="000C1D9C">
        <w:rPr>
          <w:rFonts w:ascii="Times New Roman" w:hAnsi="Times New Roman" w:cs="Times New Roman"/>
        </w:rPr>
        <w:t>regressions’ explanatory powers are lo</w:t>
      </w:r>
      <w:r w:rsidR="000F276A" w:rsidRPr="00A7130E">
        <w:rPr>
          <w:rFonts w:ascii="Times New Roman" w:hAnsi="Times New Roman" w:cs="Times New Roman"/>
        </w:rPr>
        <w:t xml:space="preserve">w, the regressions are highly significant at 1% statistical significance level. </w:t>
      </w:r>
      <w:r w:rsidR="009F59B7">
        <w:rPr>
          <w:rFonts w:ascii="Times New Roman" w:hAnsi="Times New Roman" w:cs="Times New Roman"/>
        </w:rPr>
        <w:t xml:space="preserve">The cross-border is found to be significant for Wester European target firms, excluding UK target firms, even after controlling for acquirer region and target industry effects. After excluding UK target firms, none of the coefficients for the payment method, percentage of stake acquired and </w:t>
      </w:r>
      <w:r w:rsidR="00A45C3C">
        <w:rPr>
          <w:rFonts w:ascii="Times New Roman" w:hAnsi="Times New Roman" w:cs="Times New Roman"/>
        </w:rPr>
        <w:t>target firms’ industries are found to be significant</w:t>
      </w:r>
      <w:r w:rsidR="009F59B7">
        <w:rPr>
          <w:rFonts w:ascii="Times New Roman" w:hAnsi="Times New Roman" w:cs="Times New Roman"/>
        </w:rPr>
        <w:t xml:space="preserve">. </w:t>
      </w:r>
    </w:p>
    <w:tbl>
      <w:tblPr>
        <w:tblW w:w="9167" w:type="dxa"/>
        <w:jc w:val="center"/>
        <w:tblLayout w:type="fixed"/>
        <w:tblCellMar>
          <w:left w:w="75" w:type="dxa"/>
          <w:right w:w="75" w:type="dxa"/>
        </w:tblCellMar>
        <w:tblLook w:val="0000" w:firstRow="0" w:lastRow="0" w:firstColumn="0" w:lastColumn="0" w:noHBand="0" w:noVBand="0"/>
      </w:tblPr>
      <w:tblGrid>
        <w:gridCol w:w="2093"/>
        <w:gridCol w:w="1179"/>
        <w:gridCol w:w="1179"/>
        <w:gridCol w:w="1179"/>
        <w:gridCol w:w="1179"/>
        <w:gridCol w:w="1179"/>
        <w:gridCol w:w="1179"/>
      </w:tblGrid>
      <w:tr w:rsidR="000F276A" w:rsidRPr="00A7130E" w14:paraId="13EC162D" w14:textId="77777777" w:rsidTr="008C0428">
        <w:trPr>
          <w:trHeight w:val="283"/>
          <w:jc w:val="center"/>
        </w:trPr>
        <w:tc>
          <w:tcPr>
            <w:tcW w:w="2093" w:type="dxa"/>
            <w:tcBorders>
              <w:top w:val="single" w:sz="6" w:space="0" w:color="auto"/>
              <w:left w:val="nil"/>
              <w:bottom w:val="nil"/>
              <w:right w:val="nil"/>
            </w:tcBorders>
          </w:tcPr>
          <w:p w14:paraId="35DFB9ED"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single" w:sz="6" w:space="0" w:color="auto"/>
              <w:left w:val="nil"/>
              <w:bottom w:val="nil"/>
              <w:right w:val="nil"/>
            </w:tcBorders>
          </w:tcPr>
          <w:p w14:paraId="62EC8D51"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single" w:sz="6" w:space="0" w:color="auto"/>
              <w:left w:val="nil"/>
              <w:bottom w:val="nil"/>
              <w:right w:val="nil"/>
            </w:tcBorders>
          </w:tcPr>
          <w:p w14:paraId="27F63C90"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single" w:sz="6" w:space="0" w:color="auto"/>
              <w:left w:val="nil"/>
              <w:bottom w:val="nil"/>
              <w:right w:val="nil"/>
            </w:tcBorders>
          </w:tcPr>
          <w:p w14:paraId="2C7E1583"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single" w:sz="6" w:space="0" w:color="auto"/>
              <w:left w:val="nil"/>
              <w:bottom w:val="nil"/>
              <w:right w:val="nil"/>
            </w:tcBorders>
          </w:tcPr>
          <w:p w14:paraId="7C0C1B14"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single" w:sz="6" w:space="0" w:color="auto"/>
              <w:left w:val="nil"/>
              <w:bottom w:val="nil"/>
              <w:right w:val="nil"/>
            </w:tcBorders>
          </w:tcPr>
          <w:p w14:paraId="7777BBF5"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single" w:sz="6" w:space="0" w:color="auto"/>
              <w:left w:val="nil"/>
              <w:bottom w:val="nil"/>
              <w:right w:val="nil"/>
            </w:tcBorders>
          </w:tcPr>
          <w:p w14:paraId="4772A335"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r>
      <w:tr w:rsidR="000F276A" w:rsidRPr="00A7130E" w14:paraId="3AD7C748" w14:textId="77777777" w:rsidTr="008C0428">
        <w:trPr>
          <w:trHeight w:val="283"/>
          <w:jc w:val="center"/>
        </w:trPr>
        <w:tc>
          <w:tcPr>
            <w:tcW w:w="2093" w:type="dxa"/>
            <w:tcBorders>
              <w:top w:val="nil"/>
              <w:left w:val="nil"/>
              <w:bottom w:val="nil"/>
              <w:right w:val="nil"/>
            </w:tcBorders>
          </w:tcPr>
          <w:p w14:paraId="631B81BB" w14:textId="77777777" w:rsidR="000F276A" w:rsidRPr="00A7130E" w:rsidRDefault="000F276A" w:rsidP="0042238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Event window</w:t>
            </w:r>
          </w:p>
        </w:tc>
        <w:tc>
          <w:tcPr>
            <w:tcW w:w="1179" w:type="dxa"/>
            <w:tcBorders>
              <w:top w:val="nil"/>
              <w:left w:val="nil"/>
              <w:bottom w:val="nil"/>
              <w:right w:val="nil"/>
            </w:tcBorders>
          </w:tcPr>
          <w:p w14:paraId="314CC46B"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CAR 0, +1</w:t>
            </w:r>
          </w:p>
        </w:tc>
        <w:tc>
          <w:tcPr>
            <w:tcW w:w="1179" w:type="dxa"/>
            <w:tcBorders>
              <w:top w:val="nil"/>
              <w:left w:val="nil"/>
              <w:bottom w:val="nil"/>
              <w:right w:val="nil"/>
            </w:tcBorders>
          </w:tcPr>
          <w:p w14:paraId="6917FC68"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CAR 0, +1</w:t>
            </w:r>
          </w:p>
        </w:tc>
        <w:tc>
          <w:tcPr>
            <w:tcW w:w="1179" w:type="dxa"/>
            <w:tcBorders>
              <w:top w:val="nil"/>
              <w:left w:val="nil"/>
              <w:bottom w:val="nil"/>
              <w:right w:val="nil"/>
            </w:tcBorders>
          </w:tcPr>
          <w:p w14:paraId="583B232E"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CAR 0, +1</w:t>
            </w:r>
          </w:p>
        </w:tc>
        <w:tc>
          <w:tcPr>
            <w:tcW w:w="1179" w:type="dxa"/>
            <w:tcBorders>
              <w:top w:val="nil"/>
              <w:left w:val="nil"/>
              <w:bottom w:val="nil"/>
              <w:right w:val="nil"/>
            </w:tcBorders>
          </w:tcPr>
          <w:p w14:paraId="6FC19026"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CAR -1, +5</w:t>
            </w:r>
          </w:p>
        </w:tc>
        <w:tc>
          <w:tcPr>
            <w:tcW w:w="1179" w:type="dxa"/>
            <w:tcBorders>
              <w:top w:val="nil"/>
              <w:left w:val="nil"/>
              <w:bottom w:val="nil"/>
              <w:right w:val="nil"/>
            </w:tcBorders>
          </w:tcPr>
          <w:p w14:paraId="6FC3E5FB"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CAR -1,+5</w:t>
            </w:r>
          </w:p>
        </w:tc>
        <w:tc>
          <w:tcPr>
            <w:tcW w:w="1179" w:type="dxa"/>
            <w:tcBorders>
              <w:top w:val="nil"/>
              <w:left w:val="nil"/>
              <w:bottom w:val="nil"/>
              <w:right w:val="nil"/>
            </w:tcBorders>
          </w:tcPr>
          <w:p w14:paraId="495AC8D7"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CAR -1,+5</w:t>
            </w:r>
          </w:p>
        </w:tc>
      </w:tr>
      <w:tr w:rsidR="000F276A" w:rsidRPr="00A7130E" w14:paraId="436D653F" w14:textId="77777777" w:rsidTr="008C0428">
        <w:trPr>
          <w:trHeight w:val="283"/>
          <w:jc w:val="center"/>
        </w:trPr>
        <w:tc>
          <w:tcPr>
            <w:tcW w:w="2093" w:type="dxa"/>
            <w:tcBorders>
              <w:top w:val="nil"/>
              <w:left w:val="nil"/>
              <w:bottom w:val="single" w:sz="6" w:space="0" w:color="auto"/>
              <w:right w:val="nil"/>
            </w:tcBorders>
          </w:tcPr>
          <w:p w14:paraId="0304F392" w14:textId="77777777" w:rsidR="000F276A" w:rsidRPr="00A7130E" w:rsidRDefault="000F276A" w:rsidP="00422382">
            <w:pPr>
              <w:widowControl w:val="0"/>
              <w:autoSpaceDE w:val="0"/>
              <w:autoSpaceDN w:val="0"/>
              <w:adjustRightInd w:val="0"/>
              <w:spacing w:after="0" w:line="240" w:lineRule="auto"/>
              <w:rPr>
                <w:rFonts w:ascii="Times New Roman" w:hAnsi="Times New Roman" w:cs="Times New Roman"/>
                <w:sz w:val="18"/>
                <w:szCs w:val="18"/>
              </w:rPr>
            </w:pPr>
          </w:p>
        </w:tc>
        <w:tc>
          <w:tcPr>
            <w:tcW w:w="1179" w:type="dxa"/>
            <w:tcBorders>
              <w:top w:val="nil"/>
              <w:left w:val="nil"/>
              <w:bottom w:val="single" w:sz="6" w:space="0" w:color="auto"/>
              <w:right w:val="nil"/>
            </w:tcBorders>
          </w:tcPr>
          <w:p w14:paraId="7000D66B"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w:t>
            </w:r>
          </w:p>
        </w:tc>
        <w:tc>
          <w:tcPr>
            <w:tcW w:w="1179" w:type="dxa"/>
            <w:tcBorders>
              <w:top w:val="nil"/>
              <w:left w:val="nil"/>
              <w:bottom w:val="single" w:sz="6" w:space="0" w:color="auto"/>
              <w:right w:val="nil"/>
            </w:tcBorders>
          </w:tcPr>
          <w:p w14:paraId="6B2EB16B"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w:t>
            </w:r>
          </w:p>
        </w:tc>
        <w:tc>
          <w:tcPr>
            <w:tcW w:w="1179" w:type="dxa"/>
            <w:tcBorders>
              <w:top w:val="nil"/>
              <w:left w:val="nil"/>
              <w:bottom w:val="single" w:sz="6" w:space="0" w:color="auto"/>
              <w:right w:val="nil"/>
            </w:tcBorders>
          </w:tcPr>
          <w:p w14:paraId="79595206"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(3)</w:t>
            </w:r>
          </w:p>
        </w:tc>
        <w:tc>
          <w:tcPr>
            <w:tcW w:w="1179" w:type="dxa"/>
            <w:tcBorders>
              <w:top w:val="nil"/>
              <w:left w:val="nil"/>
              <w:bottom w:val="single" w:sz="6" w:space="0" w:color="auto"/>
              <w:right w:val="nil"/>
            </w:tcBorders>
          </w:tcPr>
          <w:p w14:paraId="72ACAFA1"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w:t>
            </w:r>
          </w:p>
        </w:tc>
        <w:tc>
          <w:tcPr>
            <w:tcW w:w="1179" w:type="dxa"/>
            <w:tcBorders>
              <w:top w:val="nil"/>
              <w:left w:val="nil"/>
              <w:bottom w:val="single" w:sz="6" w:space="0" w:color="auto"/>
              <w:right w:val="nil"/>
            </w:tcBorders>
          </w:tcPr>
          <w:p w14:paraId="65DAB2A4"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w:t>
            </w:r>
          </w:p>
        </w:tc>
        <w:tc>
          <w:tcPr>
            <w:tcW w:w="1179" w:type="dxa"/>
            <w:tcBorders>
              <w:top w:val="nil"/>
              <w:left w:val="nil"/>
              <w:bottom w:val="single" w:sz="6" w:space="0" w:color="auto"/>
              <w:right w:val="nil"/>
            </w:tcBorders>
          </w:tcPr>
          <w:p w14:paraId="120420DC"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(3)</w:t>
            </w:r>
          </w:p>
        </w:tc>
      </w:tr>
      <w:tr w:rsidR="000F276A" w:rsidRPr="00A7130E" w14:paraId="730CEFD2" w14:textId="77777777" w:rsidTr="008C0428">
        <w:trPr>
          <w:trHeight w:val="283"/>
          <w:jc w:val="center"/>
        </w:trPr>
        <w:tc>
          <w:tcPr>
            <w:tcW w:w="2093" w:type="dxa"/>
            <w:tcBorders>
              <w:top w:val="nil"/>
              <w:left w:val="nil"/>
              <w:bottom w:val="nil"/>
              <w:right w:val="nil"/>
            </w:tcBorders>
          </w:tcPr>
          <w:p w14:paraId="56D20D1C"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534DC23D"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69217A8B"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4672546"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40DD528"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61B73A7E"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D4BE13E" w14:textId="77777777" w:rsidR="000F276A" w:rsidRPr="00A7130E" w:rsidRDefault="000F276A" w:rsidP="00422382">
            <w:pPr>
              <w:widowControl w:val="0"/>
              <w:autoSpaceDE w:val="0"/>
              <w:autoSpaceDN w:val="0"/>
              <w:adjustRightInd w:val="0"/>
              <w:spacing w:after="0" w:line="240" w:lineRule="auto"/>
              <w:jc w:val="center"/>
              <w:rPr>
                <w:rFonts w:ascii="Times New Roman" w:hAnsi="Times New Roman" w:cs="Times New Roman"/>
                <w:sz w:val="18"/>
                <w:szCs w:val="18"/>
              </w:rPr>
            </w:pPr>
          </w:p>
        </w:tc>
      </w:tr>
      <w:tr w:rsidR="00BC7292" w:rsidRPr="00A7130E" w14:paraId="1CBDF70D" w14:textId="77777777" w:rsidTr="008C0428">
        <w:trPr>
          <w:trHeight w:val="283"/>
          <w:jc w:val="center"/>
        </w:trPr>
        <w:tc>
          <w:tcPr>
            <w:tcW w:w="2093" w:type="dxa"/>
            <w:tcBorders>
              <w:top w:val="nil"/>
              <w:left w:val="nil"/>
              <w:bottom w:val="nil"/>
              <w:right w:val="nil"/>
            </w:tcBorders>
          </w:tcPr>
          <w:p w14:paraId="5259457F"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No prior EU Operation</w:t>
            </w:r>
          </w:p>
        </w:tc>
        <w:tc>
          <w:tcPr>
            <w:tcW w:w="1179" w:type="dxa"/>
            <w:tcBorders>
              <w:top w:val="nil"/>
              <w:left w:val="nil"/>
              <w:bottom w:val="nil"/>
              <w:right w:val="nil"/>
            </w:tcBorders>
          </w:tcPr>
          <w:p w14:paraId="45CBFCDE" w14:textId="3A230955"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0.0519*</w:t>
            </w:r>
            <w:r>
              <w:rPr>
                <w:rFonts w:ascii="Times New Roman" w:hAnsi="Times New Roman" w:cs="Times New Roman"/>
                <w:sz w:val="18"/>
                <w:szCs w:val="18"/>
              </w:rPr>
              <w:t>*</w:t>
            </w:r>
          </w:p>
        </w:tc>
        <w:tc>
          <w:tcPr>
            <w:tcW w:w="1179" w:type="dxa"/>
            <w:tcBorders>
              <w:top w:val="nil"/>
              <w:left w:val="nil"/>
              <w:bottom w:val="nil"/>
              <w:right w:val="nil"/>
            </w:tcBorders>
          </w:tcPr>
          <w:p w14:paraId="3DB0A16C" w14:textId="76E815A8"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0.0090</w:t>
            </w:r>
            <w:r>
              <w:rPr>
                <w:rFonts w:ascii="Times New Roman" w:hAnsi="Times New Roman" w:cs="Times New Roman"/>
                <w:sz w:val="18"/>
                <w:szCs w:val="18"/>
              </w:rPr>
              <w:t>*</w:t>
            </w:r>
          </w:p>
        </w:tc>
        <w:tc>
          <w:tcPr>
            <w:tcW w:w="1179" w:type="dxa"/>
            <w:tcBorders>
              <w:top w:val="nil"/>
              <w:left w:val="nil"/>
              <w:bottom w:val="nil"/>
              <w:right w:val="nil"/>
            </w:tcBorders>
          </w:tcPr>
          <w:p w14:paraId="3C2D7EBB" w14:textId="7DA1507A"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0.0007</w:t>
            </w:r>
          </w:p>
        </w:tc>
        <w:tc>
          <w:tcPr>
            <w:tcW w:w="1179" w:type="dxa"/>
            <w:tcBorders>
              <w:top w:val="nil"/>
              <w:left w:val="nil"/>
              <w:bottom w:val="nil"/>
              <w:right w:val="nil"/>
            </w:tcBorders>
          </w:tcPr>
          <w:p w14:paraId="3863A540" w14:textId="04F1897F"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0.0480</w:t>
            </w:r>
          </w:p>
        </w:tc>
        <w:tc>
          <w:tcPr>
            <w:tcW w:w="1179" w:type="dxa"/>
            <w:tcBorders>
              <w:top w:val="nil"/>
              <w:left w:val="nil"/>
              <w:bottom w:val="nil"/>
              <w:right w:val="nil"/>
            </w:tcBorders>
          </w:tcPr>
          <w:p w14:paraId="61C74F81" w14:textId="18FCD8C4"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-0.0300</w:t>
            </w:r>
          </w:p>
        </w:tc>
        <w:tc>
          <w:tcPr>
            <w:tcW w:w="1179" w:type="dxa"/>
            <w:tcBorders>
              <w:top w:val="nil"/>
              <w:left w:val="nil"/>
              <w:bottom w:val="nil"/>
              <w:right w:val="nil"/>
            </w:tcBorders>
          </w:tcPr>
          <w:p w14:paraId="3641FE1A" w14:textId="2CB6C8C0"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-0.0290</w:t>
            </w:r>
          </w:p>
        </w:tc>
      </w:tr>
      <w:tr w:rsidR="00BC7292" w:rsidRPr="00A7130E" w14:paraId="6E7021E5" w14:textId="77777777" w:rsidTr="008C0428">
        <w:trPr>
          <w:trHeight w:val="283"/>
          <w:jc w:val="center"/>
        </w:trPr>
        <w:tc>
          <w:tcPr>
            <w:tcW w:w="2093" w:type="dxa"/>
            <w:tcBorders>
              <w:top w:val="nil"/>
              <w:left w:val="nil"/>
              <w:bottom w:val="nil"/>
              <w:right w:val="nil"/>
            </w:tcBorders>
          </w:tcPr>
          <w:p w14:paraId="3EBB6BC4"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Cross </w:t>
            </w:r>
          </w:p>
        </w:tc>
        <w:tc>
          <w:tcPr>
            <w:tcW w:w="1179" w:type="dxa"/>
            <w:tcBorders>
              <w:top w:val="nil"/>
              <w:left w:val="nil"/>
              <w:bottom w:val="nil"/>
              <w:right w:val="nil"/>
            </w:tcBorders>
          </w:tcPr>
          <w:p w14:paraId="372200F7" w14:textId="6BCAE03E"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0.0443**</w:t>
            </w:r>
          </w:p>
        </w:tc>
        <w:tc>
          <w:tcPr>
            <w:tcW w:w="1179" w:type="dxa"/>
            <w:tcBorders>
              <w:top w:val="nil"/>
              <w:left w:val="nil"/>
              <w:bottom w:val="nil"/>
              <w:right w:val="nil"/>
            </w:tcBorders>
          </w:tcPr>
          <w:p w14:paraId="2E8BD780" w14:textId="4691E53D"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0.0438**</w:t>
            </w:r>
          </w:p>
        </w:tc>
        <w:tc>
          <w:tcPr>
            <w:tcW w:w="1179" w:type="dxa"/>
            <w:tcBorders>
              <w:top w:val="nil"/>
              <w:left w:val="nil"/>
              <w:bottom w:val="nil"/>
              <w:right w:val="nil"/>
            </w:tcBorders>
          </w:tcPr>
          <w:p w14:paraId="45D72630" w14:textId="38EB2448"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0.0368</w:t>
            </w:r>
            <w:r w:rsidR="0041756C">
              <w:rPr>
                <w:rFonts w:ascii="Times New Roman" w:hAnsi="Times New Roman" w:cs="Times New Roman"/>
                <w:sz w:val="18"/>
                <w:szCs w:val="18"/>
              </w:rPr>
              <w:t>*</w:t>
            </w:r>
          </w:p>
        </w:tc>
        <w:tc>
          <w:tcPr>
            <w:tcW w:w="1179" w:type="dxa"/>
            <w:tcBorders>
              <w:top w:val="nil"/>
              <w:left w:val="nil"/>
              <w:bottom w:val="nil"/>
              <w:right w:val="nil"/>
            </w:tcBorders>
          </w:tcPr>
          <w:p w14:paraId="69E0CD5C" w14:textId="6D8B90AE"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0.0096</w:t>
            </w:r>
          </w:p>
        </w:tc>
        <w:tc>
          <w:tcPr>
            <w:tcW w:w="1179" w:type="dxa"/>
            <w:tcBorders>
              <w:top w:val="nil"/>
              <w:left w:val="nil"/>
              <w:bottom w:val="nil"/>
              <w:right w:val="nil"/>
            </w:tcBorders>
          </w:tcPr>
          <w:p w14:paraId="70333F06" w14:textId="3FDC9880"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0.0094</w:t>
            </w:r>
          </w:p>
        </w:tc>
        <w:tc>
          <w:tcPr>
            <w:tcW w:w="1179" w:type="dxa"/>
            <w:tcBorders>
              <w:top w:val="nil"/>
              <w:left w:val="nil"/>
              <w:bottom w:val="nil"/>
              <w:right w:val="nil"/>
            </w:tcBorders>
          </w:tcPr>
          <w:p w14:paraId="7905CC00" w14:textId="1FA5B7CA"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0.0026</w:t>
            </w:r>
          </w:p>
        </w:tc>
      </w:tr>
      <w:tr w:rsidR="00BC7292" w:rsidRPr="00A7130E" w14:paraId="441A5AC7" w14:textId="77777777" w:rsidTr="008C0428">
        <w:trPr>
          <w:trHeight w:val="283"/>
          <w:jc w:val="center"/>
        </w:trPr>
        <w:tc>
          <w:tcPr>
            <w:tcW w:w="2093" w:type="dxa"/>
            <w:tcBorders>
              <w:top w:val="nil"/>
              <w:left w:val="nil"/>
              <w:bottom w:val="nil"/>
              <w:right w:val="nil"/>
            </w:tcBorders>
          </w:tcPr>
          <w:p w14:paraId="258A00BD"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CASH</w:t>
            </w:r>
          </w:p>
        </w:tc>
        <w:tc>
          <w:tcPr>
            <w:tcW w:w="1179" w:type="dxa"/>
            <w:tcBorders>
              <w:top w:val="nil"/>
              <w:left w:val="nil"/>
              <w:bottom w:val="nil"/>
              <w:right w:val="nil"/>
            </w:tcBorders>
          </w:tcPr>
          <w:p w14:paraId="3A4B0A8F" w14:textId="2FDBBE9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-0.0262</w:t>
            </w:r>
          </w:p>
        </w:tc>
        <w:tc>
          <w:tcPr>
            <w:tcW w:w="1179" w:type="dxa"/>
            <w:tcBorders>
              <w:top w:val="nil"/>
              <w:left w:val="nil"/>
              <w:bottom w:val="nil"/>
              <w:right w:val="nil"/>
            </w:tcBorders>
          </w:tcPr>
          <w:p w14:paraId="6BE0D6C1" w14:textId="385D8FD9"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-0.0389</w:t>
            </w:r>
          </w:p>
        </w:tc>
        <w:tc>
          <w:tcPr>
            <w:tcW w:w="1179" w:type="dxa"/>
            <w:tcBorders>
              <w:top w:val="nil"/>
              <w:left w:val="nil"/>
              <w:bottom w:val="nil"/>
              <w:right w:val="nil"/>
            </w:tcBorders>
          </w:tcPr>
          <w:p w14:paraId="2B9B9CE8" w14:textId="38A1678F"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-0.0452</w:t>
            </w:r>
          </w:p>
        </w:tc>
        <w:tc>
          <w:tcPr>
            <w:tcW w:w="1179" w:type="dxa"/>
            <w:tcBorders>
              <w:top w:val="nil"/>
              <w:left w:val="nil"/>
              <w:bottom w:val="nil"/>
              <w:right w:val="nil"/>
            </w:tcBorders>
          </w:tcPr>
          <w:p w14:paraId="0BDF2E40" w14:textId="0BA3F7FF"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0.0233</w:t>
            </w:r>
          </w:p>
        </w:tc>
        <w:tc>
          <w:tcPr>
            <w:tcW w:w="1179" w:type="dxa"/>
            <w:tcBorders>
              <w:top w:val="nil"/>
              <w:left w:val="nil"/>
              <w:bottom w:val="nil"/>
              <w:right w:val="nil"/>
            </w:tcBorders>
          </w:tcPr>
          <w:p w14:paraId="0BFE090C" w14:textId="05A0787F"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0.0273</w:t>
            </w:r>
          </w:p>
        </w:tc>
        <w:tc>
          <w:tcPr>
            <w:tcW w:w="1179" w:type="dxa"/>
            <w:tcBorders>
              <w:top w:val="nil"/>
              <w:left w:val="nil"/>
              <w:bottom w:val="nil"/>
              <w:right w:val="nil"/>
            </w:tcBorders>
          </w:tcPr>
          <w:p w14:paraId="2BADC2E3" w14:textId="1579B16D"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0.0062</w:t>
            </w:r>
          </w:p>
        </w:tc>
      </w:tr>
      <w:tr w:rsidR="00BC7292" w:rsidRPr="00A7130E" w14:paraId="463B7C8C" w14:textId="77777777" w:rsidTr="008C0428">
        <w:trPr>
          <w:trHeight w:val="283"/>
          <w:jc w:val="center"/>
        </w:trPr>
        <w:tc>
          <w:tcPr>
            <w:tcW w:w="2093" w:type="dxa"/>
            <w:tcBorders>
              <w:top w:val="nil"/>
              <w:left w:val="nil"/>
              <w:bottom w:val="nil"/>
              <w:right w:val="nil"/>
            </w:tcBorders>
          </w:tcPr>
          <w:p w14:paraId="421955BD"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STOCK</w:t>
            </w:r>
          </w:p>
        </w:tc>
        <w:tc>
          <w:tcPr>
            <w:tcW w:w="1179" w:type="dxa"/>
            <w:tcBorders>
              <w:top w:val="nil"/>
              <w:left w:val="nil"/>
              <w:bottom w:val="nil"/>
              <w:right w:val="nil"/>
            </w:tcBorders>
          </w:tcPr>
          <w:p w14:paraId="60FB1E82" w14:textId="4AA4AD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-0.0687</w:t>
            </w:r>
          </w:p>
        </w:tc>
        <w:tc>
          <w:tcPr>
            <w:tcW w:w="1179" w:type="dxa"/>
            <w:tcBorders>
              <w:top w:val="nil"/>
              <w:left w:val="nil"/>
              <w:bottom w:val="nil"/>
              <w:right w:val="nil"/>
            </w:tcBorders>
          </w:tcPr>
          <w:p w14:paraId="1CCE3BD1" w14:textId="4867275A"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-0.0648</w:t>
            </w:r>
          </w:p>
        </w:tc>
        <w:tc>
          <w:tcPr>
            <w:tcW w:w="1179" w:type="dxa"/>
            <w:tcBorders>
              <w:top w:val="nil"/>
              <w:left w:val="nil"/>
              <w:bottom w:val="nil"/>
              <w:right w:val="nil"/>
            </w:tcBorders>
          </w:tcPr>
          <w:p w14:paraId="2ED98B8E" w14:textId="78643DBD"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-0.0554</w:t>
            </w:r>
          </w:p>
        </w:tc>
        <w:tc>
          <w:tcPr>
            <w:tcW w:w="1179" w:type="dxa"/>
            <w:tcBorders>
              <w:top w:val="nil"/>
              <w:left w:val="nil"/>
              <w:bottom w:val="nil"/>
              <w:right w:val="nil"/>
            </w:tcBorders>
          </w:tcPr>
          <w:p w14:paraId="6ACB9D20" w14:textId="79A9A020"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0.0114</w:t>
            </w:r>
          </w:p>
        </w:tc>
        <w:tc>
          <w:tcPr>
            <w:tcW w:w="1179" w:type="dxa"/>
            <w:tcBorders>
              <w:top w:val="nil"/>
              <w:left w:val="nil"/>
              <w:bottom w:val="nil"/>
              <w:right w:val="nil"/>
            </w:tcBorders>
          </w:tcPr>
          <w:p w14:paraId="2057CCF6" w14:textId="347BC821"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0.0116</w:t>
            </w:r>
          </w:p>
        </w:tc>
        <w:tc>
          <w:tcPr>
            <w:tcW w:w="1179" w:type="dxa"/>
            <w:tcBorders>
              <w:top w:val="nil"/>
              <w:left w:val="nil"/>
              <w:bottom w:val="nil"/>
              <w:right w:val="nil"/>
            </w:tcBorders>
          </w:tcPr>
          <w:p w14:paraId="635EC86A" w14:textId="615043B5"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0.0273</w:t>
            </w:r>
          </w:p>
        </w:tc>
      </w:tr>
      <w:tr w:rsidR="00BC7292" w:rsidRPr="00A7130E" w14:paraId="1D36E919" w14:textId="77777777" w:rsidTr="008C0428">
        <w:trPr>
          <w:trHeight w:val="283"/>
          <w:jc w:val="center"/>
        </w:trPr>
        <w:tc>
          <w:tcPr>
            <w:tcW w:w="2093" w:type="dxa"/>
            <w:tcBorders>
              <w:top w:val="nil"/>
              <w:left w:val="nil"/>
              <w:bottom w:val="nil"/>
              <w:right w:val="nil"/>
            </w:tcBorders>
          </w:tcPr>
          <w:p w14:paraId="7325F23B"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Stake %</w:t>
            </w:r>
          </w:p>
        </w:tc>
        <w:tc>
          <w:tcPr>
            <w:tcW w:w="1179" w:type="dxa"/>
            <w:tcBorders>
              <w:top w:val="nil"/>
              <w:left w:val="nil"/>
              <w:bottom w:val="nil"/>
              <w:right w:val="nil"/>
            </w:tcBorders>
          </w:tcPr>
          <w:p w14:paraId="11CAA671" w14:textId="2A9F9D6D"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7130E">
              <w:rPr>
                <w:rFonts w:ascii="Times New Roman" w:hAnsi="Times New Roman" w:cs="Times New Roman"/>
                <w:sz w:val="18"/>
                <w:szCs w:val="18"/>
              </w:rPr>
              <w:t>0.0004</w:t>
            </w:r>
          </w:p>
        </w:tc>
        <w:tc>
          <w:tcPr>
            <w:tcW w:w="1179" w:type="dxa"/>
            <w:tcBorders>
              <w:top w:val="nil"/>
              <w:left w:val="nil"/>
              <w:bottom w:val="nil"/>
              <w:right w:val="nil"/>
            </w:tcBorders>
          </w:tcPr>
          <w:p w14:paraId="265FEAD5" w14:textId="230EA202"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7130E">
              <w:rPr>
                <w:rFonts w:ascii="Times New Roman" w:hAnsi="Times New Roman" w:cs="Times New Roman"/>
                <w:sz w:val="18"/>
                <w:szCs w:val="18"/>
              </w:rPr>
              <w:t>0.0004</w:t>
            </w:r>
          </w:p>
        </w:tc>
        <w:tc>
          <w:tcPr>
            <w:tcW w:w="1179" w:type="dxa"/>
            <w:tcBorders>
              <w:top w:val="nil"/>
              <w:left w:val="nil"/>
              <w:bottom w:val="nil"/>
              <w:right w:val="nil"/>
            </w:tcBorders>
          </w:tcPr>
          <w:p w14:paraId="48C0C68B" w14:textId="0369DE0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Pr="00A7130E">
              <w:rPr>
                <w:rFonts w:ascii="Times New Roman" w:hAnsi="Times New Roman" w:cs="Times New Roman"/>
                <w:sz w:val="18"/>
                <w:szCs w:val="18"/>
              </w:rPr>
              <w:t>0.0004</w:t>
            </w:r>
          </w:p>
        </w:tc>
        <w:tc>
          <w:tcPr>
            <w:tcW w:w="1179" w:type="dxa"/>
            <w:tcBorders>
              <w:top w:val="nil"/>
              <w:left w:val="nil"/>
              <w:bottom w:val="nil"/>
              <w:right w:val="nil"/>
            </w:tcBorders>
          </w:tcPr>
          <w:p w14:paraId="268DA22E" w14:textId="6320EF6B"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-0.0007</w:t>
            </w:r>
          </w:p>
        </w:tc>
        <w:tc>
          <w:tcPr>
            <w:tcW w:w="1179" w:type="dxa"/>
            <w:tcBorders>
              <w:top w:val="nil"/>
              <w:left w:val="nil"/>
              <w:bottom w:val="nil"/>
              <w:right w:val="nil"/>
            </w:tcBorders>
          </w:tcPr>
          <w:p w14:paraId="229396D4" w14:textId="389729B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-0.0006</w:t>
            </w:r>
          </w:p>
        </w:tc>
        <w:tc>
          <w:tcPr>
            <w:tcW w:w="1179" w:type="dxa"/>
            <w:tcBorders>
              <w:top w:val="nil"/>
              <w:left w:val="nil"/>
              <w:bottom w:val="nil"/>
              <w:right w:val="nil"/>
            </w:tcBorders>
          </w:tcPr>
          <w:p w14:paraId="130E0DDF" w14:textId="116C0D6E"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-0.0007</w:t>
            </w:r>
          </w:p>
        </w:tc>
      </w:tr>
      <w:tr w:rsidR="00BC7292" w:rsidRPr="00A7130E" w14:paraId="7E15B486" w14:textId="77777777" w:rsidTr="008C0428">
        <w:trPr>
          <w:trHeight w:val="283"/>
          <w:jc w:val="center"/>
        </w:trPr>
        <w:tc>
          <w:tcPr>
            <w:tcW w:w="2093" w:type="dxa"/>
            <w:tcBorders>
              <w:top w:val="nil"/>
              <w:left w:val="nil"/>
              <w:bottom w:val="nil"/>
              <w:right w:val="nil"/>
            </w:tcBorders>
          </w:tcPr>
          <w:p w14:paraId="5E9929B0"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Log Market-Value</w:t>
            </w:r>
          </w:p>
        </w:tc>
        <w:tc>
          <w:tcPr>
            <w:tcW w:w="1179" w:type="dxa"/>
            <w:tcBorders>
              <w:top w:val="nil"/>
              <w:left w:val="nil"/>
              <w:bottom w:val="nil"/>
              <w:right w:val="nil"/>
            </w:tcBorders>
          </w:tcPr>
          <w:p w14:paraId="34E13B53" w14:textId="702F41B6"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-0.0007</w:t>
            </w:r>
          </w:p>
        </w:tc>
        <w:tc>
          <w:tcPr>
            <w:tcW w:w="1179" w:type="dxa"/>
            <w:tcBorders>
              <w:top w:val="nil"/>
              <w:left w:val="nil"/>
              <w:bottom w:val="nil"/>
              <w:right w:val="nil"/>
            </w:tcBorders>
          </w:tcPr>
          <w:p w14:paraId="3FADB8B1" w14:textId="6710B6BF"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-0.0013</w:t>
            </w:r>
          </w:p>
        </w:tc>
        <w:tc>
          <w:tcPr>
            <w:tcW w:w="1179" w:type="dxa"/>
            <w:tcBorders>
              <w:top w:val="nil"/>
              <w:left w:val="nil"/>
              <w:bottom w:val="nil"/>
              <w:right w:val="nil"/>
            </w:tcBorders>
          </w:tcPr>
          <w:p w14:paraId="06933A77" w14:textId="2F066D52"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0.0068</w:t>
            </w:r>
          </w:p>
        </w:tc>
        <w:tc>
          <w:tcPr>
            <w:tcW w:w="1179" w:type="dxa"/>
            <w:tcBorders>
              <w:top w:val="nil"/>
              <w:left w:val="nil"/>
              <w:bottom w:val="nil"/>
              <w:right w:val="nil"/>
            </w:tcBorders>
          </w:tcPr>
          <w:p w14:paraId="5936AABD" w14:textId="283A497C"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-0.0182</w:t>
            </w:r>
          </w:p>
        </w:tc>
        <w:tc>
          <w:tcPr>
            <w:tcW w:w="1179" w:type="dxa"/>
            <w:tcBorders>
              <w:top w:val="nil"/>
              <w:left w:val="nil"/>
              <w:bottom w:val="nil"/>
              <w:right w:val="nil"/>
            </w:tcBorders>
          </w:tcPr>
          <w:p w14:paraId="214107C1" w14:textId="3470BED2"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-0.0182</w:t>
            </w:r>
          </w:p>
        </w:tc>
        <w:tc>
          <w:tcPr>
            <w:tcW w:w="1179" w:type="dxa"/>
            <w:tcBorders>
              <w:top w:val="nil"/>
              <w:left w:val="nil"/>
              <w:bottom w:val="nil"/>
              <w:right w:val="nil"/>
            </w:tcBorders>
          </w:tcPr>
          <w:p w14:paraId="56D32A97" w14:textId="35994466"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-0.0158</w:t>
            </w:r>
          </w:p>
        </w:tc>
      </w:tr>
      <w:tr w:rsidR="00696C1A" w:rsidRPr="00A7130E" w14:paraId="5455888F" w14:textId="77777777" w:rsidTr="008C0428">
        <w:trPr>
          <w:trHeight w:val="283"/>
          <w:jc w:val="center"/>
        </w:trPr>
        <w:tc>
          <w:tcPr>
            <w:tcW w:w="2093" w:type="dxa"/>
            <w:tcBorders>
              <w:top w:val="nil"/>
              <w:left w:val="nil"/>
              <w:bottom w:val="nil"/>
              <w:right w:val="nil"/>
            </w:tcBorders>
          </w:tcPr>
          <w:p w14:paraId="21BB786F" w14:textId="77777777" w:rsidR="00696C1A" w:rsidRPr="00A7130E" w:rsidRDefault="00696C1A" w:rsidP="00696C1A">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Stock run-up </w:t>
            </w:r>
          </w:p>
        </w:tc>
        <w:tc>
          <w:tcPr>
            <w:tcW w:w="1179" w:type="dxa"/>
            <w:tcBorders>
              <w:top w:val="nil"/>
              <w:left w:val="nil"/>
              <w:bottom w:val="nil"/>
              <w:right w:val="nil"/>
            </w:tcBorders>
          </w:tcPr>
          <w:p w14:paraId="300808A0" w14:textId="2B25B861"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79" w:type="dxa"/>
            <w:tcBorders>
              <w:top w:val="nil"/>
              <w:left w:val="nil"/>
              <w:bottom w:val="nil"/>
              <w:right w:val="nil"/>
            </w:tcBorders>
          </w:tcPr>
          <w:p w14:paraId="3F3FB4D9" w14:textId="1748B99E"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79" w:type="dxa"/>
            <w:tcBorders>
              <w:top w:val="nil"/>
              <w:left w:val="nil"/>
              <w:bottom w:val="nil"/>
              <w:right w:val="nil"/>
            </w:tcBorders>
          </w:tcPr>
          <w:p w14:paraId="0A09B0B1" w14:textId="4943528F"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0.0000</w:t>
            </w:r>
          </w:p>
        </w:tc>
        <w:tc>
          <w:tcPr>
            <w:tcW w:w="1179" w:type="dxa"/>
            <w:tcBorders>
              <w:top w:val="nil"/>
              <w:left w:val="nil"/>
              <w:bottom w:val="nil"/>
              <w:right w:val="nil"/>
            </w:tcBorders>
          </w:tcPr>
          <w:p w14:paraId="30CC3132" w14:textId="5DC97D5B"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179" w:type="dxa"/>
            <w:tcBorders>
              <w:top w:val="nil"/>
              <w:left w:val="nil"/>
              <w:bottom w:val="nil"/>
              <w:right w:val="nil"/>
            </w:tcBorders>
          </w:tcPr>
          <w:p w14:paraId="24881C2A" w14:textId="15DAEA8C"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c>
          <w:tcPr>
            <w:tcW w:w="1179" w:type="dxa"/>
            <w:tcBorders>
              <w:top w:val="nil"/>
              <w:left w:val="nil"/>
              <w:bottom w:val="nil"/>
              <w:right w:val="nil"/>
            </w:tcBorders>
          </w:tcPr>
          <w:p w14:paraId="14AD384C" w14:textId="28A2E482"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0.0001*</w:t>
            </w:r>
          </w:p>
        </w:tc>
      </w:tr>
      <w:tr w:rsidR="00BC7292" w:rsidRPr="00A7130E" w14:paraId="79EDA76D" w14:textId="77777777" w:rsidTr="008C0428">
        <w:trPr>
          <w:trHeight w:val="283"/>
          <w:jc w:val="center"/>
        </w:trPr>
        <w:tc>
          <w:tcPr>
            <w:tcW w:w="2093" w:type="dxa"/>
            <w:tcBorders>
              <w:top w:val="nil"/>
              <w:left w:val="nil"/>
              <w:bottom w:val="nil"/>
              <w:right w:val="nil"/>
            </w:tcBorders>
          </w:tcPr>
          <w:p w14:paraId="7064C4B1"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EVtoEBIT</w:t>
            </w:r>
          </w:p>
        </w:tc>
        <w:tc>
          <w:tcPr>
            <w:tcW w:w="1179" w:type="dxa"/>
            <w:tcBorders>
              <w:top w:val="nil"/>
              <w:left w:val="nil"/>
              <w:bottom w:val="nil"/>
              <w:right w:val="nil"/>
            </w:tcBorders>
          </w:tcPr>
          <w:p w14:paraId="64DAA5F9" w14:textId="46DC6ECE"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-0.0003</w:t>
            </w:r>
          </w:p>
        </w:tc>
        <w:tc>
          <w:tcPr>
            <w:tcW w:w="1179" w:type="dxa"/>
            <w:tcBorders>
              <w:top w:val="nil"/>
              <w:left w:val="nil"/>
              <w:bottom w:val="nil"/>
              <w:right w:val="nil"/>
            </w:tcBorders>
          </w:tcPr>
          <w:p w14:paraId="331E1C0C" w14:textId="6725B119"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2526C2FD" w14:textId="4A3C902B"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5B133A73" w14:textId="3DA9F4D8"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0BB6461E" w14:textId="1CEC9C98"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6AAC956F" w14:textId="0660D216"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r>
      <w:tr w:rsidR="00BC7292" w:rsidRPr="00A7130E" w14:paraId="577EA62A" w14:textId="77777777" w:rsidTr="008C0428">
        <w:trPr>
          <w:trHeight w:val="283"/>
          <w:jc w:val="center"/>
        </w:trPr>
        <w:tc>
          <w:tcPr>
            <w:tcW w:w="2093" w:type="dxa"/>
            <w:tcBorders>
              <w:top w:val="nil"/>
              <w:left w:val="nil"/>
              <w:bottom w:val="nil"/>
              <w:right w:val="nil"/>
            </w:tcBorders>
          </w:tcPr>
          <w:p w14:paraId="2D3CF437"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Target EPS</w:t>
            </w:r>
          </w:p>
        </w:tc>
        <w:tc>
          <w:tcPr>
            <w:tcW w:w="1179" w:type="dxa"/>
            <w:tcBorders>
              <w:top w:val="nil"/>
              <w:left w:val="nil"/>
              <w:bottom w:val="nil"/>
              <w:right w:val="nil"/>
            </w:tcBorders>
          </w:tcPr>
          <w:p w14:paraId="16719FF3" w14:textId="7BE2A63C"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2011E913" w14:textId="293D8DF4"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6A272F6D" w14:textId="541F3B2E"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-0.0001</w:t>
            </w:r>
          </w:p>
        </w:tc>
        <w:tc>
          <w:tcPr>
            <w:tcW w:w="1179" w:type="dxa"/>
            <w:tcBorders>
              <w:top w:val="nil"/>
              <w:left w:val="nil"/>
              <w:bottom w:val="nil"/>
              <w:right w:val="nil"/>
            </w:tcBorders>
          </w:tcPr>
          <w:p w14:paraId="7C536B45" w14:textId="7E1DBCD5"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0.0008</w:t>
            </w:r>
          </w:p>
        </w:tc>
        <w:tc>
          <w:tcPr>
            <w:tcW w:w="1179" w:type="dxa"/>
            <w:tcBorders>
              <w:top w:val="nil"/>
              <w:left w:val="nil"/>
              <w:bottom w:val="nil"/>
              <w:right w:val="nil"/>
            </w:tcBorders>
          </w:tcPr>
          <w:p w14:paraId="27472DE1" w14:textId="62D43CF1"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0.0008</w:t>
            </w:r>
          </w:p>
        </w:tc>
        <w:tc>
          <w:tcPr>
            <w:tcW w:w="1179" w:type="dxa"/>
            <w:tcBorders>
              <w:top w:val="nil"/>
              <w:left w:val="nil"/>
              <w:bottom w:val="nil"/>
              <w:right w:val="nil"/>
            </w:tcBorders>
          </w:tcPr>
          <w:p w14:paraId="70B7D54C" w14:textId="4D9E4394"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0.0009</w:t>
            </w:r>
          </w:p>
        </w:tc>
      </w:tr>
      <w:tr w:rsidR="00BC7292" w:rsidRPr="00A7130E" w14:paraId="3292EDDB" w14:textId="77777777" w:rsidTr="008C0428">
        <w:trPr>
          <w:trHeight w:val="283"/>
          <w:jc w:val="center"/>
        </w:trPr>
        <w:tc>
          <w:tcPr>
            <w:tcW w:w="2093" w:type="dxa"/>
            <w:tcBorders>
              <w:top w:val="nil"/>
              <w:left w:val="nil"/>
              <w:bottom w:val="nil"/>
              <w:right w:val="nil"/>
            </w:tcBorders>
          </w:tcPr>
          <w:p w14:paraId="30B98648"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Assets growth rate</w:t>
            </w:r>
          </w:p>
        </w:tc>
        <w:tc>
          <w:tcPr>
            <w:tcW w:w="1179" w:type="dxa"/>
            <w:tcBorders>
              <w:top w:val="nil"/>
              <w:left w:val="nil"/>
              <w:bottom w:val="nil"/>
              <w:right w:val="nil"/>
            </w:tcBorders>
          </w:tcPr>
          <w:p w14:paraId="586136A5" w14:textId="6E84B5C9"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9.73e-05</w:t>
            </w:r>
          </w:p>
        </w:tc>
        <w:tc>
          <w:tcPr>
            <w:tcW w:w="1179" w:type="dxa"/>
            <w:tcBorders>
              <w:top w:val="nil"/>
              <w:left w:val="nil"/>
              <w:bottom w:val="nil"/>
              <w:right w:val="nil"/>
            </w:tcBorders>
          </w:tcPr>
          <w:p w14:paraId="247A4484" w14:textId="27A62510"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0.0001</w:t>
            </w:r>
          </w:p>
        </w:tc>
        <w:tc>
          <w:tcPr>
            <w:tcW w:w="1179" w:type="dxa"/>
            <w:tcBorders>
              <w:top w:val="nil"/>
              <w:left w:val="nil"/>
              <w:bottom w:val="nil"/>
              <w:right w:val="nil"/>
            </w:tcBorders>
          </w:tcPr>
          <w:p w14:paraId="01A33700" w14:textId="183E0ECF"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8.92e-05</w:t>
            </w:r>
          </w:p>
        </w:tc>
        <w:tc>
          <w:tcPr>
            <w:tcW w:w="1179" w:type="dxa"/>
            <w:tcBorders>
              <w:top w:val="nil"/>
              <w:left w:val="nil"/>
              <w:bottom w:val="nil"/>
              <w:right w:val="nil"/>
            </w:tcBorders>
          </w:tcPr>
          <w:p w14:paraId="6D81B392" w14:textId="44787CB9"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23D2C734" w14:textId="3A0B124A"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c>
          <w:tcPr>
            <w:tcW w:w="1179" w:type="dxa"/>
            <w:tcBorders>
              <w:top w:val="nil"/>
              <w:left w:val="nil"/>
              <w:bottom w:val="nil"/>
              <w:right w:val="nil"/>
            </w:tcBorders>
          </w:tcPr>
          <w:p w14:paraId="6830C8C4" w14:textId="2BFA6DF4"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-0.0002*</w:t>
            </w:r>
          </w:p>
        </w:tc>
      </w:tr>
      <w:tr w:rsidR="00696C1A" w:rsidRPr="00A7130E" w14:paraId="022C13C6" w14:textId="77777777" w:rsidTr="008C0428">
        <w:trPr>
          <w:trHeight w:val="283"/>
          <w:jc w:val="center"/>
        </w:trPr>
        <w:tc>
          <w:tcPr>
            <w:tcW w:w="2093" w:type="dxa"/>
            <w:tcBorders>
              <w:top w:val="nil"/>
              <w:left w:val="nil"/>
              <w:bottom w:val="nil"/>
              <w:right w:val="nil"/>
            </w:tcBorders>
          </w:tcPr>
          <w:p w14:paraId="49BBBE8E" w14:textId="77777777" w:rsidR="00696C1A" w:rsidRPr="00A7130E" w:rsidRDefault="00696C1A" w:rsidP="00696C1A">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EBIT growth rate</w:t>
            </w:r>
          </w:p>
        </w:tc>
        <w:tc>
          <w:tcPr>
            <w:tcW w:w="1179" w:type="dxa"/>
            <w:tcBorders>
              <w:top w:val="nil"/>
              <w:left w:val="nil"/>
              <w:bottom w:val="nil"/>
              <w:right w:val="nil"/>
            </w:tcBorders>
          </w:tcPr>
          <w:p w14:paraId="428A18D0" w14:textId="00EEB0F3"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46E6CB7D" w14:textId="5C45B077"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1F1951C7" w14:textId="3CF83EA5"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29631131" w14:textId="2406994B"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58974CBB" w14:textId="79EA7F32"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3F678A29" w14:textId="54CD27AB"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r>
      <w:tr w:rsidR="00696C1A" w:rsidRPr="00A7130E" w14:paraId="579FCF39" w14:textId="77777777" w:rsidTr="008C0428">
        <w:trPr>
          <w:trHeight w:val="283"/>
          <w:jc w:val="center"/>
        </w:trPr>
        <w:tc>
          <w:tcPr>
            <w:tcW w:w="2093" w:type="dxa"/>
            <w:tcBorders>
              <w:top w:val="nil"/>
              <w:left w:val="nil"/>
              <w:bottom w:val="nil"/>
              <w:right w:val="nil"/>
            </w:tcBorders>
          </w:tcPr>
          <w:p w14:paraId="6FFF5457" w14:textId="77777777" w:rsidR="00696C1A" w:rsidRPr="00A7130E" w:rsidRDefault="00696C1A" w:rsidP="00696C1A">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EPS growth rate</w:t>
            </w:r>
          </w:p>
        </w:tc>
        <w:tc>
          <w:tcPr>
            <w:tcW w:w="1179" w:type="dxa"/>
            <w:tcBorders>
              <w:top w:val="nil"/>
              <w:left w:val="nil"/>
              <w:bottom w:val="nil"/>
              <w:right w:val="nil"/>
            </w:tcBorders>
          </w:tcPr>
          <w:p w14:paraId="31537D67" w14:textId="203DC1A2"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6AFEA345" w14:textId="3674FD3F"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45CA7983" w14:textId="161CEE8D"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03A482B7" w14:textId="63E7A86E"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59375E13" w14:textId="487A5059"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c>
          <w:tcPr>
            <w:tcW w:w="1179" w:type="dxa"/>
            <w:tcBorders>
              <w:top w:val="nil"/>
              <w:left w:val="nil"/>
              <w:bottom w:val="nil"/>
              <w:right w:val="nil"/>
            </w:tcBorders>
          </w:tcPr>
          <w:p w14:paraId="3C20F690" w14:textId="3F179D95" w:rsidR="00696C1A" w:rsidRPr="00A7130E" w:rsidRDefault="00696C1A" w:rsidP="00696C1A">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0.000</w:t>
            </w:r>
          </w:p>
        </w:tc>
      </w:tr>
      <w:tr w:rsidR="00BC7292" w:rsidRPr="00A7130E" w14:paraId="35ABDB19" w14:textId="77777777" w:rsidTr="008C0428">
        <w:trPr>
          <w:trHeight w:val="283"/>
          <w:jc w:val="center"/>
        </w:trPr>
        <w:tc>
          <w:tcPr>
            <w:tcW w:w="2093" w:type="dxa"/>
            <w:tcBorders>
              <w:top w:val="nil"/>
              <w:left w:val="nil"/>
              <w:bottom w:val="nil"/>
              <w:right w:val="nil"/>
            </w:tcBorders>
          </w:tcPr>
          <w:p w14:paraId="28DDA08A"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Related</w:t>
            </w:r>
          </w:p>
        </w:tc>
        <w:tc>
          <w:tcPr>
            <w:tcW w:w="1179" w:type="dxa"/>
            <w:tcBorders>
              <w:top w:val="nil"/>
              <w:left w:val="nil"/>
              <w:bottom w:val="nil"/>
              <w:right w:val="nil"/>
            </w:tcBorders>
          </w:tcPr>
          <w:p w14:paraId="59649803"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0.0294</w:t>
            </w:r>
          </w:p>
        </w:tc>
        <w:tc>
          <w:tcPr>
            <w:tcW w:w="1179" w:type="dxa"/>
            <w:tcBorders>
              <w:top w:val="nil"/>
              <w:left w:val="nil"/>
              <w:bottom w:val="nil"/>
              <w:right w:val="nil"/>
            </w:tcBorders>
          </w:tcPr>
          <w:p w14:paraId="032888AE"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0.0330</w:t>
            </w:r>
          </w:p>
        </w:tc>
        <w:tc>
          <w:tcPr>
            <w:tcW w:w="1179" w:type="dxa"/>
            <w:tcBorders>
              <w:top w:val="nil"/>
              <w:left w:val="nil"/>
              <w:bottom w:val="nil"/>
              <w:right w:val="nil"/>
            </w:tcBorders>
          </w:tcPr>
          <w:p w14:paraId="451029AB"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0.0361</w:t>
            </w:r>
          </w:p>
        </w:tc>
        <w:tc>
          <w:tcPr>
            <w:tcW w:w="1179" w:type="dxa"/>
            <w:tcBorders>
              <w:top w:val="nil"/>
              <w:left w:val="nil"/>
              <w:bottom w:val="nil"/>
              <w:right w:val="nil"/>
            </w:tcBorders>
          </w:tcPr>
          <w:p w14:paraId="181B5047"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-0.0146</w:t>
            </w:r>
          </w:p>
        </w:tc>
        <w:tc>
          <w:tcPr>
            <w:tcW w:w="1179" w:type="dxa"/>
            <w:tcBorders>
              <w:top w:val="nil"/>
              <w:left w:val="nil"/>
              <w:bottom w:val="nil"/>
              <w:right w:val="nil"/>
            </w:tcBorders>
          </w:tcPr>
          <w:p w14:paraId="6AE38563"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-0.0138</w:t>
            </w:r>
          </w:p>
        </w:tc>
        <w:tc>
          <w:tcPr>
            <w:tcW w:w="1179" w:type="dxa"/>
            <w:tcBorders>
              <w:top w:val="nil"/>
              <w:left w:val="nil"/>
              <w:bottom w:val="nil"/>
              <w:right w:val="nil"/>
            </w:tcBorders>
          </w:tcPr>
          <w:p w14:paraId="35811FC0"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-0.0181</w:t>
            </w:r>
          </w:p>
        </w:tc>
      </w:tr>
      <w:tr w:rsidR="00BC7292" w:rsidRPr="00A7130E" w14:paraId="4188E99B" w14:textId="77777777" w:rsidTr="008C0428">
        <w:trPr>
          <w:trHeight w:val="283"/>
          <w:jc w:val="center"/>
        </w:trPr>
        <w:tc>
          <w:tcPr>
            <w:tcW w:w="2093" w:type="dxa"/>
            <w:tcBorders>
              <w:top w:val="nil"/>
              <w:left w:val="nil"/>
              <w:bottom w:val="nil"/>
              <w:right w:val="nil"/>
            </w:tcBorders>
          </w:tcPr>
          <w:p w14:paraId="1D011976"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Hostile</w:t>
            </w:r>
          </w:p>
        </w:tc>
        <w:tc>
          <w:tcPr>
            <w:tcW w:w="1179" w:type="dxa"/>
            <w:tcBorders>
              <w:top w:val="nil"/>
              <w:left w:val="nil"/>
              <w:bottom w:val="nil"/>
              <w:right w:val="nil"/>
            </w:tcBorders>
          </w:tcPr>
          <w:p w14:paraId="4E3A935E"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8344C46"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0.0330</w:t>
            </w:r>
          </w:p>
        </w:tc>
        <w:tc>
          <w:tcPr>
            <w:tcW w:w="1179" w:type="dxa"/>
            <w:tcBorders>
              <w:top w:val="nil"/>
              <w:left w:val="nil"/>
              <w:bottom w:val="nil"/>
              <w:right w:val="nil"/>
            </w:tcBorders>
          </w:tcPr>
          <w:p w14:paraId="495EEC13"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0.0205</w:t>
            </w:r>
          </w:p>
        </w:tc>
        <w:tc>
          <w:tcPr>
            <w:tcW w:w="1179" w:type="dxa"/>
            <w:tcBorders>
              <w:top w:val="nil"/>
              <w:left w:val="nil"/>
              <w:bottom w:val="nil"/>
              <w:right w:val="nil"/>
            </w:tcBorders>
          </w:tcPr>
          <w:p w14:paraId="59937C27"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0A0EC98D"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0.0978</w:t>
            </w:r>
          </w:p>
        </w:tc>
        <w:tc>
          <w:tcPr>
            <w:tcW w:w="1179" w:type="dxa"/>
            <w:tcBorders>
              <w:top w:val="nil"/>
              <w:left w:val="nil"/>
              <w:bottom w:val="nil"/>
              <w:right w:val="nil"/>
            </w:tcBorders>
          </w:tcPr>
          <w:p w14:paraId="7456D07B"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0.0909</w:t>
            </w:r>
          </w:p>
        </w:tc>
      </w:tr>
      <w:tr w:rsidR="0041756C" w:rsidRPr="00A7130E" w14:paraId="71843604" w14:textId="77777777" w:rsidTr="008C0428">
        <w:trPr>
          <w:trHeight w:val="283"/>
          <w:jc w:val="center"/>
        </w:trPr>
        <w:tc>
          <w:tcPr>
            <w:tcW w:w="2093" w:type="dxa"/>
            <w:tcBorders>
              <w:top w:val="nil"/>
              <w:left w:val="nil"/>
              <w:bottom w:val="nil"/>
              <w:right w:val="nil"/>
            </w:tcBorders>
          </w:tcPr>
          <w:p w14:paraId="5C013673" w14:textId="78192DD6"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EU</w:t>
            </w:r>
          </w:p>
        </w:tc>
        <w:tc>
          <w:tcPr>
            <w:tcW w:w="1179" w:type="dxa"/>
            <w:tcBorders>
              <w:top w:val="nil"/>
              <w:left w:val="nil"/>
              <w:bottom w:val="nil"/>
              <w:right w:val="nil"/>
            </w:tcBorders>
          </w:tcPr>
          <w:p w14:paraId="3592D449"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5CE6CDAF" w14:textId="634BECAB"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0.0573</w:t>
            </w:r>
          </w:p>
        </w:tc>
        <w:tc>
          <w:tcPr>
            <w:tcW w:w="1179" w:type="dxa"/>
            <w:tcBorders>
              <w:top w:val="nil"/>
              <w:left w:val="nil"/>
              <w:bottom w:val="nil"/>
              <w:right w:val="nil"/>
            </w:tcBorders>
          </w:tcPr>
          <w:p w14:paraId="1D6D9243" w14:textId="72C354E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-0.0161</w:t>
            </w:r>
          </w:p>
        </w:tc>
        <w:tc>
          <w:tcPr>
            <w:tcW w:w="1179" w:type="dxa"/>
            <w:tcBorders>
              <w:top w:val="nil"/>
              <w:left w:val="nil"/>
              <w:bottom w:val="nil"/>
              <w:right w:val="nil"/>
            </w:tcBorders>
          </w:tcPr>
          <w:p w14:paraId="0F90C618"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00C5193" w14:textId="4A9D1AA1"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0.124</w:t>
            </w:r>
          </w:p>
        </w:tc>
        <w:tc>
          <w:tcPr>
            <w:tcW w:w="1179" w:type="dxa"/>
            <w:tcBorders>
              <w:top w:val="nil"/>
              <w:left w:val="nil"/>
              <w:bottom w:val="nil"/>
              <w:right w:val="nil"/>
            </w:tcBorders>
          </w:tcPr>
          <w:p w14:paraId="33A2397D" w14:textId="45EB33D2"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0.1520</w:t>
            </w:r>
          </w:p>
        </w:tc>
      </w:tr>
      <w:tr w:rsidR="0041756C" w:rsidRPr="00A7130E" w14:paraId="0874C192" w14:textId="77777777" w:rsidTr="008C0428">
        <w:trPr>
          <w:trHeight w:val="283"/>
          <w:jc w:val="center"/>
        </w:trPr>
        <w:tc>
          <w:tcPr>
            <w:tcW w:w="2093" w:type="dxa"/>
            <w:tcBorders>
              <w:top w:val="nil"/>
              <w:left w:val="nil"/>
              <w:bottom w:val="nil"/>
              <w:right w:val="nil"/>
            </w:tcBorders>
          </w:tcPr>
          <w:p w14:paraId="3C76C0F1"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US</w:t>
            </w:r>
          </w:p>
        </w:tc>
        <w:tc>
          <w:tcPr>
            <w:tcW w:w="1179" w:type="dxa"/>
            <w:tcBorders>
              <w:top w:val="nil"/>
              <w:left w:val="nil"/>
              <w:bottom w:val="nil"/>
              <w:right w:val="nil"/>
            </w:tcBorders>
          </w:tcPr>
          <w:p w14:paraId="32D4AB07"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23B1FE57" w14:textId="38EA312A"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0.0916</w:t>
            </w:r>
          </w:p>
        </w:tc>
        <w:tc>
          <w:tcPr>
            <w:tcW w:w="1179" w:type="dxa"/>
            <w:tcBorders>
              <w:top w:val="nil"/>
              <w:left w:val="nil"/>
              <w:bottom w:val="nil"/>
              <w:right w:val="nil"/>
            </w:tcBorders>
          </w:tcPr>
          <w:p w14:paraId="7E771E6D" w14:textId="6BE42E05"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0.00490</w:t>
            </w:r>
          </w:p>
        </w:tc>
        <w:tc>
          <w:tcPr>
            <w:tcW w:w="1179" w:type="dxa"/>
            <w:tcBorders>
              <w:top w:val="nil"/>
              <w:left w:val="nil"/>
              <w:bottom w:val="nil"/>
              <w:right w:val="nil"/>
            </w:tcBorders>
          </w:tcPr>
          <w:p w14:paraId="3AD73F19"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6E9C7387" w14:textId="77A1CFE0"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0.191*</w:t>
            </w:r>
          </w:p>
        </w:tc>
        <w:tc>
          <w:tcPr>
            <w:tcW w:w="1179" w:type="dxa"/>
            <w:tcBorders>
              <w:top w:val="nil"/>
              <w:left w:val="nil"/>
              <w:bottom w:val="nil"/>
              <w:right w:val="nil"/>
            </w:tcBorders>
          </w:tcPr>
          <w:p w14:paraId="0308ECE5" w14:textId="357B813E"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0.0907*</w:t>
            </w:r>
          </w:p>
        </w:tc>
      </w:tr>
      <w:tr w:rsidR="0041756C" w:rsidRPr="0041756C" w14:paraId="436FDC06" w14:textId="77777777" w:rsidTr="008C0428">
        <w:trPr>
          <w:trHeight w:val="283"/>
          <w:jc w:val="center"/>
        </w:trPr>
        <w:tc>
          <w:tcPr>
            <w:tcW w:w="2093" w:type="dxa"/>
            <w:tcBorders>
              <w:top w:val="nil"/>
              <w:left w:val="nil"/>
              <w:bottom w:val="nil"/>
              <w:right w:val="nil"/>
            </w:tcBorders>
          </w:tcPr>
          <w:p w14:paraId="6B3E2E46" w14:textId="79006AA4"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Asia</w:t>
            </w:r>
          </w:p>
        </w:tc>
        <w:tc>
          <w:tcPr>
            <w:tcW w:w="1179" w:type="dxa"/>
            <w:tcBorders>
              <w:top w:val="nil"/>
              <w:left w:val="nil"/>
              <w:bottom w:val="nil"/>
              <w:right w:val="nil"/>
            </w:tcBorders>
          </w:tcPr>
          <w:p w14:paraId="4B82270B"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5B20B553" w14:textId="79195472"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0.212*</w:t>
            </w:r>
          </w:p>
        </w:tc>
        <w:tc>
          <w:tcPr>
            <w:tcW w:w="1179" w:type="dxa"/>
            <w:tcBorders>
              <w:top w:val="nil"/>
              <w:left w:val="nil"/>
              <w:bottom w:val="nil"/>
              <w:right w:val="nil"/>
            </w:tcBorders>
          </w:tcPr>
          <w:p w14:paraId="10D91350" w14:textId="5BC98FB9"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0.107</w:t>
            </w:r>
          </w:p>
        </w:tc>
        <w:tc>
          <w:tcPr>
            <w:tcW w:w="1179" w:type="dxa"/>
            <w:tcBorders>
              <w:top w:val="nil"/>
              <w:left w:val="nil"/>
              <w:bottom w:val="nil"/>
              <w:right w:val="nil"/>
            </w:tcBorders>
          </w:tcPr>
          <w:p w14:paraId="72C69596"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7659E2B" w14:textId="5E9BA53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0.174</w:t>
            </w:r>
          </w:p>
        </w:tc>
        <w:tc>
          <w:tcPr>
            <w:tcW w:w="1179" w:type="dxa"/>
            <w:tcBorders>
              <w:top w:val="nil"/>
              <w:left w:val="nil"/>
              <w:bottom w:val="nil"/>
              <w:right w:val="nil"/>
            </w:tcBorders>
          </w:tcPr>
          <w:p w14:paraId="2071A912" w14:textId="141E163C"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0.0541</w:t>
            </w:r>
          </w:p>
        </w:tc>
      </w:tr>
      <w:tr w:rsidR="0041756C" w:rsidRPr="00A7130E" w14:paraId="0ED7D056" w14:textId="77777777" w:rsidTr="008C0428">
        <w:trPr>
          <w:trHeight w:val="283"/>
          <w:jc w:val="center"/>
        </w:trPr>
        <w:tc>
          <w:tcPr>
            <w:tcW w:w="2093" w:type="dxa"/>
            <w:tcBorders>
              <w:top w:val="nil"/>
              <w:left w:val="nil"/>
              <w:bottom w:val="nil"/>
              <w:right w:val="nil"/>
            </w:tcBorders>
          </w:tcPr>
          <w:p w14:paraId="2C2B8F2D" w14:textId="08602F1D" w:rsidR="0041756C" w:rsidRDefault="0041756C" w:rsidP="0041756C">
            <w:pPr>
              <w:widowControl w:val="0"/>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Rest of the World</w:t>
            </w:r>
          </w:p>
        </w:tc>
        <w:tc>
          <w:tcPr>
            <w:tcW w:w="1179" w:type="dxa"/>
            <w:tcBorders>
              <w:top w:val="nil"/>
              <w:left w:val="nil"/>
              <w:bottom w:val="nil"/>
              <w:right w:val="nil"/>
            </w:tcBorders>
          </w:tcPr>
          <w:p w14:paraId="1E20839F"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60662F2B" w14:textId="3A56BE1F"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0.0591</w:t>
            </w:r>
          </w:p>
        </w:tc>
        <w:tc>
          <w:tcPr>
            <w:tcW w:w="1179" w:type="dxa"/>
            <w:tcBorders>
              <w:top w:val="nil"/>
              <w:left w:val="nil"/>
              <w:bottom w:val="nil"/>
              <w:right w:val="nil"/>
            </w:tcBorders>
          </w:tcPr>
          <w:p w14:paraId="4B2C7E9B" w14:textId="2CC8783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-0.0156</w:t>
            </w:r>
          </w:p>
        </w:tc>
        <w:tc>
          <w:tcPr>
            <w:tcW w:w="1179" w:type="dxa"/>
            <w:tcBorders>
              <w:top w:val="nil"/>
              <w:left w:val="nil"/>
              <w:bottom w:val="nil"/>
              <w:right w:val="nil"/>
            </w:tcBorders>
          </w:tcPr>
          <w:p w14:paraId="0501CF10"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171489E" w14:textId="21B89E5D"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0.0923</w:t>
            </w:r>
          </w:p>
        </w:tc>
        <w:tc>
          <w:tcPr>
            <w:tcW w:w="1179" w:type="dxa"/>
            <w:tcBorders>
              <w:top w:val="nil"/>
              <w:left w:val="nil"/>
              <w:bottom w:val="nil"/>
              <w:right w:val="nil"/>
            </w:tcBorders>
          </w:tcPr>
          <w:p w14:paraId="61FBAAE4" w14:textId="09C5BB76"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0.0854</w:t>
            </w:r>
          </w:p>
        </w:tc>
      </w:tr>
      <w:tr w:rsidR="0041756C" w:rsidRPr="00A7130E" w14:paraId="3BAD0D83" w14:textId="77777777" w:rsidTr="008C0428">
        <w:trPr>
          <w:trHeight w:val="283"/>
          <w:jc w:val="center"/>
        </w:trPr>
        <w:tc>
          <w:tcPr>
            <w:tcW w:w="2093" w:type="dxa"/>
            <w:tcBorders>
              <w:top w:val="nil"/>
              <w:left w:val="nil"/>
              <w:bottom w:val="nil"/>
              <w:right w:val="nil"/>
            </w:tcBorders>
          </w:tcPr>
          <w:p w14:paraId="0232B03F"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Consumer Products </w:t>
            </w:r>
          </w:p>
        </w:tc>
        <w:tc>
          <w:tcPr>
            <w:tcW w:w="1179" w:type="dxa"/>
            <w:tcBorders>
              <w:top w:val="nil"/>
              <w:left w:val="nil"/>
              <w:bottom w:val="nil"/>
              <w:right w:val="nil"/>
            </w:tcBorders>
          </w:tcPr>
          <w:p w14:paraId="6DA01FD1"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2F175B1"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743CC603"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0.0417</w:t>
            </w:r>
          </w:p>
        </w:tc>
        <w:tc>
          <w:tcPr>
            <w:tcW w:w="1179" w:type="dxa"/>
            <w:tcBorders>
              <w:top w:val="nil"/>
              <w:left w:val="nil"/>
              <w:bottom w:val="nil"/>
              <w:right w:val="nil"/>
            </w:tcBorders>
          </w:tcPr>
          <w:p w14:paraId="5A856291"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A2329B8"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20457E7"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-0.0249</w:t>
            </w:r>
          </w:p>
        </w:tc>
      </w:tr>
      <w:tr w:rsidR="0041756C" w:rsidRPr="00A7130E" w14:paraId="2028AD7E" w14:textId="77777777" w:rsidTr="008C0428">
        <w:trPr>
          <w:trHeight w:val="283"/>
          <w:jc w:val="center"/>
        </w:trPr>
        <w:tc>
          <w:tcPr>
            <w:tcW w:w="2093" w:type="dxa"/>
            <w:tcBorders>
              <w:top w:val="nil"/>
              <w:left w:val="nil"/>
              <w:bottom w:val="nil"/>
              <w:right w:val="nil"/>
            </w:tcBorders>
          </w:tcPr>
          <w:p w14:paraId="78EC3733"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Consumer Staples</w:t>
            </w:r>
          </w:p>
        </w:tc>
        <w:tc>
          <w:tcPr>
            <w:tcW w:w="1179" w:type="dxa"/>
            <w:tcBorders>
              <w:top w:val="nil"/>
              <w:left w:val="nil"/>
              <w:bottom w:val="nil"/>
              <w:right w:val="nil"/>
            </w:tcBorders>
          </w:tcPr>
          <w:p w14:paraId="190E8CDA"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5E3E3B45"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1474A920"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0.0442</w:t>
            </w:r>
          </w:p>
        </w:tc>
        <w:tc>
          <w:tcPr>
            <w:tcW w:w="1179" w:type="dxa"/>
            <w:tcBorders>
              <w:top w:val="nil"/>
              <w:left w:val="nil"/>
              <w:bottom w:val="nil"/>
              <w:right w:val="nil"/>
            </w:tcBorders>
          </w:tcPr>
          <w:p w14:paraId="5A88E90B"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51614295"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1B442413"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0.0435</w:t>
            </w:r>
          </w:p>
        </w:tc>
      </w:tr>
      <w:tr w:rsidR="0041756C" w:rsidRPr="00A7130E" w14:paraId="1723900D" w14:textId="77777777" w:rsidTr="008C0428">
        <w:trPr>
          <w:trHeight w:val="283"/>
          <w:jc w:val="center"/>
        </w:trPr>
        <w:tc>
          <w:tcPr>
            <w:tcW w:w="2093" w:type="dxa"/>
            <w:tcBorders>
              <w:top w:val="nil"/>
              <w:left w:val="nil"/>
              <w:bottom w:val="nil"/>
              <w:right w:val="nil"/>
            </w:tcBorders>
          </w:tcPr>
          <w:p w14:paraId="53948447"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Energy &amp; Power</w:t>
            </w:r>
          </w:p>
        </w:tc>
        <w:tc>
          <w:tcPr>
            <w:tcW w:w="1179" w:type="dxa"/>
            <w:tcBorders>
              <w:top w:val="nil"/>
              <w:left w:val="nil"/>
              <w:bottom w:val="nil"/>
              <w:right w:val="nil"/>
            </w:tcBorders>
          </w:tcPr>
          <w:p w14:paraId="03A378E7"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161F8FB"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16997E77"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0.0508</w:t>
            </w:r>
          </w:p>
        </w:tc>
        <w:tc>
          <w:tcPr>
            <w:tcW w:w="1179" w:type="dxa"/>
            <w:tcBorders>
              <w:top w:val="nil"/>
              <w:left w:val="nil"/>
              <w:bottom w:val="nil"/>
              <w:right w:val="nil"/>
            </w:tcBorders>
          </w:tcPr>
          <w:p w14:paraId="1995676F"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13ADDCC0"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0FFA79E9"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0.0203</w:t>
            </w:r>
          </w:p>
        </w:tc>
      </w:tr>
      <w:tr w:rsidR="0041756C" w:rsidRPr="00A7130E" w14:paraId="06137C95" w14:textId="77777777" w:rsidTr="008C0428">
        <w:trPr>
          <w:trHeight w:val="283"/>
          <w:jc w:val="center"/>
        </w:trPr>
        <w:tc>
          <w:tcPr>
            <w:tcW w:w="2093" w:type="dxa"/>
            <w:tcBorders>
              <w:top w:val="nil"/>
              <w:left w:val="nil"/>
              <w:bottom w:val="nil"/>
              <w:right w:val="nil"/>
            </w:tcBorders>
          </w:tcPr>
          <w:p w14:paraId="4A5A033C"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Health Care</w:t>
            </w:r>
          </w:p>
        </w:tc>
        <w:tc>
          <w:tcPr>
            <w:tcW w:w="1179" w:type="dxa"/>
            <w:tcBorders>
              <w:top w:val="nil"/>
              <w:left w:val="nil"/>
              <w:bottom w:val="nil"/>
              <w:right w:val="nil"/>
            </w:tcBorders>
          </w:tcPr>
          <w:p w14:paraId="7A3AFDB1"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4237AE4"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202E65F4" w14:textId="32C06F7E"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0.156**</w:t>
            </w:r>
          </w:p>
        </w:tc>
        <w:tc>
          <w:tcPr>
            <w:tcW w:w="1179" w:type="dxa"/>
            <w:tcBorders>
              <w:top w:val="nil"/>
              <w:left w:val="nil"/>
              <w:bottom w:val="nil"/>
              <w:right w:val="nil"/>
            </w:tcBorders>
          </w:tcPr>
          <w:p w14:paraId="2F0A1569"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0E439D5"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E8B6E4E" w14:textId="6857A49E"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41756C">
              <w:rPr>
                <w:rFonts w:ascii="Times New Roman" w:hAnsi="Times New Roman" w:cs="Times New Roman"/>
                <w:sz w:val="18"/>
                <w:szCs w:val="18"/>
              </w:rPr>
              <w:t>0.206</w:t>
            </w:r>
          </w:p>
        </w:tc>
      </w:tr>
      <w:tr w:rsidR="009F59B7" w:rsidRPr="00A7130E" w14:paraId="25AE426E" w14:textId="77777777" w:rsidTr="008C0428">
        <w:trPr>
          <w:trHeight w:val="283"/>
          <w:jc w:val="center"/>
        </w:trPr>
        <w:tc>
          <w:tcPr>
            <w:tcW w:w="2093" w:type="dxa"/>
            <w:tcBorders>
              <w:top w:val="nil"/>
              <w:left w:val="nil"/>
              <w:bottom w:val="nil"/>
              <w:right w:val="nil"/>
            </w:tcBorders>
          </w:tcPr>
          <w:p w14:paraId="349F163A" w14:textId="77777777" w:rsidR="009F59B7" w:rsidRPr="00A7130E" w:rsidRDefault="009F59B7" w:rsidP="009F59B7">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High-Tech</w:t>
            </w:r>
          </w:p>
        </w:tc>
        <w:tc>
          <w:tcPr>
            <w:tcW w:w="1179" w:type="dxa"/>
            <w:tcBorders>
              <w:top w:val="nil"/>
              <w:left w:val="nil"/>
              <w:bottom w:val="nil"/>
              <w:right w:val="nil"/>
            </w:tcBorders>
          </w:tcPr>
          <w:p w14:paraId="56248E74" w14:textId="77777777" w:rsidR="009F59B7" w:rsidRPr="00A7130E" w:rsidRDefault="009F59B7" w:rsidP="009F59B7">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5379DABF" w14:textId="77777777" w:rsidR="009F59B7" w:rsidRPr="00A7130E" w:rsidRDefault="009F59B7" w:rsidP="009F59B7">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04C9ACBA" w14:textId="23E51A3D" w:rsidR="009F59B7" w:rsidRPr="00A7130E" w:rsidRDefault="009F59B7" w:rsidP="009F59B7">
            <w:pPr>
              <w:widowControl w:val="0"/>
              <w:autoSpaceDE w:val="0"/>
              <w:autoSpaceDN w:val="0"/>
              <w:adjustRightInd w:val="0"/>
              <w:spacing w:after="0" w:line="240" w:lineRule="auto"/>
              <w:jc w:val="center"/>
              <w:rPr>
                <w:rFonts w:ascii="Times New Roman" w:hAnsi="Times New Roman" w:cs="Times New Roman"/>
                <w:sz w:val="18"/>
                <w:szCs w:val="18"/>
              </w:rPr>
            </w:pPr>
            <w:r w:rsidRPr="009F59B7">
              <w:rPr>
                <w:rFonts w:ascii="Times New Roman" w:hAnsi="Times New Roman" w:cs="Times New Roman"/>
                <w:sz w:val="18"/>
                <w:szCs w:val="18"/>
              </w:rPr>
              <w:t>0.0881**</w:t>
            </w:r>
          </w:p>
        </w:tc>
        <w:tc>
          <w:tcPr>
            <w:tcW w:w="1179" w:type="dxa"/>
            <w:tcBorders>
              <w:top w:val="nil"/>
              <w:left w:val="nil"/>
              <w:bottom w:val="nil"/>
              <w:right w:val="nil"/>
            </w:tcBorders>
          </w:tcPr>
          <w:p w14:paraId="47F41F28" w14:textId="77777777" w:rsidR="009F59B7" w:rsidRPr="00A7130E" w:rsidRDefault="009F59B7" w:rsidP="009F59B7">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7B5C1539" w14:textId="77777777" w:rsidR="009F59B7" w:rsidRPr="00A7130E" w:rsidRDefault="009F59B7" w:rsidP="009F59B7">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16A727CB" w14:textId="6920233D" w:rsidR="009F59B7" w:rsidRPr="00A7130E" w:rsidRDefault="009F59B7" w:rsidP="009F59B7">
            <w:pPr>
              <w:widowControl w:val="0"/>
              <w:autoSpaceDE w:val="0"/>
              <w:autoSpaceDN w:val="0"/>
              <w:adjustRightInd w:val="0"/>
              <w:spacing w:after="0" w:line="240" w:lineRule="auto"/>
              <w:jc w:val="center"/>
              <w:rPr>
                <w:rFonts w:ascii="Times New Roman" w:hAnsi="Times New Roman" w:cs="Times New Roman"/>
                <w:sz w:val="18"/>
                <w:szCs w:val="18"/>
              </w:rPr>
            </w:pPr>
            <w:r w:rsidRPr="009F59B7">
              <w:rPr>
                <w:rFonts w:ascii="Times New Roman" w:hAnsi="Times New Roman" w:cs="Times New Roman"/>
                <w:sz w:val="18"/>
                <w:szCs w:val="18"/>
              </w:rPr>
              <w:t>0.124</w:t>
            </w:r>
          </w:p>
        </w:tc>
      </w:tr>
      <w:tr w:rsidR="0041756C" w:rsidRPr="00A7130E" w14:paraId="7E5B2F4B" w14:textId="77777777" w:rsidTr="008C0428">
        <w:trPr>
          <w:trHeight w:val="283"/>
          <w:jc w:val="center"/>
        </w:trPr>
        <w:tc>
          <w:tcPr>
            <w:tcW w:w="2093" w:type="dxa"/>
            <w:tcBorders>
              <w:top w:val="nil"/>
              <w:left w:val="nil"/>
              <w:bottom w:val="nil"/>
              <w:right w:val="nil"/>
            </w:tcBorders>
          </w:tcPr>
          <w:p w14:paraId="29374BD5"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Industrial</w:t>
            </w:r>
          </w:p>
        </w:tc>
        <w:tc>
          <w:tcPr>
            <w:tcW w:w="1179" w:type="dxa"/>
            <w:tcBorders>
              <w:top w:val="nil"/>
              <w:left w:val="nil"/>
              <w:bottom w:val="nil"/>
              <w:right w:val="nil"/>
            </w:tcBorders>
          </w:tcPr>
          <w:p w14:paraId="4964E400"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E8BA1A0"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0DC457DC"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0.0370</w:t>
            </w:r>
          </w:p>
        </w:tc>
        <w:tc>
          <w:tcPr>
            <w:tcW w:w="1179" w:type="dxa"/>
            <w:tcBorders>
              <w:top w:val="nil"/>
              <w:left w:val="nil"/>
              <w:bottom w:val="nil"/>
              <w:right w:val="nil"/>
            </w:tcBorders>
          </w:tcPr>
          <w:p w14:paraId="406B5981"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715587BF"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79459B13"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0.0313</w:t>
            </w:r>
          </w:p>
        </w:tc>
      </w:tr>
      <w:tr w:rsidR="0041756C" w:rsidRPr="00A7130E" w14:paraId="1B4AC567" w14:textId="77777777" w:rsidTr="008C0428">
        <w:trPr>
          <w:trHeight w:val="283"/>
          <w:jc w:val="center"/>
        </w:trPr>
        <w:tc>
          <w:tcPr>
            <w:tcW w:w="2093" w:type="dxa"/>
            <w:tcBorders>
              <w:top w:val="nil"/>
              <w:left w:val="nil"/>
              <w:bottom w:val="nil"/>
              <w:right w:val="nil"/>
            </w:tcBorders>
          </w:tcPr>
          <w:p w14:paraId="0B325925"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Materials</w:t>
            </w:r>
          </w:p>
        </w:tc>
        <w:tc>
          <w:tcPr>
            <w:tcW w:w="1179" w:type="dxa"/>
            <w:tcBorders>
              <w:top w:val="nil"/>
              <w:left w:val="nil"/>
              <w:bottom w:val="nil"/>
              <w:right w:val="nil"/>
            </w:tcBorders>
          </w:tcPr>
          <w:p w14:paraId="25928E86"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0272795C"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7CA66741"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0.0386</w:t>
            </w:r>
          </w:p>
        </w:tc>
        <w:tc>
          <w:tcPr>
            <w:tcW w:w="1179" w:type="dxa"/>
            <w:tcBorders>
              <w:top w:val="nil"/>
              <w:left w:val="nil"/>
              <w:bottom w:val="nil"/>
              <w:right w:val="nil"/>
            </w:tcBorders>
          </w:tcPr>
          <w:p w14:paraId="16D42899"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64262310"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261C0078"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0.0662</w:t>
            </w:r>
          </w:p>
        </w:tc>
      </w:tr>
      <w:tr w:rsidR="0041756C" w:rsidRPr="00A7130E" w14:paraId="031F8E80" w14:textId="77777777" w:rsidTr="008C0428">
        <w:trPr>
          <w:trHeight w:val="283"/>
          <w:jc w:val="center"/>
        </w:trPr>
        <w:tc>
          <w:tcPr>
            <w:tcW w:w="2093" w:type="dxa"/>
            <w:tcBorders>
              <w:top w:val="nil"/>
              <w:left w:val="nil"/>
              <w:bottom w:val="nil"/>
              <w:right w:val="nil"/>
            </w:tcBorders>
          </w:tcPr>
          <w:p w14:paraId="1E83B0AD" w14:textId="77777777" w:rsidR="0041756C" w:rsidRPr="00A7130E" w:rsidRDefault="0041756C" w:rsidP="0041756C">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M&amp;E</w:t>
            </w:r>
          </w:p>
        </w:tc>
        <w:tc>
          <w:tcPr>
            <w:tcW w:w="1179" w:type="dxa"/>
            <w:tcBorders>
              <w:top w:val="nil"/>
              <w:left w:val="nil"/>
              <w:bottom w:val="nil"/>
              <w:right w:val="nil"/>
            </w:tcBorders>
          </w:tcPr>
          <w:p w14:paraId="3D1D8F6D"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32141361"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47382E5B"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0.0118</w:t>
            </w:r>
          </w:p>
        </w:tc>
        <w:tc>
          <w:tcPr>
            <w:tcW w:w="1179" w:type="dxa"/>
            <w:tcBorders>
              <w:top w:val="nil"/>
              <w:left w:val="nil"/>
              <w:bottom w:val="nil"/>
              <w:right w:val="nil"/>
            </w:tcBorders>
          </w:tcPr>
          <w:p w14:paraId="515722CA"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16DE6F09"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p>
        </w:tc>
        <w:tc>
          <w:tcPr>
            <w:tcW w:w="1179" w:type="dxa"/>
            <w:tcBorders>
              <w:top w:val="nil"/>
              <w:left w:val="nil"/>
              <w:bottom w:val="nil"/>
              <w:right w:val="nil"/>
            </w:tcBorders>
          </w:tcPr>
          <w:p w14:paraId="6E5662F7" w14:textId="77777777" w:rsidR="0041756C" w:rsidRPr="00A7130E" w:rsidRDefault="0041756C" w:rsidP="0041756C">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0.0447</w:t>
            </w:r>
          </w:p>
        </w:tc>
      </w:tr>
    </w:tbl>
    <w:p w14:paraId="6F355D5D" w14:textId="77777777" w:rsidR="008C0428" w:rsidRDefault="008C0428"/>
    <w:p w14:paraId="089B545B" w14:textId="1EFB1A06" w:rsidR="0024206F" w:rsidRPr="00C03199" w:rsidRDefault="0024206F" w:rsidP="0024206F">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Table 6</w:t>
      </w:r>
    </w:p>
    <w:p w14:paraId="49FFDBA8" w14:textId="77777777" w:rsidR="0024206F" w:rsidRPr="00C03199" w:rsidRDefault="0024206F" w:rsidP="0024206F">
      <w:pPr>
        <w:spacing w:after="0" w:line="360" w:lineRule="auto"/>
        <w:jc w:val="center"/>
        <w:rPr>
          <w:rFonts w:ascii="Times New Roman" w:hAnsi="Times New Roman" w:cs="Times New Roman"/>
          <w:sz w:val="20"/>
          <w:szCs w:val="20"/>
        </w:rPr>
      </w:pPr>
      <w:r w:rsidRPr="00C03199">
        <w:rPr>
          <w:rFonts w:ascii="Times New Roman" w:hAnsi="Times New Roman" w:cs="Times New Roman"/>
          <w:sz w:val="20"/>
          <w:szCs w:val="20"/>
        </w:rPr>
        <w:t>Continued.</w:t>
      </w:r>
    </w:p>
    <w:p w14:paraId="779AA980" w14:textId="77777777" w:rsidR="0024206F" w:rsidRPr="00C03199" w:rsidRDefault="0024206F" w:rsidP="0024206F">
      <w:pPr>
        <w:spacing w:after="0" w:line="360" w:lineRule="auto"/>
        <w:jc w:val="both"/>
        <w:rPr>
          <w:rFonts w:ascii="Times New Roman" w:hAnsi="Times New Roman" w:cs="Times New Roman"/>
          <w:noProof/>
          <w:sz w:val="20"/>
          <w:szCs w:val="20"/>
        </w:rPr>
      </w:pPr>
      <w:r w:rsidRPr="00C03199">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167E4B19" wp14:editId="0613B6CE">
                <wp:simplePos x="0" y="0"/>
                <wp:positionH relativeFrom="margin">
                  <wp:align>left</wp:align>
                </wp:positionH>
                <wp:positionV relativeFrom="paragraph">
                  <wp:posOffset>46879</wp:posOffset>
                </wp:positionV>
                <wp:extent cx="5788550" cy="0"/>
                <wp:effectExtent l="0" t="0" r="22225" b="19050"/>
                <wp:wrapNone/>
                <wp:docPr id="7" name="Straight Connector 7"/>
                <wp:cNvGraphicFramePr/>
                <a:graphic xmlns:a="http://schemas.openxmlformats.org/drawingml/2006/main">
                  <a:graphicData uri="http://schemas.microsoft.com/office/word/2010/wordprocessingShape">
                    <wps:wsp>
                      <wps:cNvCnPr/>
                      <wps:spPr>
                        <a:xfrm>
                          <a:off x="0" y="0"/>
                          <a:ext cx="5788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0E254" id="Straight Connector 7"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pt" to="455.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StzQEAAPcDAAAOAAAAZHJzL2Uyb0RvYy54bWysU8GO2yAQvVfqPyDujZ2V0kRWnD1ktb1U&#10;bdRtP4DFEKMCgwYaO3/fASfOaltVVdUL9sC8N/Mew/Z+dJadFEYDvuXLRc2Z8hI6448t//b18d2G&#10;s5iE74QFr1p+VpHf796+2Q6hUXfQg+0UMiLxsRlCy/uUQlNVUfbKibiAoDwdakAnEoV4rDoUA7E7&#10;W93V9ftqAOwCglQx0u7DdMh3hV9rJdNnraNKzLacektlxbI+57XabUVzRBF6Iy9tiH/owgnjqehM&#10;9SCSYD/Q/ELljESIoNNCgqtAayNV0UBqlvUrNU+9CKpoIXNimG2K/49WfjodkJmu5WvOvHB0RU8J&#10;hTn2ie3BezIQkK2zT0OIDaXv/QEvUQwHzKJHjS5/SQ4bi7fn2Vs1JiZpc7XebFYrugJ5PatuwIAx&#10;fVDgWP5puTU+yxaNOH2MiYpR6jUlb1uf1wjWdI/G2hLkgVF7i+wk6KrTuMwtE+5FFkUZWWUhU+vl&#10;L52tmli/KE1WULPLUr0M4Y2z+37ltJ4yM0RT9RlU/xl0yc0wVQbzb4FzdqkIPs1AZzzg76re5Osp&#10;/6p60pplP0N3LhdZ7KDpKm5dXkIe35dxgd/e6+4nAAAA//8DAFBLAwQUAAYACAAAACEAdrAqjtsA&#10;AAAEAQAADwAAAGRycy9kb3ducmV2LnhtbEyPzU7DMBCE70i8g7VIXFDrhJ8AIU6FIvXCAYkGVT26&#10;8TaOiNdR7Dbp27NwgeNoRjPfFKvZ9eKEY+g8KUiXCQikxpuOWgWf9XrxBCJETUb3nlDBGQOsysuL&#10;QufGT/SBp01sBZdQyLUCG+OQSxkai06HpR+Q2Dv40enIcmylGfXE5a6Xt0mSSac74gWrB6wsNl+b&#10;o1Owa2/u1tua6qmK74fMzuft20Ol1PXV/PoCIuIc/8Lwg8/oUDLT3h/JBNEr4CNRweM9CDaf0zQD&#10;sf/Vsizkf/jyGwAA//8DAFBLAQItABQABgAIAAAAIQC2gziS/gAAAOEBAAATAAAAAAAAAAAAAAAA&#10;AAAAAABbQ29udGVudF9UeXBlc10ueG1sUEsBAi0AFAAGAAgAAAAhADj9If/WAAAAlAEAAAsAAAAA&#10;AAAAAAAAAAAALwEAAF9yZWxzLy5yZWxzUEsBAi0AFAAGAAgAAAAhAD0AtK3NAQAA9wMAAA4AAAAA&#10;AAAAAAAAAAAALgIAAGRycy9lMm9Eb2MueG1sUEsBAi0AFAAGAAgAAAAhAHawKo7bAAAABAEAAA8A&#10;AAAAAAAAAAAAAAAAJwQAAGRycy9kb3ducmV2LnhtbFBLBQYAAAAABAAEAPMAAAAvBQAAAAA=&#10;" strokecolor="black [3213]" strokeweight=".5pt">
                <v:stroke joinstyle="miter"/>
                <w10:wrap anchorx="margin"/>
              </v:line>
            </w:pict>
          </mc:Fallback>
        </mc:AlternateContent>
      </w:r>
      <w:r w:rsidRPr="00C03199">
        <w:rPr>
          <w:rFonts w:ascii="Times New Roman" w:hAnsi="Times New Roman" w:cs="Times New Roman"/>
        </w:rPr>
        <w:tab/>
      </w:r>
    </w:p>
    <w:tbl>
      <w:tblPr>
        <w:tblW w:w="9112" w:type="dxa"/>
        <w:tblLayout w:type="fixed"/>
        <w:tblCellMar>
          <w:left w:w="75" w:type="dxa"/>
          <w:right w:w="75" w:type="dxa"/>
        </w:tblCellMar>
        <w:tblLook w:val="0000" w:firstRow="0" w:lastRow="0" w:firstColumn="0" w:lastColumn="0" w:noHBand="0" w:noVBand="0"/>
      </w:tblPr>
      <w:tblGrid>
        <w:gridCol w:w="1912"/>
        <w:gridCol w:w="1200"/>
        <w:gridCol w:w="1200"/>
        <w:gridCol w:w="1200"/>
        <w:gridCol w:w="1200"/>
        <w:gridCol w:w="1200"/>
        <w:gridCol w:w="1200"/>
      </w:tblGrid>
      <w:tr w:rsidR="0024206F" w:rsidRPr="00C03199" w14:paraId="1F515CDB" w14:textId="77777777" w:rsidTr="009352DA">
        <w:trPr>
          <w:trHeight w:val="273"/>
        </w:trPr>
        <w:tc>
          <w:tcPr>
            <w:tcW w:w="1912" w:type="dxa"/>
            <w:tcBorders>
              <w:top w:val="nil"/>
              <w:left w:val="nil"/>
              <w:bottom w:val="nil"/>
              <w:right w:val="nil"/>
            </w:tcBorders>
          </w:tcPr>
          <w:p w14:paraId="03657BCE"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Event window</w:t>
            </w:r>
          </w:p>
        </w:tc>
        <w:tc>
          <w:tcPr>
            <w:tcW w:w="1200" w:type="dxa"/>
            <w:tcBorders>
              <w:top w:val="nil"/>
              <w:left w:val="nil"/>
              <w:bottom w:val="nil"/>
              <w:right w:val="nil"/>
            </w:tcBorders>
          </w:tcPr>
          <w:p w14:paraId="674B3B51"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4C2F7614"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53D1CD6F"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0, +1</w:t>
            </w:r>
          </w:p>
        </w:tc>
        <w:tc>
          <w:tcPr>
            <w:tcW w:w="1200" w:type="dxa"/>
            <w:tcBorders>
              <w:top w:val="nil"/>
              <w:left w:val="nil"/>
              <w:bottom w:val="nil"/>
              <w:right w:val="nil"/>
            </w:tcBorders>
          </w:tcPr>
          <w:p w14:paraId="32C2F1F1"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 +5</w:t>
            </w:r>
          </w:p>
        </w:tc>
        <w:tc>
          <w:tcPr>
            <w:tcW w:w="1200" w:type="dxa"/>
            <w:tcBorders>
              <w:top w:val="nil"/>
              <w:left w:val="nil"/>
              <w:bottom w:val="nil"/>
              <w:right w:val="nil"/>
            </w:tcBorders>
          </w:tcPr>
          <w:p w14:paraId="7BC8837D"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c>
          <w:tcPr>
            <w:tcW w:w="1200" w:type="dxa"/>
            <w:tcBorders>
              <w:top w:val="nil"/>
              <w:left w:val="nil"/>
              <w:bottom w:val="nil"/>
              <w:right w:val="nil"/>
            </w:tcBorders>
          </w:tcPr>
          <w:p w14:paraId="5669438D"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r w:rsidRPr="00C03199">
              <w:rPr>
                <w:rFonts w:ascii="Times New Roman" w:hAnsi="Times New Roman" w:cs="Times New Roman"/>
                <w:sz w:val="18"/>
                <w:szCs w:val="24"/>
              </w:rPr>
              <w:t>CAR -1,+5</w:t>
            </w:r>
          </w:p>
        </w:tc>
      </w:tr>
      <w:tr w:rsidR="0024206F" w:rsidRPr="00C03199" w14:paraId="45CAF74E" w14:textId="77777777" w:rsidTr="009352DA">
        <w:trPr>
          <w:trHeight w:val="273"/>
        </w:trPr>
        <w:tc>
          <w:tcPr>
            <w:tcW w:w="1912" w:type="dxa"/>
            <w:tcBorders>
              <w:top w:val="nil"/>
              <w:left w:val="nil"/>
              <w:bottom w:val="single" w:sz="6" w:space="0" w:color="auto"/>
              <w:right w:val="nil"/>
            </w:tcBorders>
          </w:tcPr>
          <w:p w14:paraId="0F63EEDD" w14:textId="77777777" w:rsidR="0024206F" w:rsidRPr="00C03199" w:rsidRDefault="0024206F" w:rsidP="009352DA">
            <w:pPr>
              <w:widowControl w:val="0"/>
              <w:autoSpaceDE w:val="0"/>
              <w:autoSpaceDN w:val="0"/>
              <w:adjustRightInd w:val="0"/>
              <w:spacing w:after="0" w:line="240" w:lineRule="auto"/>
              <w:rPr>
                <w:rFonts w:ascii="Times New Roman" w:hAnsi="Times New Roman" w:cs="Times New Roman"/>
                <w:sz w:val="18"/>
                <w:szCs w:val="24"/>
              </w:rPr>
            </w:pPr>
          </w:p>
        </w:tc>
        <w:tc>
          <w:tcPr>
            <w:tcW w:w="1200" w:type="dxa"/>
            <w:tcBorders>
              <w:top w:val="nil"/>
              <w:left w:val="nil"/>
              <w:bottom w:val="single" w:sz="6" w:space="0" w:color="auto"/>
              <w:right w:val="nil"/>
            </w:tcBorders>
          </w:tcPr>
          <w:p w14:paraId="07CF5BB2"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38FD731D"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6E35E2E5"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c>
          <w:tcPr>
            <w:tcW w:w="1200" w:type="dxa"/>
            <w:tcBorders>
              <w:top w:val="nil"/>
              <w:left w:val="nil"/>
              <w:bottom w:val="single" w:sz="6" w:space="0" w:color="auto"/>
              <w:right w:val="nil"/>
            </w:tcBorders>
          </w:tcPr>
          <w:p w14:paraId="244E5059"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(1)</w:t>
            </w:r>
          </w:p>
        </w:tc>
        <w:tc>
          <w:tcPr>
            <w:tcW w:w="1200" w:type="dxa"/>
            <w:tcBorders>
              <w:top w:val="nil"/>
              <w:left w:val="nil"/>
              <w:bottom w:val="single" w:sz="6" w:space="0" w:color="auto"/>
              <w:right w:val="nil"/>
            </w:tcBorders>
          </w:tcPr>
          <w:p w14:paraId="6B6D2233"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(2)</w:t>
            </w:r>
          </w:p>
        </w:tc>
        <w:tc>
          <w:tcPr>
            <w:tcW w:w="1200" w:type="dxa"/>
            <w:tcBorders>
              <w:top w:val="nil"/>
              <w:left w:val="nil"/>
              <w:bottom w:val="single" w:sz="6" w:space="0" w:color="auto"/>
              <w:right w:val="nil"/>
            </w:tcBorders>
          </w:tcPr>
          <w:p w14:paraId="54C5DD63" w14:textId="77777777" w:rsidR="0024206F" w:rsidRPr="00C03199" w:rsidRDefault="0024206F" w:rsidP="009352DA">
            <w:pPr>
              <w:widowControl w:val="0"/>
              <w:autoSpaceDE w:val="0"/>
              <w:autoSpaceDN w:val="0"/>
              <w:adjustRightInd w:val="0"/>
              <w:spacing w:after="0" w:line="240" w:lineRule="auto"/>
              <w:jc w:val="center"/>
              <w:rPr>
                <w:rFonts w:ascii="Times New Roman" w:hAnsi="Times New Roman" w:cs="Times New Roman"/>
                <w:sz w:val="18"/>
                <w:szCs w:val="24"/>
              </w:rPr>
            </w:pPr>
            <w:r w:rsidRPr="00C03199">
              <w:rPr>
                <w:rFonts w:ascii="Times New Roman" w:hAnsi="Times New Roman" w:cs="Times New Roman"/>
                <w:sz w:val="18"/>
                <w:szCs w:val="24"/>
              </w:rPr>
              <w:t>(3)</w:t>
            </w:r>
          </w:p>
        </w:tc>
      </w:tr>
    </w:tbl>
    <w:p w14:paraId="07920A21" w14:textId="77777777" w:rsidR="0024206F" w:rsidRDefault="0024206F" w:rsidP="0024206F">
      <w:pPr>
        <w:spacing w:after="0" w:line="240" w:lineRule="auto"/>
      </w:pPr>
    </w:p>
    <w:tbl>
      <w:tblPr>
        <w:tblW w:w="9408" w:type="dxa"/>
        <w:jc w:val="center"/>
        <w:tblLayout w:type="fixed"/>
        <w:tblCellMar>
          <w:left w:w="75" w:type="dxa"/>
          <w:right w:w="75" w:type="dxa"/>
        </w:tblCellMar>
        <w:tblLook w:val="0000" w:firstRow="0" w:lastRow="0" w:firstColumn="0" w:lastColumn="0" w:noHBand="0" w:noVBand="0"/>
      </w:tblPr>
      <w:tblGrid>
        <w:gridCol w:w="2148"/>
        <w:gridCol w:w="1210"/>
        <w:gridCol w:w="1210"/>
        <w:gridCol w:w="1210"/>
        <w:gridCol w:w="1210"/>
        <w:gridCol w:w="1210"/>
        <w:gridCol w:w="1210"/>
      </w:tblGrid>
      <w:tr w:rsidR="008C0428" w:rsidRPr="00A7130E" w14:paraId="50B2D0B5" w14:textId="77777777" w:rsidTr="008C0428">
        <w:trPr>
          <w:trHeight w:val="249"/>
          <w:jc w:val="center"/>
        </w:trPr>
        <w:tc>
          <w:tcPr>
            <w:tcW w:w="2148" w:type="dxa"/>
            <w:tcBorders>
              <w:top w:val="nil"/>
              <w:left w:val="nil"/>
              <w:bottom w:val="nil"/>
              <w:right w:val="nil"/>
            </w:tcBorders>
          </w:tcPr>
          <w:p w14:paraId="7A0DA974" w14:textId="77777777" w:rsidR="008C0428" w:rsidRPr="00A7130E" w:rsidRDefault="008C0428" w:rsidP="00A35FD1">
            <w:pPr>
              <w:widowControl w:val="0"/>
              <w:tabs>
                <w:tab w:val="left" w:pos="945"/>
              </w:tabs>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Retail</w:t>
            </w:r>
            <w:r>
              <w:rPr>
                <w:rFonts w:ascii="Times New Roman" w:hAnsi="Times New Roman" w:cs="Times New Roman"/>
                <w:sz w:val="18"/>
                <w:szCs w:val="18"/>
              </w:rPr>
              <w:tab/>
            </w:r>
          </w:p>
        </w:tc>
        <w:tc>
          <w:tcPr>
            <w:tcW w:w="1210" w:type="dxa"/>
            <w:tcBorders>
              <w:top w:val="nil"/>
              <w:left w:val="nil"/>
              <w:bottom w:val="nil"/>
              <w:right w:val="nil"/>
            </w:tcBorders>
          </w:tcPr>
          <w:p w14:paraId="792ABC53"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7787BFA6"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2DD03B1E"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-0.0071</w:t>
            </w:r>
          </w:p>
        </w:tc>
        <w:tc>
          <w:tcPr>
            <w:tcW w:w="1210" w:type="dxa"/>
            <w:tcBorders>
              <w:top w:val="nil"/>
              <w:left w:val="nil"/>
              <w:bottom w:val="nil"/>
              <w:right w:val="nil"/>
            </w:tcBorders>
          </w:tcPr>
          <w:p w14:paraId="2878B276"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39631410"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29057052"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0.0094</w:t>
            </w:r>
          </w:p>
        </w:tc>
      </w:tr>
      <w:tr w:rsidR="008C0428" w:rsidRPr="00A7130E" w14:paraId="4655A3B7" w14:textId="77777777" w:rsidTr="008C0428">
        <w:trPr>
          <w:trHeight w:val="249"/>
          <w:jc w:val="center"/>
        </w:trPr>
        <w:tc>
          <w:tcPr>
            <w:tcW w:w="2148" w:type="dxa"/>
            <w:tcBorders>
              <w:top w:val="nil"/>
              <w:left w:val="nil"/>
              <w:bottom w:val="nil"/>
              <w:right w:val="nil"/>
            </w:tcBorders>
          </w:tcPr>
          <w:p w14:paraId="4F2557E4" w14:textId="77777777" w:rsidR="008C0428" w:rsidRPr="00A7130E" w:rsidRDefault="008C0428" w:rsidP="008C0428">
            <w:pPr>
              <w:widowControl w:val="0"/>
              <w:tabs>
                <w:tab w:val="left" w:pos="945"/>
              </w:tabs>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Telecommunications</w:t>
            </w:r>
          </w:p>
        </w:tc>
        <w:tc>
          <w:tcPr>
            <w:tcW w:w="1210" w:type="dxa"/>
            <w:tcBorders>
              <w:top w:val="nil"/>
              <w:left w:val="nil"/>
              <w:bottom w:val="nil"/>
              <w:right w:val="nil"/>
            </w:tcBorders>
          </w:tcPr>
          <w:p w14:paraId="66A9A942"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15CF243E"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46AE1B24"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-0.0224</w:t>
            </w:r>
          </w:p>
        </w:tc>
        <w:tc>
          <w:tcPr>
            <w:tcW w:w="1210" w:type="dxa"/>
            <w:tcBorders>
              <w:top w:val="nil"/>
              <w:left w:val="nil"/>
              <w:bottom w:val="nil"/>
              <w:right w:val="nil"/>
            </w:tcBorders>
          </w:tcPr>
          <w:p w14:paraId="20540BE5"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53592589"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1E01CE57"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-0.0058</w:t>
            </w:r>
          </w:p>
        </w:tc>
      </w:tr>
      <w:tr w:rsidR="008C0428" w:rsidRPr="00A7130E" w14:paraId="051F9C17" w14:textId="77777777" w:rsidTr="008C0428">
        <w:trPr>
          <w:trHeight w:val="249"/>
          <w:jc w:val="center"/>
        </w:trPr>
        <w:tc>
          <w:tcPr>
            <w:tcW w:w="2148" w:type="dxa"/>
            <w:tcBorders>
              <w:top w:val="nil"/>
              <w:left w:val="nil"/>
              <w:bottom w:val="nil"/>
              <w:right w:val="nil"/>
            </w:tcBorders>
          </w:tcPr>
          <w:p w14:paraId="49834223" w14:textId="77777777" w:rsidR="008C0428" w:rsidRPr="00A7130E" w:rsidRDefault="008C0428" w:rsidP="008C0428">
            <w:pPr>
              <w:widowControl w:val="0"/>
              <w:tabs>
                <w:tab w:val="left" w:pos="945"/>
              </w:tabs>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Real estate </w:t>
            </w:r>
            <w:r>
              <w:rPr>
                <w:rFonts w:ascii="Times New Roman" w:hAnsi="Times New Roman" w:cs="Times New Roman"/>
                <w:sz w:val="18"/>
                <w:szCs w:val="18"/>
              </w:rPr>
              <w:tab/>
            </w:r>
          </w:p>
        </w:tc>
        <w:tc>
          <w:tcPr>
            <w:tcW w:w="1210" w:type="dxa"/>
            <w:tcBorders>
              <w:top w:val="nil"/>
              <w:left w:val="nil"/>
              <w:bottom w:val="nil"/>
              <w:right w:val="nil"/>
            </w:tcBorders>
          </w:tcPr>
          <w:p w14:paraId="4B8D1C25"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7F7D92B3"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0F71E660"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0.0548</w:t>
            </w:r>
          </w:p>
        </w:tc>
        <w:tc>
          <w:tcPr>
            <w:tcW w:w="1210" w:type="dxa"/>
            <w:tcBorders>
              <w:top w:val="nil"/>
              <w:left w:val="nil"/>
              <w:bottom w:val="nil"/>
              <w:right w:val="nil"/>
            </w:tcBorders>
          </w:tcPr>
          <w:p w14:paraId="1F9FA268"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4A2625BB"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p>
        </w:tc>
        <w:tc>
          <w:tcPr>
            <w:tcW w:w="1210" w:type="dxa"/>
            <w:tcBorders>
              <w:top w:val="nil"/>
              <w:left w:val="nil"/>
              <w:bottom w:val="nil"/>
              <w:right w:val="nil"/>
            </w:tcBorders>
          </w:tcPr>
          <w:p w14:paraId="34824862"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0.0254</w:t>
            </w:r>
          </w:p>
        </w:tc>
      </w:tr>
      <w:tr w:rsidR="008C0428" w:rsidRPr="00A7130E" w14:paraId="248DE01D" w14:textId="77777777" w:rsidTr="008C0428">
        <w:trPr>
          <w:trHeight w:val="249"/>
          <w:jc w:val="center"/>
        </w:trPr>
        <w:tc>
          <w:tcPr>
            <w:tcW w:w="2148" w:type="dxa"/>
            <w:tcBorders>
              <w:top w:val="nil"/>
              <w:left w:val="nil"/>
              <w:bottom w:val="nil"/>
              <w:right w:val="nil"/>
            </w:tcBorders>
          </w:tcPr>
          <w:p w14:paraId="28B3D295" w14:textId="77777777" w:rsidR="008C0428" w:rsidRPr="00A7130E" w:rsidRDefault="008C0428" w:rsidP="008C0428">
            <w:pPr>
              <w:widowControl w:val="0"/>
              <w:tabs>
                <w:tab w:val="left" w:pos="945"/>
              </w:tabs>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Constant</w:t>
            </w:r>
          </w:p>
        </w:tc>
        <w:tc>
          <w:tcPr>
            <w:tcW w:w="1210" w:type="dxa"/>
            <w:tcBorders>
              <w:top w:val="nil"/>
              <w:left w:val="nil"/>
              <w:bottom w:val="nil"/>
              <w:right w:val="nil"/>
            </w:tcBorders>
          </w:tcPr>
          <w:p w14:paraId="15A268C3"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10" w:type="dxa"/>
            <w:tcBorders>
              <w:top w:val="nil"/>
              <w:left w:val="nil"/>
              <w:bottom w:val="nil"/>
              <w:right w:val="nil"/>
            </w:tcBorders>
          </w:tcPr>
          <w:p w14:paraId="1299B106"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10" w:type="dxa"/>
            <w:tcBorders>
              <w:top w:val="nil"/>
              <w:left w:val="nil"/>
              <w:bottom w:val="nil"/>
              <w:right w:val="nil"/>
            </w:tcBorders>
          </w:tcPr>
          <w:p w14:paraId="2D28DECA"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10" w:type="dxa"/>
            <w:tcBorders>
              <w:top w:val="nil"/>
              <w:left w:val="nil"/>
              <w:bottom w:val="nil"/>
              <w:right w:val="nil"/>
            </w:tcBorders>
          </w:tcPr>
          <w:p w14:paraId="13F7BA49"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10" w:type="dxa"/>
            <w:tcBorders>
              <w:top w:val="nil"/>
              <w:left w:val="nil"/>
              <w:bottom w:val="nil"/>
              <w:right w:val="nil"/>
            </w:tcBorders>
          </w:tcPr>
          <w:p w14:paraId="21B24043"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c>
          <w:tcPr>
            <w:tcW w:w="1210" w:type="dxa"/>
            <w:tcBorders>
              <w:top w:val="nil"/>
              <w:left w:val="nil"/>
              <w:bottom w:val="nil"/>
              <w:right w:val="nil"/>
            </w:tcBorders>
          </w:tcPr>
          <w:p w14:paraId="4E581797"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Nocons</w:t>
            </w:r>
          </w:p>
        </w:tc>
      </w:tr>
      <w:tr w:rsidR="008C0428" w:rsidRPr="00A7130E" w14:paraId="2ADF1F45" w14:textId="77777777" w:rsidTr="008C0428">
        <w:trPr>
          <w:trHeight w:val="80"/>
          <w:jc w:val="center"/>
        </w:trPr>
        <w:tc>
          <w:tcPr>
            <w:tcW w:w="2148" w:type="dxa"/>
            <w:tcBorders>
              <w:top w:val="nil"/>
              <w:left w:val="nil"/>
              <w:bottom w:val="nil"/>
              <w:right w:val="nil"/>
            </w:tcBorders>
          </w:tcPr>
          <w:p w14:paraId="4CBF62AC" w14:textId="77777777" w:rsidR="008C0428" w:rsidRDefault="008C0428" w:rsidP="008C0428">
            <w:pPr>
              <w:widowControl w:val="0"/>
              <w:tabs>
                <w:tab w:val="left" w:pos="945"/>
              </w:tabs>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Observations</w:t>
            </w:r>
          </w:p>
          <w:p w14:paraId="71DB6D5B" w14:textId="77777777" w:rsidR="008C0428" w:rsidRPr="00A7130E" w:rsidRDefault="008C0428" w:rsidP="008C0428">
            <w:pPr>
              <w:widowControl w:val="0"/>
              <w:tabs>
                <w:tab w:val="left" w:pos="945"/>
              </w:tabs>
              <w:autoSpaceDE w:val="0"/>
              <w:autoSpaceDN w:val="0"/>
              <w:adjustRightInd w:val="0"/>
              <w:spacing w:after="0" w:line="240" w:lineRule="auto"/>
              <w:rPr>
                <w:rFonts w:ascii="Times New Roman" w:hAnsi="Times New Roman" w:cs="Times New Roman"/>
                <w:sz w:val="18"/>
                <w:szCs w:val="18"/>
              </w:rPr>
            </w:pPr>
          </w:p>
        </w:tc>
        <w:tc>
          <w:tcPr>
            <w:tcW w:w="1210" w:type="dxa"/>
            <w:tcBorders>
              <w:top w:val="nil"/>
              <w:left w:val="nil"/>
              <w:bottom w:val="nil"/>
              <w:right w:val="nil"/>
            </w:tcBorders>
          </w:tcPr>
          <w:p w14:paraId="09FF3E70"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416</w:t>
            </w:r>
          </w:p>
        </w:tc>
        <w:tc>
          <w:tcPr>
            <w:tcW w:w="1210" w:type="dxa"/>
            <w:tcBorders>
              <w:top w:val="nil"/>
              <w:left w:val="nil"/>
              <w:bottom w:val="nil"/>
              <w:right w:val="nil"/>
            </w:tcBorders>
          </w:tcPr>
          <w:p w14:paraId="200B0443" w14:textId="0D331A32" w:rsidR="008C0428" w:rsidRPr="00A7130E" w:rsidRDefault="008C0428" w:rsidP="008C0428">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416</w:t>
            </w:r>
          </w:p>
        </w:tc>
        <w:tc>
          <w:tcPr>
            <w:tcW w:w="1210" w:type="dxa"/>
            <w:tcBorders>
              <w:top w:val="nil"/>
              <w:left w:val="nil"/>
              <w:bottom w:val="nil"/>
              <w:right w:val="nil"/>
            </w:tcBorders>
          </w:tcPr>
          <w:p w14:paraId="61AF534F"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416</w:t>
            </w:r>
          </w:p>
        </w:tc>
        <w:tc>
          <w:tcPr>
            <w:tcW w:w="1210" w:type="dxa"/>
            <w:tcBorders>
              <w:top w:val="nil"/>
              <w:left w:val="nil"/>
              <w:bottom w:val="nil"/>
              <w:right w:val="nil"/>
            </w:tcBorders>
          </w:tcPr>
          <w:p w14:paraId="1E1BD6CB"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416</w:t>
            </w:r>
          </w:p>
        </w:tc>
        <w:tc>
          <w:tcPr>
            <w:tcW w:w="1210" w:type="dxa"/>
            <w:tcBorders>
              <w:top w:val="nil"/>
              <w:left w:val="nil"/>
              <w:bottom w:val="nil"/>
              <w:right w:val="nil"/>
            </w:tcBorders>
          </w:tcPr>
          <w:p w14:paraId="2D0BDC19"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416</w:t>
            </w:r>
          </w:p>
        </w:tc>
        <w:tc>
          <w:tcPr>
            <w:tcW w:w="1210" w:type="dxa"/>
            <w:tcBorders>
              <w:top w:val="nil"/>
              <w:left w:val="nil"/>
              <w:bottom w:val="nil"/>
              <w:right w:val="nil"/>
            </w:tcBorders>
          </w:tcPr>
          <w:p w14:paraId="3B078752" w14:textId="77777777" w:rsidR="008C0428" w:rsidRPr="00A7130E" w:rsidRDefault="008C0428" w:rsidP="00A35FD1">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416</w:t>
            </w:r>
          </w:p>
        </w:tc>
      </w:tr>
    </w:tbl>
    <w:p w14:paraId="5E34D7A9" w14:textId="77777777" w:rsidR="008C0428" w:rsidRDefault="008C0428" w:rsidP="0024206F">
      <w:pPr>
        <w:spacing w:after="0" w:line="240" w:lineRule="auto"/>
      </w:pPr>
    </w:p>
    <w:tbl>
      <w:tblPr>
        <w:tblW w:w="9424" w:type="dxa"/>
        <w:jc w:val="center"/>
        <w:tblBorders>
          <w:bottom w:val="single" w:sz="6" w:space="0" w:color="auto"/>
        </w:tblBorders>
        <w:tblLayout w:type="fixed"/>
        <w:tblCellMar>
          <w:left w:w="75" w:type="dxa"/>
          <w:right w:w="75" w:type="dxa"/>
        </w:tblCellMar>
        <w:tblLook w:val="0000" w:firstRow="0" w:lastRow="0" w:firstColumn="0" w:lastColumn="0" w:noHBand="0" w:noVBand="0"/>
      </w:tblPr>
      <w:tblGrid>
        <w:gridCol w:w="2152"/>
        <w:gridCol w:w="1212"/>
        <w:gridCol w:w="1212"/>
        <w:gridCol w:w="1212"/>
        <w:gridCol w:w="1212"/>
        <w:gridCol w:w="1212"/>
        <w:gridCol w:w="1212"/>
      </w:tblGrid>
      <w:tr w:rsidR="00BC7292" w:rsidRPr="00A7130E" w14:paraId="643073E4" w14:textId="77777777" w:rsidTr="000F276A">
        <w:trPr>
          <w:trHeight w:val="295"/>
          <w:jc w:val="center"/>
        </w:trPr>
        <w:tc>
          <w:tcPr>
            <w:tcW w:w="2152" w:type="dxa"/>
            <w:tcBorders>
              <w:top w:val="nil"/>
              <w:left w:val="nil"/>
              <w:bottom w:val="single" w:sz="6" w:space="0" w:color="auto"/>
              <w:right w:val="nil"/>
            </w:tcBorders>
          </w:tcPr>
          <w:p w14:paraId="4F0F1CD7" w14:textId="4AD2AEA6"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Adjusted </w:t>
            </w:r>
            <m:oMath>
              <m:sSup>
                <m:sSupPr>
                  <m:ctrlPr>
                    <w:rPr>
                      <w:rFonts w:ascii="Cambria Math" w:hAnsi="Cambria Math" w:cs="Times New Roman"/>
                      <w:i/>
                      <w:sz w:val="18"/>
                      <w:szCs w:val="18"/>
                    </w:rPr>
                  </m:ctrlPr>
                </m:sSupPr>
                <m:e>
                  <m:r>
                    <w:rPr>
                      <w:rFonts w:ascii="Cambria Math" w:hAnsi="Cambria Math" w:cs="Times New Roman"/>
                      <w:sz w:val="18"/>
                      <w:szCs w:val="18"/>
                    </w:rPr>
                    <m:t>R</m:t>
                  </m:r>
                </m:e>
                <m:sup>
                  <m:r>
                    <w:rPr>
                      <w:rFonts w:ascii="Cambria Math" w:hAnsi="Cambria Math" w:cs="Times New Roman"/>
                      <w:sz w:val="18"/>
                      <w:szCs w:val="18"/>
                    </w:rPr>
                    <m:t>2</m:t>
                  </m:r>
                </m:sup>
              </m:sSup>
            </m:oMath>
          </w:p>
          <w:p w14:paraId="11D247C3" w14:textId="77777777" w:rsidR="00BC7292" w:rsidRPr="00A7130E" w:rsidRDefault="00BC7292" w:rsidP="00BC7292">
            <w:pPr>
              <w:widowControl w:val="0"/>
              <w:autoSpaceDE w:val="0"/>
              <w:autoSpaceDN w:val="0"/>
              <w:adjustRightInd w:val="0"/>
              <w:spacing w:after="0" w:line="240" w:lineRule="auto"/>
              <w:rPr>
                <w:rFonts w:ascii="Times New Roman" w:eastAsiaTheme="minorEastAsia" w:hAnsi="Times New Roman" w:cs="Times New Roman"/>
                <w:sz w:val="18"/>
                <w:szCs w:val="18"/>
              </w:rPr>
            </w:pPr>
            <w:r w:rsidRPr="00A7130E">
              <w:rPr>
                <w:rFonts w:ascii="Times New Roman" w:hAnsi="Times New Roman" w:cs="Times New Roman"/>
                <w:sz w:val="18"/>
                <w:szCs w:val="18"/>
              </w:rPr>
              <w:t xml:space="preserve">  F-value</w:t>
            </w:r>
          </w:p>
          <w:p w14:paraId="4B17CDA5"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p-value</w:t>
            </w:r>
          </w:p>
          <w:p w14:paraId="6B39098E"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Region Effect</w:t>
            </w:r>
          </w:p>
          <w:p w14:paraId="06308BE5" w14:textId="77777777" w:rsidR="00BC7292" w:rsidRPr="00A7130E" w:rsidRDefault="00BC7292" w:rsidP="00BC7292">
            <w:pPr>
              <w:widowControl w:val="0"/>
              <w:autoSpaceDE w:val="0"/>
              <w:autoSpaceDN w:val="0"/>
              <w:adjustRightInd w:val="0"/>
              <w:spacing w:after="0" w:line="240" w:lineRule="auto"/>
              <w:rPr>
                <w:rFonts w:ascii="Times New Roman" w:hAnsi="Times New Roman" w:cs="Times New Roman"/>
                <w:sz w:val="18"/>
                <w:szCs w:val="18"/>
              </w:rPr>
            </w:pPr>
            <w:r w:rsidRPr="00A7130E">
              <w:rPr>
                <w:rFonts w:ascii="Times New Roman" w:hAnsi="Times New Roman" w:cs="Times New Roman"/>
                <w:sz w:val="18"/>
                <w:szCs w:val="18"/>
              </w:rPr>
              <w:t xml:space="preserve">  Industry Effect</w:t>
            </w:r>
          </w:p>
        </w:tc>
        <w:tc>
          <w:tcPr>
            <w:tcW w:w="1212" w:type="dxa"/>
            <w:tcBorders>
              <w:top w:val="nil"/>
              <w:left w:val="nil"/>
              <w:bottom w:val="single" w:sz="6" w:space="0" w:color="auto"/>
              <w:right w:val="nil"/>
            </w:tcBorders>
          </w:tcPr>
          <w:p w14:paraId="0F7374AF"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6.3%</w:t>
            </w:r>
          </w:p>
          <w:p w14:paraId="5B5022A8"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3***</w:t>
            </w:r>
          </w:p>
          <w:p w14:paraId="2C4E7301"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w:t>
            </w:r>
          </w:p>
        </w:tc>
        <w:tc>
          <w:tcPr>
            <w:tcW w:w="1212" w:type="dxa"/>
            <w:tcBorders>
              <w:top w:val="nil"/>
              <w:left w:val="nil"/>
              <w:bottom w:val="single" w:sz="6" w:space="0" w:color="auto"/>
              <w:right w:val="nil"/>
            </w:tcBorders>
          </w:tcPr>
          <w:p w14:paraId="589EBD63"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6.98%</w:t>
            </w:r>
          </w:p>
          <w:p w14:paraId="5CD45881"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2.95***</w:t>
            </w:r>
          </w:p>
          <w:p w14:paraId="59542906"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w:t>
            </w:r>
          </w:p>
          <w:p w14:paraId="0CB6B50F"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c>
          <w:tcPr>
            <w:tcW w:w="1212" w:type="dxa"/>
            <w:tcBorders>
              <w:top w:val="nil"/>
              <w:left w:val="nil"/>
              <w:bottom w:val="single" w:sz="6" w:space="0" w:color="auto"/>
              <w:right w:val="nil"/>
            </w:tcBorders>
          </w:tcPr>
          <w:p w14:paraId="584CA6D0"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8.9%</w:t>
            </w:r>
          </w:p>
          <w:p w14:paraId="0FA85368"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2.56***</w:t>
            </w:r>
          </w:p>
          <w:p w14:paraId="47946817"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0.000</w:t>
            </w:r>
          </w:p>
          <w:p w14:paraId="236A13BF"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p w14:paraId="3784549D"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c>
          <w:tcPr>
            <w:tcW w:w="1212" w:type="dxa"/>
            <w:tcBorders>
              <w:top w:val="nil"/>
              <w:left w:val="nil"/>
              <w:bottom w:val="single" w:sz="6" w:space="0" w:color="auto"/>
              <w:right w:val="nil"/>
            </w:tcBorders>
          </w:tcPr>
          <w:p w14:paraId="6AAED6C9"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4.17%</w:t>
            </w:r>
          </w:p>
          <w:p w14:paraId="5072CF5C"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2.29***</w:t>
            </w:r>
          </w:p>
          <w:p w14:paraId="5F89DD4D"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0.005</w:t>
            </w:r>
          </w:p>
        </w:tc>
        <w:tc>
          <w:tcPr>
            <w:tcW w:w="1212" w:type="dxa"/>
            <w:tcBorders>
              <w:top w:val="nil"/>
              <w:left w:val="nil"/>
              <w:bottom w:val="single" w:sz="6" w:space="0" w:color="auto"/>
              <w:right w:val="nil"/>
            </w:tcBorders>
          </w:tcPr>
          <w:p w14:paraId="46FBCDDB"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4.23%</w:t>
            </w:r>
          </w:p>
          <w:p w14:paraId="45152034"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2.14***</w:t>
            </w:r>
          </w:p>
          <w:p w14:paraId="568135F8"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0.006</w:t>
            </w:r>
          </w:p>
          <w:p w14:paraId="36004515"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c>
          <w:tcPr>
            <w:tcW w:w="1212" w:type="dxa"/>
            <w:tcBorders>
              <w:top w:val="nil"/>
              <w:left w:val="nil"/>
              <w:bottom w:val="single" w:sz="6" w:space="0" w:color="auto"/>
              <w:right w:val="nil"/>
            </w:tcBorders>
          </w:tcPr>
          <w:p w14:paraId="4367163D"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4.91%</w:t>
            </w:r>
          </w:p>
          <w:p w14:paraId="64CCF34E"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1.82***</w:t>
            </w:r>
          </w:p>
          <w:p w14:paraId="259EECAD"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0.008</w:t>
            </w:r>
          </w:p>
          <w:p w14:paraId="5CEA6D8E"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p w14:paraId="2879D015" w14:textId="77777777" w:rsidR="00BC7292" w:rsidRPr="00A7130E" w:rsidRDefault="00BC7292" w:rsidP="00BC7292">
            <w:pPr>
              <w:widowControl w:val="0"/>
              <w:autoSpaceDE w:val="0"/>
              <w:autoSpaceDN w:val="0"/>
              <w:adjustRightInd w:val="0"/>
              <w:spacing w:after="0" w:line="240" w:lineRule="auto"/>
              <w:jc w:val="center"/>
              <w:rPr>
                <w:rFonts w:ascii="Times New Roman" w:hAnsi="Times New Roman" w:cs="Times New Roman"/>
                <w:sz w:val="18"/>
                <w:szCs w:val="18"/>
              </w:rPr>
            </w:pPr>
            <w:r w:rsidRPr="00A7130E">
              <w:rPr>
                <w:rFonts w:ascii="Times New Roman" w:hAnsi="Times New Roman" w:cs="Times New Roman"/>
                <w:sz w:val="18"/>
                <w:szCs w:val="18"/>
              </w:rPr>
              <w:t>YES</w:t>
            </w:r>
          </w:p>
        </w:tc>
      </w:tr>
    </w:tbl>
    <w:p w14:paraId="478949A8" w14:textId="77777777" w:rsidR="000F276A" w:rsidRPr="00C20C42" w:rsidRDefault="000F276A" w:rsidP="000F276A">
      <w:pPr>
        <w:spacing w:after="0"/>
        <w:rPr>
          <w:rFonts w:ascii="Times New Roman" w:hAnsi="Times New Roman" w:cs="Times New Roman"/>
          <w:sz w:val="28"/>
        </w:rPr>
      </w:pPr>
      <w:r w:rsidRPr="00C20C42">
        <w:rPr>
          <w:rFonts w:ascii="Times New Roman" w:hAnsi="Times New Roman" w:cs="Times New Roman"/>
        </w:rPr>
        <w:t>*, **, and *** indicate a statistical significance level of 10%, 5%, and 1% (using two-tailed tests), respectively.</w:t>
      </w:r>
    </w:p>
    <w:p w14:paraId="3202534C" w14:textId="53458D7D" w:rsidR="008E661B" w:rsidRPr="00A7130E" w:rsidRDefault="008E661B" w:rsidP="008E661B">
      <w:pPr>
        <w:spacing w:after="0"/>
        <w:jc w:val="both"/>
        <w:rPr>
          <w:rFonts w:ascii="Times New Roman" w:hAnsi="Times New Roman" w:cs="Times New Roman"/>
        </w:rPr>
      </w:pPr>
    </w:p>
    <w:p w14:paraId="2CB17488" w14:textId="77777777" w:rsidR="00371C4B" w:rsidRPr="00A7130E" w:rsidRDefault="00371C4B" w:rsidP="00371C4B">
      <w:pPr>
        <w:spacing w:line="360" w:lineRule="auto"/>
        <w:jc w:val="both"/>
        <w:rPr>
          <w:rFonts w:ascii="Times New Roman" w:hAnsi="Times New Roman" w:cs="Times New Roman"/>
          <w:sz w:val="24"/>
          <w:szCs w:val="24"/>
        </w:rPr>
      </w:pPr>
    </w:p>
    <w:p w14:paraId="7753EDD2" w14:textId="14B93C62" w:rsidR="00454B41" w:rsidRPr="00A7130E" w:rsidRDefault="00F568C0" w:rsidP="00F568C0">
      <w:pPr>
        <w:spacing w:line="360" w:lineRule="auto"/>
        <w:jc w:val="both"/>
        <w:rPr>
          <w:rFonts w:ascii="Times New Roman" w:hAnsi="Times New Roman" w:cs="Times New Roman"/>
          <w:sz w:val="24"/>
          <w:szCs w:val="24"/>
        </w:rPr>
      </w:pPr>
      <w:r w:rsidRPr="00A7130E">
        <w:rPr>
          <w:rFonts w:ascii="Times New Roman" w:hAnsi="Times New Roman" w:cs="Times New Roman"/>
          <w:color w:val="FF0000"/>
          <w:sz w:val="24"/>
          <w:szCs w:val="24"/>
        </w:rPr>
        <w:t xml:space="preserve"> </w:t>
      </w:r>
    </w:p>
    <w:p w14:paraId="6CE68E6C" w14:textId="77777777" w:rsidR="000D1E4F" w:rsidRPr="00A7130E" w:rsidRDefault="000D1E4F" w:rsidP="00AF37A1">
      <w:pPr>
        <w:pStyle w:val="Default"/>
        <w:rPr>
          <w:rFonts w:ascii="Times New Roman" w:hAnsi="Times New Roman" w:cs="Times New Roman"/>
          <w:color w:val="auto"/>
          <w:szCs w:val="22"/>
        </w:rPr>
      </w:pPr>
    </w:p>
    <w:p w14:paraId="63F2A704" w14:textId="77777777" w:rsidR="000D1E4F" w:rsidRPr="00A7130E" w:rsidRDefault="000D1E4F" w:rsidP="00AF37A1">
      <w:pPr>
        <w:pStyle w:val="Default"/>
        <w:rPr>
          <w:rFonts w:ascii="Times New Roman" w:hAnsi="Times New Roman" w:cs="Times New Roman"/>
          <w:color w:val="auto"/>
          <w:szCs w:val="22"/>
        </w:rPr>
      </w:pPr>
    </w:p>
    <w:p w14:paraId="0BF72D60" w14:textId="77777777" w:rsidR="007F4837" w:rsidRPr="00A7130E" w:rsidRDefault="007F4837" w:rsidP="00AF37A1">
      <w:pPr>
        <w:pStyle w:val="Default"/>
        <w:rPr>
          <w:rFonts w:ascii="Times New Roman" w:hAnsi="Times New Roman" w:cs="Times New Roman"/>
          <w:color w:val="222222"/>
          <w:sz w:val="20"/>
          <w:szCs w:val="20"/>
          <w:shd w:val="clear" w:color="auto" w:fill="FFFFFF"/>
        </w:rPr>
      </w:pPr>
    </w:p>
    <w:p w14:paraId="6EDB3FE0" w14:textId="77777777" w:rsidR="007F4837" w:rsidRPr="00A7130E" w:rsidRDefault="007F4837" w:rsidP="007F4837">
      <w:pPr>
        <w:rPr>
          <w:rFonts w:ascii="Times New Roman" w:hAnsi="Times New Roman" w:cs="Times New Roman"/>
          <w:color w:val="222222"/>
          <w:sz w:val="20"/>
          <w:szCs w:val="20"/>
          <w:shd w:val="clear" w:color="auto" w:fill="FFFFFF"/>
        </w:rPr>
      </w:pPr>
    </w:p>
    <w:p w14:paraId="0D5C5420" w14:textId="77777777" w:rsidR="00F015DF" w:rsidRPr="00A7130E" w:rsidRDefault="00F015DF" w:rsidP="007F4837">
      <w:pPr>
        <w:rPr>
          <w:rFonts w:ascii="Times New Roman" w:hAnsi="Times New Roman" w:cs="Times New Roman"/>
          <w:color w:val="222222"/>
          <w:sz w:val="20"/>
          <w:szCs w:val="20"/>
          <w:shd w:val="clear" w:color="auto" w:fill="FFFFFF"/>
        </w:rPr>
      </w:pPr>
    </w:p>
    <w:p w14:paraId="2A1410AA" w14:textId="77777777" w:rsidR="00F015DF" w:rsidRPr="00A7130E" w:rsidRDefault="00F015DF" w:rsidP="007F4837">
      <w:pPr>
        <w:rPr>
          <w:rFonts w:ascii="Times New Roman" w:hAnsi="Times New Roman" w:cs="Times New Roman"/>
          <w:color w:val="222222"/>
          <w:sz w:val="20"/>
          <w:szCs w:val="20"/>
          <w:shd w:val="clear" w:color="auto" w:fill="FFFFFF"/>
        </w:rPr>
      </w:pPr>
    </w:p>
    <w:p w14:paraId="5ED016B5" w14:textId="77777777" w:rsidR="00F015DF" w:rsidRPr="00A7130E" w:rsidRDefault="00F015DF" w:rsidP="007F4837">
      <w:pPr>
        <w:rPr>
          <w:rFonts w:ascii="Times New Roman" w:hAnsi="Times New Roman" w:cs="Times New Roman"/>
          <w:color w:val="222222"/>
          <w:sz w:val="20"/>
          <w:szCs w:val="20"/>
          <w:shd w:val="clear" w:color="auto" w:fill="FFFFFF"/>
        </w:rPr>
      </w:pPr>
    </w:p>
    <w:p w14:paraId="70040C7F" w14:textId="77777777" w:rsidR="00F015DF" w:rsidRPr="00A7130E" w:rsidRDefault="00F015DF" w:rsidP="007F4837">
      <w:pPr>
        <w:rPr>
          <w:rFonts w:ascii="Times New Roman" w:hAnsi="Times New Roman" w:cs="Times New Roman"/>
          <w:color w:val="222222"/>
          <w:sz w:val="20"/>
          <w:szCs w:val="20"/>
          <w:shd w:val="clear" w:color="auto" w:fill="FFFFFF"/>
        </w:rPr>
      </w:pPr>
    </w:p>
    <w:p w14:paraId="66604FCF" w14:textId="77777777" w:rsidR="00F015DF" w:rsidRPr="00A7130E" w:rsidRDefault="00F015DF" w:rsidP="007F4837">
      <w:pPr>
        <w:rPr>
          <w:rFonts w:ascii="Times New Roman" w:hAnsi="Times New Roman" w:cs="Times New Roman"/>
          <w:color w:val="222222"/>
          <w:sz w:val="20"/>
          <w:szCs w:val="20"/>
          <w:shd w:val="clear" w:color="auto" w:fill="FFFFFF"/>
        </w:rPr>
      </w:pPr>
    </w:p>
    <w:p w14:paraId="17E292CA" w14:textId="77777777" w:rsidR="00F015DF" w:rsidRPr="00A7130E" w:rsidRDefault="00F015DF" w:rsidP="007F4837">
      <w:pPr>
        <w:rPr>
          <w:rFonts w:ascii="Times New Roman" w:hAnsi="Times New Roman" w:cs="Times New Roman"/>
          <w:color w:val="222222"/>
          <w:sz w:val="20"/>
          <w:szCs w:val="20"/>
          <w:shd w:val="clear" w:color="auto" w:fill="FFFFFF"/>
        </w:rPr>
      </w:pPr>
    </w:p>
    <w:p w14:paraId="6A261A02" w14:textId="77777777" w:rsidR="00F015DF" w:rsidRPr="00A7130E" w:rsidRDefault="00F015DF" w:rsidP="007F4837">
      <w:pPr>
        <w:rPr>
          <w:rFonts w:ascii="Times New Roman" w:hAnsi="Times New Roman" w:cs="Times New Roman"/>
          <w:color w:val="222222"/>
          <w:sz w:val="20"/>
          <w:szCs w:val="20"/>
          <w:shd w:val="clear" w:color="auto" w:fill="FFFFFF"/>
        </w:rPr>
      </w:pPr>
    </w:p>
    <w:p w14:paraId="3B9216D6" w14:textId="77777777" w:rsidR="00066DC6" w:rsidRPr="00C56B34" w:rsidRDefault="00066DC6" w:rsidP="00066DC6">
      <w:pPr>
        <w:autoSpaceDE w:val="0"/>
        <w:autoSpaceDN w:val="0"/>
        <w:adjustRightInd w:val="0"/>
        <w:spacing w:after="0" w:line="276" w:lineRule="auto"/>
        <w:ind w:left="142" w:hanging="142"/>
        <w:jc w:val="both"/>
        <w:rPr>
          <w:rFonts w:ascii="Wingdings" w:hAnsi="Wingdings" w:cs="Wingdings"/>
          <w:color w:val="222222"/>
          <w:sz w:val="20"/>
          <w:szCs w:val="20"/>
          <w:shd w:val="clear" w:color="auto" w:fill="FFFFFF"/>
        </w:rPr>
      </w:pPr>
    </w:p>
    <w:p w14:paraId="04072D3B" w14:textId="77777777" w:rsidR="00066DC6" w:rsidRPr="00C56B34" w:rsidRDefault="00066DC6" w:rsidP="005C546E">
      <w:pPr>
        <w:spacing w:line="360" w:lineRule="auto"/>
        <w:jc w:val="both"/>
        <w:rPr>
          <w:rFonts w:ascii="Wingdings" w:hAnsi="Wingdings" w:cs="Wingdings"/>
          <w:color w:val="222222"/>
          <w:sz w:val="20"/>
          <w:szCs w:val="20"/>
          <w:shd w:val="clear" w:color="auto" w:fill="FFFFFF"/>
        </w:rPr>
      </w:pPr>
    </w:p>
    <w:p w14:paraId="3F3C2A40" w14:textId="77777777" w:rsidR="00524D9A" w:rsidRPr="00C56B34" w:rsidRDefault="00524D9A" w:rsidP="005C546E">
      <w:pPr>
        <w:spacing w:line="360" w:lineRule="auto"/>
        <w:jc w:val="both"/>
        <w:rPr>
          <w:rFonts w:ascii="Wingdings" w:hAnsi="Wingdings" w:cs="Wingdings"/>
          <w:color w:val="222222"/>
          <w:sz w:val="20"/>
          <w:szCs w:val="20"/>
          <w:shd w:val="clear" w:color="auto" w:fill="FFFFFF"/>
        </w:rPr>
      </w:pPr>
    </w:p>
    <w:p w14:paraId="2867A488" w14:textId="4B386A29" w:rsidR="00E95514" w:rsidRPr="00C56B34" w:rsidRDefault="00E95514" w:rsidP="005C546E">
      <w:pPr>
        <w:spacing w:line="360" w:lineRule="auto"/>
        <w:jc w:val="both"/>
        <w:rPr>
          <w:rFonts w:ascii="Wingdings" w:hAnsi="Wingdings" w:cs="Wingdings"/>
          <w:color w:val="222222"/>
          <w:sz w:val="20"/>
          <w:szCs w:val="20"/>
          <w:shd w:val="clear" w:color="auto" w:fill="FFFFFF"/>
        </w:rPr>
      </w:pPr>
    </w:p>
    <w:sectPr w:rsidR="00E95514" w:rsidRPr="00C56B34" w:rsidSect="0094665C">
      <w:headerReference w:type="even" r:id="rId10"/>
      <w:headerReference w:type="default" r:id="rId11"/>
      <w:footerReference w:type="default" r:id="rId12"/>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812EF" w14:textId="77777777" w:rsidR="005820E4" w:rsidRDefault="005820E4" w:rsidP="003B308F">
      <w:pPr>
        <w:spacing w:after="0" w:line="240" w:lineRule="auto"/>
      </w:pPr>
      <w:r>
        <w:separator/>
      </w:r>
    </w:p>
  </w:endnote>
  <w:endnote w:type="continuationSeparator" w:id="0">
    <w:p w14:paraId="68F7B713" w14:textId="77777777" w:rsidR="005820E4" w:rsidRDefault="005820E4" w:rsidP="003B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304AF" w14:textId="116D34CE" w:rsidR="00FC55B9" w:rsidRPr="0094665C" w:rsidRDefault="00FC55B9" w:rsidP="0094665C">
    <w:pPr>
      <w:pStyle w:val="Footer"/>
      <w:tabs>
        <w:tab w:val="clear" w:pos="4680"/>
        <w:tab w:val="clear" w:pos="9360"/>
        <w:tab w:val="left" w:pos="4140"/>
      </w:tabs>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18C8C" w14:textId="77777777" w:rsidR="005820E4" w:rsidRDefault="005820E4" w:rsidP="003B308F">
      <w:pPr>
        <w:spacing w:after="0" w:line="240" w:lineRule="auto"/>
      </w:pPr>
      <w:r>
        <w:separator/>
      </w:r>
    </w:p>
  </w:footnote>
  <w:footnote w:type="continuationSeparator" w:id="0">
    <w:p w14:paraId="1DCCB5CF" w14:textId="77777777" w:rsidR="005820E4" w:rsidRDefault="005820E4" w:rsidP="003B3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color w:val="000000" w:themeColor="text1"/>
        <w:sz w:val="24"/>
        <w:szCs w:val="24"/>
      </w:rPr>
      <w:id w:val="932398126"/>
      <w:docPartObj>
        <w:docPartGallery w:val="Page Numbers (Top of Page)"/>
        <w:docPartUnique/>
      </w:docPartObj>
    </w:sdtPr>
    <w:sdtEndPr>
      <w:rPr>
        <w:noProof/>
      </w:rPr>
    </w:sdtEndPr>
    <w:sdtContent>
      <w:p w14:paraId="6AFD9AE5" w14:textId="03A102C7" w:rsidR="00FC55B9" w:rsidRPr="0094665C" w:rsidRDefault="00FC55B9">
        <w:pPr>
          <w:pStyle w:val="Header"/>
          <w:rPr>
            <w:rFonts w:ascii="Times New Roman" w:hAnsi="Times New Roman" w:cs="Times New Roman"/>
            <w:color w:val="000000" w:themeColor="text1"/>
            <w:sz w:val="24"/>
            <w:szCs w:val="24"/>
          </w:rPr>
        </w:pPr>
        <w:r w:rsidRPr="0094665C">
          <w:rPr>
            <w:rFonts w:ascii="Times New Roman" w:hAnsi="Times New Roman" w:cs="Times New Roman"/>
            <w:color w:val="000000" w:themeColor="text1"/>
            <w:sz w:val="24"/>
            <w:szCs w:val="24"/>
          </w:rPr>
          <w:fldChar w:fldCharType="begin"/>
        </w:r>
        <w:r w:rsidRPr="0094665C">
          <w:rPr>
            <w:rFonts w:ascii="Times New Roman" w:hAnsi="Times New Roman" w:cs="Times New Roman"/>
            <w:color w:val="000000" w:themeColor="text1"/>
            <w:sz w:val="24"/>
            <w:szCs w:val="24"/>
          </w:rPr>
          <w:instrText xml:space="preserve"> PAGE   \* MERGEFORMAT </w:instrText>
        </w:r>
        <w:r w:rsidRPr="0094665C">
          <w:rPr>
            <w:rFonts w:ascii="Times New Roman" w:hAnsi="Times New Roman" w:cs="Times New Roman"/>
            <w:color w:val="000000" w:themeColor="text1"/>
            <w:sz w:val="24"/>
            <w:szCs w:val="24"/>
          </w:rPr>
          <w:fldChar w:fldCharType="separate"/>
        </w:r>
        <w:r w:rsidR="009B3A9B">
          <w:rPr>
            <w:rFonts w:ascii="Times New Roman" w:hAnsi="Times New Roman" w:cs="Times New Roman"/>
            <w:noProof/>
            <w:color w:val="000000" w:themeColor="text1"/>
            <w:sz w:val="24"/>
            <w:szCs w:val="24"/>
          </w:rPr>
          <w:t>50</w:t>
        </w:r>
        <w:r w:rsidRPr="0094665C">
          <w:rPr>
            <w:rFonts w:ascii="Times New Roman" w:hAnsi="Times New Roman" w:cs="Times New Roman"/>
            <w:noProof/>
            <w:color w:val="000000" w:themeColor="text1"/>
            <w:sz w:val="24"/>
            <w:szCs w:val="24"/>
          </w:rPr>
          <w:fldChar w:fldCharType="end"/>
        </w:r>
        <w:r w:rsidRPr="0094665C">
          <w:rPr>
            <w:rFonts w:ascii="Times New Roman" w:hAnsi="Times New Roman" w:cs="Times New Roman"/>
            <w:noProof/>
            <w:color w:val="000000" w:themeColor="text1"/>
            <w:sz w:val="24"/>
            <w:szCs w:val="24"/>
          </w:rPr>
          <w:tab/>
          <w:t>Abdelaziz Elfaham 424442</w:t>
        </w:r>
      </w:p>
    </w:sdtContent>
  </w:sdt>
  <w:p w14:paraId="588711F0" w14:textId="77777777" w:rsidR="00FC55B9" w:rsidRDefault="00FC5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1440132438"/>
      <w:docPartObj>
        <w:docPartGallery w:val="Page Numbers (Top of Page)"/>
        <w:docPartUnique/>
      </w:docPartObj>
    </w:sdtPr>
    <w:sdtEndPr>
      <w:rPr>
        <w:noProof/>
      </w:rPr>
    </w:sdtEndPr>
    <w:sdtContent>
      <w:p w14:paraId="05CBE54E" w14:textId="3A25EA8D" w:rsidR="00FC55B9" w:rsidRPr="0033060B" w:rsidRDefault="00FC55B9" w:rsidP="0094665C">
        <w:pPr>
          <w:pStyle w:val="Footer"/>
          <w:tabs>
            <w:tab w:val="clear" w:pos="4680"/>
            <w:tab w:val="clear" w:pos="9360"/>
            <w:tab w:val="left" w:pos="4140"/>
          </w:tabs>
          <w:ind w:firstLine="2160"/>
          <w:rPr>
            <w:rFonts w:ascii="Times New Roman" w:hAnsi="Times New Roman" w:cs="Times New Roman"/>
            <w:sz w:val="24"/>
          </w:rPr>
        </w:pPr>
        <w:r>
          <w:rPr>
            <w:rFonts w:ascii="Times New Roman" w:hAnsi="Times New Roman" w:cs="Times New Roman"/>
            <w:sz w:val="24"/>
          </w:rPr>
          <w:t>Western European Target Firm Cross-border Effect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3060B">
          <w:rPr>
            <w:rFonts w:ascii="Times New Roman" w:hAnsi="Times New Roman" w:cs="Times New Roman"/>
            <w:sz w:val="24"/>
          </w:rPr>
          <w:t xml:space="preserve"> </w:t>
        </w:r>
        <w:r w:rsidRPr="0033060B">
          <w:rPr>
            <w:rFonts w:ascii="Times New Roman" w:hAnsi="Times New Roman" w:cs="Times New Roman"/>
            <w:sz w:val="24"/>
          </w:rPr>
          <w:fldChar w:fldCharType="begin"/>
        </w:r>
        <w:r w:rsidRPr="0033060B">
          <w:rPr>
            <w:rFonts w:ascii="Times New Roman" w:hAnsi="Times New Roman" w:cs="Times New Roman"/>
            <w:sz w:val="24"/>
          </w:rPr>
          <w:instrText xml:space="preserve"> PAGE   \* MERGEFORMAT </w:instrText>
        </w:r>
        <w:r w:rsidRPr="0033060B">
          <w:rPr>
            <w:rFonts w:ascii="Times New Roman" w:hAnsi="Times New Roman" w:cs="Times New Roman"/>
            <w:sz w:val="24"/>
          </w:rPr>
          <w:fldChar w:fldCharType="separate"/>
        </w:r>
        <w:r w:rsidR="009B3A9B">
          <w:rPr>
            <w:rFonts w:ascii="Times New Roman" w:hAnsi="Times New Roman" w:cs="Times New Roman"/>
            <w:noProof/>
            <w:sz w:val="24"/>
          </w:rPr>
          <w:t>51</w:t>
        </w:r>
        <w:r w:rsidRPr="0033060B">
          <w:rPr>
            <w:rFonts w:ascii="Times New Roman" w:hAnsi="Times New Roman" w:cs="Times New Roman"/>
            <w:noProof/>
            <w:sz w:val="24"/>
          </w:rPr>
          <w:fldChar w:fldCharType="end"/>
        </w:r>
      </w:p>
    </w:sdtContent>
  </w:sdt>
  <w:p w14:paraId="7C6F5894" w14:textId="64361842" w:rsidR="00FC55B9" w:rsidRDefault="00FC55B9" w:rsidP="0033060B">
    <w:pPr>
      <w:pStyle w:val="Header"/>
      <w:tabs>
        <w:tab w:val="left" w:pos="27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62D"/>
    <w:multiLevelType w:val="hybridMultilevel"/>
    <w:tmpl w:val="4BFEA422"/>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Segoe UI" w:hAnsi="Segoe UI"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Segoe UI" w:hAnsi="Segoe UI"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Segoe UI" w:hAnsi="Segoe UI" w:hint="default"/>
      </w:rPr>
    </w:lvl>
  </w:abstractNum>
  <w:abstractNum w:abstractNumId="1" w15:restartNumberingAfterBreak="0">
    <w:nsid w:val="00C107FC"/>
    <w:multiLevelType w:val="hybridMultilevel"/>
    <w:tmpl w:val="64D0FF8E"/>
    <w:lvl w:ilvl="0" w:tplc="8CEA76D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1567A70"/>
    <w:multiLevelType w:val="hybridMultilevel"/>
    <w:tmpl w:val="F05E05C6"/>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Segoe UI" w:hAnsi="Segoe UI"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Segoe UI" w:hAnsi="Segoe UI"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Segoe UI" w:hAnsi="Segoe UI" w:hint="default"/>
      </w:rPr>
    </w:lvl>
  </w:abstractNum>
  <w:abstractNum w:abstractNumId="3" w15:restartNumberingAfterBreak="0">
    <w:nsid w:val="0CF13004"/>
    <w:multiLevelType w:val="hybridMultilevel"/>
    <w:tmpl w:val="682005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51C4C"/>
    <w:multiLevelType w:val="hybridMultilevel"/>
    <w:tmpl w:val="8932D602"/>
    <w:lvl w:ilvl="0" w:tplc="04E4DF20">
      <w:start w:val="1"/>
      <w:numFmt w:val="decimal"/>
      <w:lvlText w:val="(%1)"/>
      <w:lvlJc w:val="left"/>
      <w:pPr>
        <w:ind w:left="1080" w:hanging="360"/>
      </w:pPr>
      <w:rPr>
        <w:rFonts w:hint="default"/>
        <w:i/>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1840981"/>
    <w:multiLevelType w:val="multilevel"/>
    <w:tmpl w:val="2824333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8201447"/>
    <w:multiLevelType w:val="hybridMultilevel"/>
    <w:tmpl w:val="702E0A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9533B"/>
    <w:multiLevelType w:val="hybridMultilevel"/>
    <w:tmpl w:val="41BA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E72A8"/>
    <w:multiLevelType w:val="hybridMultilevel"/>
    <w:tmpl w:val="7C72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32E13"/>
    <w:multiLevelType w:val="hybridMultilevel"/>
    <w:tmpl w:val="8498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60C11"/>
    <w:multiLevelType w:val="hybridMultilevel"/>
    <w:tmpl w:val="E3086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9"/>
  </w:num>
  <w:num w:numId="6">
    <w:abstractNumId w:val="8"/>
  </w:num>
  <w:num w:numId="7">
    <w:abstractNumId w:val="10"/>
  </w:num>
  <w:num w:numId="8">
    <w:abstractNumId w:val="5"/>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46E"/>
    <w:rsid w:val="0000097C"/>
    <w:rsid w:val="000024A9"/>
    <w:rsid w:val="0000272D"/>
    <w:rsid w:val="00003CB8"/>
    <w:rsid w:val="00005B62"/>
    <w:rsid w:val="00010ADC"/>
    <w:rsid w:val="00016FEE"/>
    <w:rsid w:val="00020E11"/>
    <w:rsid w:val="000311CC"/>
    <w:rsid w:val="00036DC2"/>
    <w:rsid w:val="00040563"/>
    <w:rsid w:val="000441FE"/>
    <w:rsid w:val="000554E6"/>
    <w:rsid w:val="00056A4E"/>
    <w:rsid w:val="00061B17"/>
    <w:rsid w:val="00066DC6"/>
    <w:rsid w:val="0006778F"/>
    <w:rsid w:val="00071812"/>
    <w:rsid w:val="000843FB"/>
    <w:rsid w:val="00090E31"/>
    <w:rsid w:val="0009484A"/>
    <w:rsid w:val="000A2DC4"/>
    <w:rsid w:val="000A688F"/>
    <w:rsid w:val="000B5266"/>
    <w:rsid w:val="000C09E0"/>
    <w:rsid w:val="000C1D9C"/>
    <w:rsid w:val="000D1E4F"/>
    <w:rsid w:val="000D5F05"/>
    <w:rsid w:val="000E3C8A"/>
    <w:rsid w:val="000E5C3D"/>
    <w:rsid w:val="000F002D"/>
    <w:rsid w:val="000F146C"/>
    <w:rsid w:val="000F276A"/>
    <w:rsid w:val="000F477D"/>
    <w:rsid w:val="000F5BCD"/>
    <w:rsid w:val="000F795C"/>
    <w:rsid w:val="00112F86"/>
    <w:rsid w:val="00114C27"/>
    <w:rsid w:val="0012324A"/>
    <w:rsid w:val="001303CD"/>
    <w:rsid w:val="0013450D"/>
    <w:rsid w:val="001351D8"/>
    <w:rsid w:val="0013678E"/>
    <w:rsid w:val="00137881"/>
    <w:rsid w:val="0014063D"/>
    <w:rsid w:val="00145547"/>
    <w:rsid w:val="00147ACF"/>
    <w:rsid w:val="001572ED"/>
    <w:rsid w:val="00160F72"/>
    <w:rsid w:val="001614FA"/>
    <w:rsid w:val="001625FF"/>
    <w:rsid w:val="001635EB"/>
    <w:rsid w:val="00173656"/>
    <w:rsid w:val="00173DBA"/>
    <w:rsid w:val="00174446"/>
    <w:rsid w:val="00181887"/>
    <w:rsid w:val="00183413"/>
    <w:rsid w:val="00190E70"/>
    <w:rsid w:val="00192E61"/>
    <w:rsid w:val="00197070"/>
    <w:rsid w:val="001A1152"/>
    <w:rsid w:val="001A197C"/>
    <w:rsid w:val="001A3224"/>
    <w:rsid w:val="001A3EFB"/>
    <w:rsid w:val="001B3387"/>
    <w:rsid w:val="001B39D5"/>
    <w:rsid w:val="001B46C9"/>
    <w:rsid w:val="001B74C0"/>
    <w:rsid w:val="001B7FF6"/>
    <w:rsid w:val="001C1B62"/>
    <w:rsid w:val="001C3191"/>
    <w:rsid w:val="001D2318"/>
    <w:rsid w:val="001D4C76"/>
    <w:rsid w:val="001D4D96"/>
    <w:rsid w:val="001D6D23"/>
    <w:rsid w:val="001E3B41"/>
    <w:rsid w:val="001F7380"/>
    <w:rsid w:val="0020432F"/>
    <w:rsid w:val="00211B8E"/>
    <w:rsid w:val="00211FD5"/>
    <w:rsid w:val="00214043"/>
    <w:rsid w:val="002165FC"/>
    <w:rsid w:val="002261AF"/>
    <w:rsid w:val="00231226"/>
    <w:rsid w:val="0023613A"/>
    <w:rsid w:val="002368C3"/>
    <w:rsid w:val="0024206F"/>
    <w:rsid w:val="00253002"/>
    <w:rsid w:val="00256345"/>
    <w:rsid w:val="00257EAA"/>
    <w:rsid w:val="00260CF5"/>
    <w:rsid w:val="00270088"/>
    <w:rsid w:val="00271DB2"/>
    <w:rsid w:val="00272771"/>
    <w:rsid w:val="0028461C"/>
    <w:rsid w:val="002849A5"/>
    <w:rsid w:val="002857CC"/>
    <w:rsid w:val="002859B1"/>
    <w:rsid w:val="002905B4"/>
    <w:rsid w:val="00296A60"/>
    <w:rsid w:val="002A71EB"/>
    <w:rsid w:val="002B1A9A"/>
    <w:rsid w:val="002B417A"/>
    <w:rsid w:val="002C6E20"/>
    <w:rsid w:val="002D11CB"/>
    <w:rsid w:val="002D337E"/>
    <w:rsid w:val="002D64BF"/>
    <w:rsid w:val="002E001D"/>
    <w:rsid w:val="002E08AB"/>
    <w:rsid w:val="002E127A"/>
    <w:rsid w:val="002E79EC"/>
    <w:rsid w:val="002F0160"/>
    <w:rsid w:val="002F36FB"/>
    <w:rsid w:val="002F6000"/>
    <w:rsid w:val="0030021A"/>
    <w:rsid w:val="0030036D"/>
    <w:rsid w:val="00302A34"/>
    <w:rsid w:val="0031419E"/>
    <w:rsid w:val="00315659"/>
    <w:rsid w:val="0031610F"/>
    <w:rsid w:val="0032220B"/>
    <w:rsid w:val="0032412A"/>
    <w:rsid w:val="00324A1F"/>
    <w:rsid w:val="00327CDC"/>
    <w:rsid w:val="0033060B"/>
    <w:rsid w:val="00332E13"/>
    <w:rsid w:val="003460C5"/>
    <w:rsid w:val="003511FF"/>
    <w:rsid w:val="00355C76"/>
    <w:rsid w:val="00362242"/>
    <w:rsid w:val="00363C21"/>
    <w:rsid w:val="00364C30"/>
    <w:rsid w:val="003652F1"/>
    <w:rsid w:val="00366E47"/>
    <w:rsid w:val="003718F9"/>
    <w:rsid w:val="00371C4B"/>
    <w:rsid w:val="00376441"/>
    <w:rsid w:val="00391A94"/>
    <w:rsid w:val="00394AB8"/>
    <w:rsid w:val="00394B99"/>
    <w:rsid w:val="003A074D"/>
    <w:rsid w:val="003A0AB1"/>
    <w:rsid w:val="003A0C16"/>
    <w:rsid w:val="003A1311"/>
    <w:rsid w:val="003A7F7D"/>
    <w:rsid w:val="003B308F"/>
    <w:rsid w:val="003C60FD"/>
    <w:rsid w:val="003C6EE4"/>
    <w:rsid w:val="003D03FC"/>
    <w:rsid w:val="003D470C"/>
    <w:rsid w:val="003D749C"/>
    <w:rsid w:val="003E15C1"/>
    <w:rsid w:val="003E2067"/>
    <w:rsid w:val="003E4000"/>
    <w:rsid w:val="003F0879"/>
    <w:rsid w:val="003F3DBE"/>
    <w:rsid w:val="003F5D1C"/>
    <w:rsid w:val="003F7A76"/>
    <w:rsid w:val="00404700"/>
    <w:rsid w:val="004065CA"/>
    <w:rsid w:val="00412315"/>
    <w:rsid w:val="0041756C"/>
    <w:rsid w:val="004221E0"/>
    <w:rsid w:val="00422382"/>
    <w:rsid w:val="00423DEC"/>
    <w:rsid w:val="00425E14"/>
    <w:rsid w:val="0043141A"/>
    <w:rsid w:val="00432EE0"/>
    <w:rsid w:val="00435484"/>
    <w:rsid w:val="004405C0"/>
    <w:rsid w:val="00441A3E"/>
    <w:rsid w:val="004422F5"/>
    <w:rsid w:val="00453056"/>
    <w:rsid w:val="00453681"/>
    <w:rsid w:val="00454B41"/>
    <w:rsid w:val="004570D3"/>
    <w:rsid w:val="0046317C"/>
    <w:rsid w:val="0046782D"/>
    <w:rsid w:val="0047251F"/>
    <w:rsid w:val="00472D68"/>
    <w:rsid w:val="00476787"/>
    <w:rsid w:val="00480EAF"/>
    <w:rsid w:val="0048254B"/>
    <w:rsid w:val="00483730"/>
    <w:rsid w:val="00486BAE"/>
    <w:rsid w:val="00493F1A"/>
    <w:rsid w:val="004A0817"/>
    <w:rsid w:val="004A1223"/>
    <w:rsid w:val="004A1851"/>
    <w:rsid w:val="004A1B38"/>
    <w:rsid w:val="004D1E6A"/>
    <w:rsid w:val="004D4C60"/>
    <w:rsid w:val="004D73B4"/>
    <w:rsid w:val="004E62BE"/>
    <w:rsid w:val="004F0062"/>
    <w:rsid w:val="004F0A10"/>
    <w:rsid w:val="004F1F6E"/>
    <w:rsid w:val="004F5957"/>
    <w:rsid w:val="004F5ADC"/>
    <w:rsid w:val="0050035A"/>
    <w:rsid w:val="00507E6E"/>
    <w:rsid w:val="00510ADD"/>
    <w:rsid w:val="00515821"/>
    <w:rsid w:val="005200F7"/>
    <w:rsid w:val="00520FAE"/>
    <w:rsid w:val="00524D9A"/>
    <w:rsid w:val="00531E97"/>
    <w:rsid w:val="0053751A"/>
    <w:rsid w:val="00537F49"/>
    <w:rsid w:val="00544BA2"/>
    <w:rsid w:val="00554C04"/>
    <w:rsid w:val="00556FE2"/>
    <w:rsid w:val="0056109C"/>
    <w:rsid w:val="005614B5"/>
    <w:rsid w:val="005631B1"/>
    <w:rsid w:val="00564D94"/>
    <w:rsid w:val="0057131F"/>
    <w:rsid w:val="00580B53"/>
    <w:rsid w:val="005820E4"/>
    <w:rsid w:val="005850DB"/>
    <w:rsid w:val="0058652C"/>
    <w:rsid w:val="00592886"/>
    <w:rsid w:val="0059307C"/>
    <w:rsid w:val="00595BE7"/>
    <w:rsid w:val="005A53A6"/>
    <w:rsid w:val="005B1E9A"/>
    <w:rsid w:val="005B68CF"/>
    <w:rsid w:val="005C4B44"/>
    <w:rsid w:val="005C4E9F"/>
    <w:rsid w:val="005C546E"/>
    <w:rsid w:val="005C68C4"/>
    <w:rsid w:val="005D1BD8"/>
    <w:rsid w:val="005D4A60"/>
    <w:rsid w:val="005D58F4"/>
    <w:rsid w:val="005D6D79"/>
    <w:rsid w:val="005E01A2"/>
    <w:rsid w:val="005E664D"/>
    <w:rsid w:val="005E698F"/>
    <w:rsid w:val="005F0720"/>
    <w:rsid w:val="005F12FD"/>
    <w:rsid w:val="005F2BB6"/>
    <w:rsid w:val="00600EFB"/>
    <w:rsid w:val="00611454"/>
    <w:rsid w:val="00614721"/>
    <w:rsid w:val="00616CD3"/>
    <w:rsid w:val="006214C4"/>
    <w:rsid w:val="00621D62"/>
    <w:rsid w:val="00622499"/>
    <w:rsid w:val="006236C0"/>
    <w:rsid w:val="00625761"/>
    <w:rsid w:val="00627D3B"/>
    <w:rsid w:val="00636964"/>
    <w:rsid w:val="0064429A"/>
    <w:rsid w:val="00644815"/>
    <w:rsid w:val="00651D1A"/>
    <w:rsid w:val="00652B10"/>
    <w:rsid w:val="00657C5C"/>
    <w:rsid w:val="00661D6B"/>
    <w:rsid w:val="006635DF"/>
    <w:rsid w:val="00670F33"/>
    <w:rsid w:val="006712E6"/>
    <w:rsid w:val="00672705"/>
    <w:rsid w:val="006755C5"/>
    <w:rsid w:val="0067632A"/>
    <w:rsid w:val="00677BCC"/>
    <w:rsid w:val="00682487"/>
    <w:rsid w:val="00690D38"/>
    <w:rsid w:val="006930FC"/>
    <w:rsid w:val="00696C1A"/>
    <w:rsid w:val="00697061"/>
    <w:rsid w:val="006A55FA"/>
    <w:rsid w:val="006A7510"/>
    <w:rsid w:val="006B1466"/>
    <w:rsid w:val="006C0D68"/>
    <w:rsid w:val="006C193B"/>
    <w:rsid w:val="006C24C0"/>
    <w:rsid w:val="006D3579"/>
    <w:rsid w:val="006E2887"/>
    <w:rsid w:val="006E6761"/>
    <w:rsid w:val="006F1C31"/>
    <w:rsid w:val="00703A2B"/>
    <w:rsid w:val="00712BC1"/>
    <w:rsid w:val="007162A6"/>
    <w:rsid w:val="00720874"/>
    <w:rsid w:val="00721DDF"/>
    <w:rsid w:val="00724950"/>
    <w:rsid w:val="007257D1"/>
    <w:rsid w:val="00726174"/>
    <w:rsid w:val="00726A89"/>
    <w:rsid w:val="00726C8D"/>
    <w:rsid w:val="00731711"/>
    <w:rsid w:val="00750D50"/>
    <w:rsid w:val="00753E4B"/>
    <w:rsid w:val="00754F09"/>
    <w:rsid w:val="007554C6"/>
    <w:rsid w:val="00757F0C"/>
    <w:rsid w:val="00765505"/>
    <w:rsid w:val="00775EA8"/>
    <w:rsid w:val="007839E3"/>
    <w:rsid w:val="007927AF"/>
    <w:rsid w:val="00795917"/>
    <w:rsid w:val="007A1E76"/>
    <w:rsid w:val="007A465A"/>
    <w:rsid w:val="007B1F7E"/>
    <w:rsid w:val="007B415F"/>
    <w:rsid w:val="007B510C"/>
    <w:rsid w:val="007B6E9F"/>
    <w:rsid w:val="007C4073"/>
    <w:rsid w:val="007C79C0"/>
    <w:rsid w:val="007D443B"/>
    <w:rsid w:val="007E2FE1"/>
    <w:rsid w:val="007E6034"/>
    <w:rsid w:val="007E73D0"/>
    <w:rsid w:val="007F2FC0"/>
    <w:rsid w:val="007F4837"/>
    <w:rsid w:val="007F5CCA"/>
    <w:rsid w:val="008031A4"/>
    <w:rsid w:val="008077D9"/>
    <w:rsid w:val="00820DA7"/>
    <w:rsid w:val="00830896"/>
    <w:rsid w:val="00832234"/>
    <w:rsid w:val="0083399E"/>
    <w:rsid w:val="00837620"/>
    <w:rsid w:val="008377B0"/>
    <w:rsid w:val="0084045B"/>
    <w:rsid w:val="00842687"/>
    <w:rsid w:val="008464C9"/>
    <w:rsid w:val="008517CF"/>
    <w:rsid w:val="00860B08"/>
    <w:rsid w:val="00865177"/>
    <w:rsid w:val="00874702"/>
    <w:rsid w:val="0088077B"/>
    <w:rsid w:val="0088223C"/>
    <w:rsid w:val="00883FBE"/>
    <w:rsid w:val="00885787"/>
    <w:rsid w:val="008A43E5"/>
    <w:rsid w:val="008A4C76"/>
    <w:rsid w:val="008A682B"/>
    <w:rsid w:val="008A7623"/>
    <w:rsid w:val="008B3187"/>
    <w:rsid w:val="008C0428"/>
    <w:rsid w:val="008C0CA9"/>
    <w:rsid w:val="008C0FF3"/>
    <w:rsid w:val="008C1017"/>
    <w:rsid w:val="008C1090"/>
    <w:rsid w:val="008C56D7"/>
    <w:rsid w:val="008D34BE"/>
    <w:rsid w:val="008D60E4"/>
    <w:rsid w:val="008E14CD"/>
    <w:rsid w:val="008E30C9"/>
    <w:rsid w:val="008E661B"/>
    <w:rsid w:val="008F5ACE"/>
    <w:rsid w:val="009007EC"/>
    <w:rsid w:val="00903BC3"/>
    <w:rsid w:val="00907131"/>
    <w:rsid w:val="00912531"/>
    <w:rsid w:val="009240D8"/>
    <w:rsid w:val="00924A07"/>
    <w:rsid w:val="009314F8"/>
    <w:rsid w:val="00931C12"/>
    <w:rsid w:val="009324B8"/>
    <w:rsid w:val="0093431C"/>
    <w:rsid w:val="009352DA"/>
    <w:rsid w:val="0094665C"/>
    <w:rsid w:val="0095324F"/>
    <w:rsid w:val="0095564E"/>
    <w:rsid w:val="00957F28"/>
    <w:rsid w:val="00960246"/>
    <w:rsid w:val="00963327"/>
    <w:rsid w:val="009640E7"/>
    <w:rsid w:val="00966675"/>
    <w:rsid w:val="00970F26"/>
    <w:rsid w:val="0098063D"/>
    <w:rsid w:val="0098088B"/>
    <w:rsid w:val="0098214F"/>
    <w:rsid w:val="009840AA"/>
    <w:rsid w:val="00987742"/>
    <w:rsid w:val="0099132C"/>
    <w:rsid w:val="009A2266"/>
    <w:rsid w:val="009A3234"/>
    <w:rsid w:val="009A38B8"/>
    <w:rsid w:val="009A570F"/>
    <w:rsid w:val="009B198E"/>
    <w:rsid w:val="009B1FF6"/>
    <w:rsid w:val="009B3A9B"/>
    <w:rsid w:val="009B48CB"/>
    <w:rsid w:val="009C2124"/>
    <w:rsid w:val="009C2ADF"/>
    <w:rsid w:val="009C5074"/>
    <w:rsid w:val="009D1516"/>
    <w:rsid w:val="009D1534"/>
    <w:rsid w:val="009E4FEB"/>
    <w:rsid w:val="009E4FED"/>
    <w:rsid w:val="009E56B2"/>
    <w:rsid w:val="009E5E4E"/>
    <w:rsid w:val="009F0891"/>
    <w:rsid w:val="009F59B7"/>
    <w:rsid w:val="00A0475A"/>
    <w:rsid w:val="00A13951"/>
    <w:rsid w:val="00A16680"/>
    <w:rsid w:val="00A24AC5"/>
    <w:rsid w:val="00A26F01"/>
    <w:rsid w:val="00A3202B"/>
    <w:rsid w:val="00A3457F"/>
    <w:rsid w:val="00A34C15"/>
    <w:rsid w:val="00A35986"/>
    <w:rsid w:val="00A35FD1"/>
    <w:rsid w:val="00A36A47"/>
    <w:rsid w:val="00A37514"/>
    <w:rsid w:val="00A427D3"/>
    <w:rsid w:val="00A45C3C"/>
    <w:rsid w:val="00A475A4"/>
    <w:rsid w:val="00A55327"/>
    <w:rsid w:val="00A57399"/>
    <w:rsid w:val="00A7130E"/>
    <w:rsid w:val="00A715B5"/>
    <w:rsid w:val="00A734EC"/>
    <w:rsid w:val="00A760EB"/>
    <w:rsid w:val="00A82C73"/>
    <w:rsid w:val="00A82E9D"/>
    <w:rsid w:val="00A909C3"/>
    <w:rsid w:val="00AA7B5A"/>
    <w:rsid w:val="00AB143B"/>
    <w:rsid w:val="00AC50A8"/>
    <w:rsid w:val="00AC6D4A"/>
    <w:rsid w:val="00AD49C8"/>
    <w:rsid w:val="00AD5A1C"/>
    <w:rsid w:val="00AE1426"/>
    <w:rsid w:val="00AE17DF"/>
    <w:rsid w:val="00AE2ABD"/>
    <w:rsid w:val="00AE5D31"/>
    <w:rsid w:val="00AF37A1"/>
    <w:rsid w:val="00AF4687"/>
    <w:rsid w:val="00B0307C"/>
    <w:rsid w:val="00B04691"/>
    <w:rsid w:val="00B069FB"/>
    <w:rsid w:val="00B076C6"/>
    <w:rsid w:val="00B10BDD"/>
    <w:rsid w:val="00B147F0"/>
    <w:rsid w:val="00B20B3D"/>
    <w:rsid w:val="00B323BB"/>
    <w:rsid w:val="00B3313C"/>
    <w:rsid w:val="00B35879"/>
    <w:rsid w:val="00B40529"/>
    <w:rsid w:val="00B41D48"/>
    <w:rsid w:val="00B5338F"/>
    <w:rsid w:val="00B6017C"/>
    <w:rsid w:val="00B736A5"/>
    <w:rsid w:val="00B739F2"/>
    <w:rsid w:val="00B771C2"/>
    <w:rsid w:val="00B81310"/>
    <w:rsid w:val="00B85E24"/>
    <w:rsid w:val="00B97845"/>
    <w:rsid w:val="00BA4895"/>
    <w:rsid w:val="00BB3081"/>
    <w:rsid w:val="00BB5D58"/>
    <w:rsid w:val="00BB611C"/>
    <w:rsid w:val="00BC1CF8"/>
    <w:rsid w:val="00BC7292"/>
    <w:rsid w:val="00BD3349"/>
    <w:rsid w:val="00BD598F"/>
    <w:rsid w:val="00BE45F6"/>
    <w:rsid w:val="00BF1360"/>
    <w:rsid w:val="00BF2217"/>
    <w:rsid w:val="00BF2649"/>
    <w:rsid w:val="00BF619B"/>
    <w:rsid w:val="00BF6216"/>
    <w:rsid w:val="00C03199"/>
    <w:rsid w:val="00C06491"/>
    <w:rsid w:val="00C119BE"/>
    <w:rsid w:val="00C20C42"/>
    <w:rsid w:val="00C2121E"/>
    <w:rsid w:val="00C24177"/>
    <w:rsid w:val="00C345B8"/>
    <w:rsid w:val="00C36247"/>
    <w:rsid w:val="00C37209"/>
    <w:rsid w:val="00C4006B"/>
    <w:rsid w:val="00C43FA0"/>
    <w:rsid w:val="00C46074"/>
    <w:rsid w:val="00C56B34"/>
    <w:rsid w:val="00C57007"/>
    <w:rsid w:val="00C6025D"/>
    <w:rsid w:val="00C66C7D"/>
    <w:rsid w:val="00C71392"/>
    <w:rsid w:val="00C73B74"/>
    <w:rsid w:val="00C742B2"/>
    <w:rsid w:val="00C801B4"/>
    <w:rsid w:val="00C813F0"/>
    <w:rsid w:val="00C83083"/>
    <w:rsid w:val="00C83B43"/>
    <w:rsid w:val="00C86402"/>
    <w:rsid w:val="00C91251"/>
    <w:rsid w:val="00C935A6"/>
    <w:rsid w:val="00CA1CB0"/>
    <w:rsid w:val="00CA5AD7"/>
    <w:rsid w:val="00CA6CC9"/>
    <w:rsid w:val="00CB2009"/>
    <w:rsid w:val="00CB307D"/>
    <w:rsid w:val="00CC2616"/>
    <w:rsid w:val="00CC2C33"/>
    <w:rsid w:val="00CC6B17"/>
    <w:rsid w:val="00CD59B8"/>
    <w:rsid w:val="00CD7483"/>
    <w:rsid w:val="00D021DD"/>
    <w:rsid w:val="00D05907"/>
    <w:rsid w:val="00D10B55"/>
    <w:rsid w:val="00D11138"/>
    <w:rsid w:val="00D14D96"/>
    <w:rsid w:val="00D15346"/>
    <w:rsid w:val="00D166DB"/>
    <w:rsid w:val="00D22837"/>
    <w:rsid w:val="00D34A27"/>
    <w:rsid w:val="00D371CC"/>
    <w:rsid w:val="00D41884"/>
    <w:rsid w:val="00D4707B"/>
    <w:rsid w:val="00D50DA3"/>
    <w:rsid w:val="00D50FEF"/>
    <w:rsid w:val="00D5111B"/>
    <w:rsid w:val="00D559FE"/>
    <w:rsid w:val="00D647AB"/>
    <w:rsid w:val="00D6620B"/>
    <w:rsid w:val="00D72B27"/>
    <w:rsid w:val="00D73E40"/>
    <w:rsid w:val="00D778F4"/>
    <w:rsid w:val="00D81DD0"/>
    <w:rsid w:val="00D844DC"/>
    <w:rsid w:val="00D87103"/>
    <w:rsid w:val="00D94B3B"/>
    <w:rsid w:val="00D94FFD"/>
    <w:rsid w:val="00D97EDB"/>
    <w:rsid w:val="00DA61E8"/>
    <w:rsid w:val="00DB096C"/>
    <w:rsid w:val="00DB0A33"/>
    <w:rsid w:val="00DB3530"/>
    <w:rsid w:val="00DB4974"/>
    <w:rsid w:val="00DB719A"/>
    <w:rsid w:val="00DB7ABB"/>
    <w:rsid w:val="00DB7D07"/>
    <w:rsid w:val="00DC1501"/>
    <w:rsid w:val="00DC4377"/>
    <w:rsid w:val="00DC5FC3"/>
    <w:rsid w:val="00DC6A66"/>
    <w:rsid w:val="00DD1014"/>
    <w:rsid w:val="00DD518E"/>
    <w:rsid w:val="00DE0C68"/>
    <w:rsid w:val="00DE1035"/>
    <w:rsid w:val="00DE1E08"/>
    <w:rsid w:val="00DE48CF"/>
    <w:rsid w:val="00DE6A53"/>
    <w:rsid w:val="00DF02EF"/>
    <w:rsid w:val="00DF0CE6"/>
    <w:rsid w:val="00DF6DB2"/>
    <w:rsid w:val="00E10B3F"/>
    <w:rsid w:val="00E1191E"/>
    <w:rsid w:val="00E12C3D"/>
    <w:rsid w:val="00E143F8"/>
    <w:rsid w:val="00E20AB2"/>
    <w:rsid w:val="00E217FE"/>
    <w:rsid w:val="00E232BC"/>
    <w:rsid w:val="00E232F0"/>
    <w:rsid w:val="00E2726C"/>
    <w:rsid w:val="00E27E84"/>
    <w:rsid w:val="00E42A1D"/>
    <w:rsid w:val="00E52357"/>
    <w:rsid w:val="00E67FFB"/>
    <w:rsid w:val="00E72EAE"/>
    <w:rsid w:val="00E75779"/>
    <w:rsid w:val="00E76B9E"/>
    <w:rsid w:val="00E774DD"/>
    <w:rsid w:val="00E814C7"/>
    <w:rsid w:val="00E87E99"/>
    <w:rsid w:val="00E95514"/>
    <w:rsid w:val="00EA0780"/>
    <w:rsid w:val="00EA14D5"/>
    <w:rsid w:val="00EA17B2"/>
    <w:rsid w:val="00EB05D5"/>
    <w:rsid w:val="00ED136C"/>
    <w:rsid w:val="00EE16BC"/>
    <w:rsid w:val="00EE3DE0"/>
    <w:rsid w:val="00EE7DCF"/>
    <w:rsid w:val="00EF4C31"/>
    <w:rsid w:val="00F015DF"/>
    <w:rsid w:val="00F04129"/>
    <w:rsid w:val="00F05016"/>
    <w:rsid w:val="00F05FA6"/>
    <w:rsid w:val="00F1552D"/>
    <w:rsid w:val="00F2202E"/>
    <w:rsid w:val="00F2441B"/>
    <w:rsid w:val="00F311A8"/>
    <w:rsid w:val="00F35942"/>
    <w:rsid w:val="00F365C7"/>
    <w:rsid w:val="00F43081"/>
    <w:rsid w:val="00F47CF2"/>
    <w:rsid w:val="00F568C0"/>
    <w:rsid w:val="00F629AC"/>
    <w:rsid w:val="00F64826"/>
    <w:rsid w:val="00F65F7E"/>
    <w:rsid w:val="00F7034B"/>
    <w:rsid w:val="00F717A7"/>
    <w:rsid w:val="00F73FC9"/>
    <w:rsid w:val="00F7619E"/>
    <w:rsid w:val="00F76FAC"/>
    <w:rsid w:val="00F82C4E"/>
    <w:rsid w:val="00F843CA"/>
    <w:rsid w:val="00F855B2"/>
    <w:rsid w:val="00F90324"/>
    <w:rsid w:val="00F92123"/>
    <w:rsid w:val="00F95211"/>
    <w:rsid w:val="00F95DAE"/>
    <w:rsid w:val="00FA29AD"/>
    <w:rsid w:val="00FA3D92"/>
    <w:rsid w:val="00FA6651"/>
    <w:rsid w:val="00FC1E62"/>
    <w:rsid w:val="00FC25A1"/>
    <w:rsid w:val="00FC286D"/>
    <w:rsid w:val="00FC55B9"/>
    <w:rsid w:val="00FC5E96"/>
    <w:rsid w:val="00FC6AA7"/>
    <w:rsid w:val="00FD09A5"/>
    <w:rsid w:val="00FE0092"/>
    <w:rsid w:val="00FE35E0"/>
    <w:rsid w:val="00FE4188"/>
    <w:rsid w:val="00FE5774"/>
    <w:rsid w:val="00FE7008"/>
    <w:rsid w:val="00FE7A68"/>
    <w:rsid w:val="00FF0106"/>
    <w:rsid w:val="00FF54BB"/>
    <w:rsid w:val="00FF577E"/>
    <w:rsid w:val="00FF5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D266E"/>
  <w15:chartTrackingRefBased/>
  <w15:docId w15:val="{85A27FA3-7D8F-4C44-A850-0E14F587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46E"/>
    <w:pPr>
      <w:ind w:left="720"/>
      <w:contextualSpacing/>
    </w:pPr>
  </w:style>
  <w:style w:type="character" w:customStyle="1" w:styleId="frontelement">
    <w:name w:val="frontelement"/>
    <w:basedOn w:val="DefaultParagraphFont"/>
    <w:rsid w:val="007A465A"/>
  </w:style>
  <w:style w:type="character" w:styleId="CommentReference">
    <w:name w:val="annotation reference"/>
    <w:basedOn w:val="DefaultParagraphFont"/>
    <w:uiPriority w:val="99"/>
    <w:semiHidden/>
    <w:unhideWhenUsed/>
    <w:rsid w:val="00966675"/>
    <w:rPr>
      <w:sz w:val="16"/>
      <w:szCs w:val="16"/>
    </w:rPr>
  </w:style>
  <w:style w:type="paragraph" w:styleId="CommentText">
    <w:name w:val="annotation text"/>
    <w:basedOn w:val="Normal"/>
    <w:link w:val="CommentTextChar"/>
    <w:uiPriority w:val="99"/>
    <w:semiHidden/>
    <w:unhideWhenUsed/>
    <w:rsid w:val="00966675"/>
    <w:pPr>
      <w:spacing w:line="240" w:lineRule="auto"/>
    </w:pPr>
    <w:rPr>
      <w:sz w:val="20"/>
      <w:szCs w:val="20"/>
    </w:rPr>
  </w:style>
  <w:style w:type="character" w:customStyle="1" w:styleId="CommentTextChar">
    <w:name w:val="Comment Text Char"/>
    <w:basedOn w:val="DefaultParagraphFont"/>
    <w:link w:val="CommentText"/>
    <w:uiPriority w:val="99"/>
    <w:semiHidden/>
    <w:rsid w:val="00966675"/>
    <w:rPr>
      <w:sz w:val="20"/>
      <w:szCs w:val="20"/>
    </w:rPr>
  </w:style>
  <w:style w:type="paragraph" w:styleId="CommentSubject">
    <w:name w:val="annotation subject"/>
    <w:basedOn w:val="CommentText"/>
    <w:next w:val="CommentText"/>
    <w:link w:val="CommentSubjectChar"/>
    <w:uiPriority w:val="99"/>
    <w:semiHidden/>
    <w:unhideWhenUsed/>
    <w:rsid w:val="00966675"/>
    <w:rPr>
      <w:b/>
      <w:bCs/>
    </w:rPr>
  </w:style>
  <w:style w:type="character" w:customStyle="1" w:styleId="CommentSubjectChar">
    <w:name w:val="Comment Subject Char"/>
    <w:basedOn w:val="CommentTextChar"/>
    <w:link w:val="CommentSubject"/>
    <w:uiPriority w:val="99"/>
    <w:semiHidden/>
    <w:rsid w:val="00966675"/>
    <w:rPr>
      <w:b/>
      <w:bCs/>
      <w:sz w:val="20"/>
      <w:szCs w:val="20"/>
    </w:rPr>
  </w:style>
  <w:style w:type="paragraph" w:styleId="BalloonText">
    <w:name w:val="Balloon Text"/>
    <w:basedOn w:val="Normal"/>
    <w:link w:val="BalloonTextChar"/>
    <w:uiPriority w:val="99"/>
    <w:semiHidden/>
    <w:unhideWhenUsed/>
    <w:rsid w:val="00966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75"/>
    <w:rPr>
      <w:rFonts w:ascii="Segoe UI" w:hAnsi="Segoe UI" w:cs="Segoe UI"/>
      <w:sz w:val="18"/>
      <w:szCs w:val="18"/>
    </w:rPr>
  </w:style>
  <w:style w:type="paragraph" w:styleId="Header">
    <w:name w:val="header"/>
    <w:basedOn w:val="Normal"/>
    <w:link w:val="HeaderChar"/>
    <w:uiPriority w:val="99"/>
    <w:unhideWhenUsed/>
    <w:rsid w:val="003B3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8F"/>
  </w:style>
  <w:style w:type="paragraph" w:styleId="Footer">
    <w:name w:val="footer"/>
    <w:basedOn w:val="Normal"/>
    <w:link w:val="FooterChar"/>
    <w:uiPriority w:val="99"/>
    <w:unhideWhenUsed/>
    <w:rsid w:val="003B3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8F"/>
  </w:style>
  <w:style w:type="character" w:customStyle="1" w:styleId="normaltextrun">
    <w:name w:val="normaltextrun"/>
    <w:basedOn w:val="DefaultParagraphFont"/>
    <w:rsid w:val="00907131"/>
  </w:style>
  <w:style w:type="character" w:customStyle="1" w:styleId="eop">
    <w:name w:val="eop"/>
    <w:basedOn w:val="DefaultParagraphFont"/>
    <w:rsid w:val="00907131"/>
  </w:style>
  <w:style w:type="character" w:customStyle="1" w:styleId="spellingerror">
    <w:name w:val="spellingerror"/>
    <w:basedOn w:val="DefaultParagraphFont"/>
    <w:rsid w:val="002D64BF"/>
  </w:style>
  <w:style w:type="table" w:styleId="TableGrid">
    <w:name w:val="Table Grid"/>
    <w:basedOn w:val="TableNormal"/>
    <w:uiPriority w:val="39"/>
    <w:rsid w:val="00A36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37A1"/>
    <w:pPr>
      <w:autoSpaceDE w:val="0"/>
      <w:autoSpaceDN w:val="0"/>
      <w:adjustRightInd w:val="0"/>
      <w:spacing w:after="0" w:line="240" w:lineRule="auto"/>
    </w:pPr>
    <w:rPr>
      <w:rFonts w:ascii="Wingdings" w:hAnsi="Wingdings" w:cs="Wingdings"/>
      <w:color w:val="000000"/>
      <w:sz w:val="24"/>
      <w:szCs w:val="24"/>
    </w:rPr>
  </w:style>
  <w:style w:type="character" w:styleId="Hyperlink">
    <w:name w:val="Hyperlink"/>
    <w:basedOn w:val="DefaultParagraphFont"/>
    <w:uiPriority w:val="99"/>
    <w:unhideWhenUsed/>
    <w:rsid w:val="007F4837"/>
    <w:rPr>
      <w:color w:val="0563C1" w:themeColor="hyperlink"/>
      <w:u w:val="single"/>
    </w:rPr>
  </w:style>
  <w:style w:type="character" w:customStyle="1" w:styleId="word">
    <w:name w:val="word"/>
    <w:basedOn w:val="DefaultParagraphFont"/>
    <w:rsid w:val="00A35FD1"/>
  </w:style>
  <w:style w:type="character" w:customStyle="1" w:styleId="Heading1Char">
    <w:name w:val="Heading 1 Char"/>
    <w:basedOn w:val="DefaultParagraphFont"/>
    <w:link w:val="Heading1"/>
    <w:uiPriority w:val="9"/>
    <w:rsid w:val="001B39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39D5"/>
    <w:pPr>
      <w:outlineLvl w:val="9"/>
    </w:pPr>
  </w:style>
  <w:style w:type="paragraph" w:styleId="TOC2">
    <w:name w:val="toc 2"/>
    <w:basedOn w:val="Normal"/>
    <w:next w:val="Normal"/>
    <w:autoRedefine/>
    <w:uiPriority w:val="39"/>
    <w:unhideWhenUsed/>
    <w:rsid w:val="009C2ADF"/>
    <w:pPr>
      <w:spacing w:after="100"/>
      <w:ind w:left="1276"/>
    </w:pPr>
    <w:rPr>
      <w:rFonts w:ascii="Times New Roman" w:eastAsiaTheme="minorEastAsia" w:hAnsi="Times New Roman" w:cs="Times New Roman"/>
      <w:sz w:val="20"/>
      <w:szCs w:val="20"/>
    </w:rPr>
  </w:style>
  <w:style w:type="paragraph" w:styleId="TOC1">
    <w:name w:val="toc 1"/>
    <w:basedOn w:val="Normal"/>
    <w:next w:val="Normal"/>
    <w:autoRedefine/>
    <w:uiPriority w:val="39"/>
    <w:unhideWhenUsed/>
    <w:rsid w:val="00271DB2"/>
    <w:pPr>
      <w:spacing w:after="100"/>
    </w:pPr>
    <w:rPr>
      <w:rFonts w:ascii="Times New Roman" w:eastAsiaTheme="minorEastAsia" w:hAnsi="Times New Roman" w:cs="Times New Roman"/>
      <w:bCs/>
      <w:sz w:val="24"/>
      <w:szCs w:val="24"/>
    </w:rPr>
  </w:style>
  <w:style w:type="paragraph" w:styleId="TOC3">
    <w:name w:val="toc 3"/>
    <w:basedOn w:val="Normal"/>
    <w:next w:val="Normal"/>
    <w:autoRedefine/>
    <w:uiPriority w:val="39"/>
    <w:unhideWhenUsed/>
    <w:rsid w:val="001B39D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0803">
      <w:bodyDiv w:val="1"/>
      <w:marLeft w:val="0"/>
      <w:marRight w:val="0"/>
      <w:marTop w:val="0"/>
      <w:marBottom w:val="0"/>
      <w:divBdr>
        <w:top w:val="none" w:sz="0" w:space="0" w:color="auto"/>
        <w:left w:val="none" w:sz="0" w:space="0" w:color="auto"/>
        <w:bottom w:val="none" w:sz="0" w:space="0" w:color="auto"/>
        <w:right w:val="none" w:sz="0" w:space="0" w:color="auto"/>
      </w:divBdr>
      <w:divsChild>
        <w:div w:id="1264142132">
          <w:marLeft w:val="0"/>
          <w:marRight w:val="0"/>
          <w:marTop w:val="0"/>
          <w:marBottom w:val="0"/>
          <w:divBdr>
            <w:top w:val="none" w:sz="0" w:space="0" w:color="auto"/>
            <w:left w:val="none" w:sz="0" w:space="0" w:color="auto"/>
            <w:bottom w:val="none" w:sz="0" w:space="0" w:color="auto"/>
            <w:right w:val="none" w:sz="0" w:space="0" w:color="auto"/>
          </w:divBdr>
        </w:div>
      </w:divsChild>
    </w:div>
    <w:div w:id="798762523">
      <w:bodyDiv w:val="1"/>
      <w:marLeft w:val="0"/>
      <w:marRight w:val="0"/>
      <w:marTop w:val="0"/>
      <w:marBottom w:val="0"/>
      <w:divBdr>
        <w:top w:val="none" w:sz="0" w:space="0" w:color="auto"/>
        <w:left w:val="none" w:sz="0" w:space="0" w:color="auto"/>
        <w:bottom w:val="none" w:sz="0" w:space="0" w:color="auto"/>
        <w:right w:val="none" w:sz="0" w:space="0" w:color="auto"/>
      </w:divBdr>
      <w:divsChild>
        <w:div w:id="525605813">
          <w:marLeft w:val="240"/>
          <w:marRight w:val="240"/>
          <w:marTop w:val="240"/>
          <w:marBottom w:val="240"/>
          <w:divBdr>
            <w:top w:val="none" w:sz="0" w:space="0" w:color="auto"/>
            <w:left w:val="none" w:sz="0" w:space="0" w:color="auto"/>
            <w:bottom w:val="none" w:sz="0" w:space="0" w:color="auto"/>
            <w:right w:val="none" w:sz="0" w:space="0" w:color="auto"/>
          </w:divBdr>
          <w:divsChild>
            <w:div w:id="94400074">
              <w:marLeft w:val="0"/>
              <w:marRight w:val="0"/>
              <w:marTop w:val="0"/>
              <w:marBottom w:val="0"/>
              <w:divBdr>
                <w:top w:val="none" w:sz="0" w:space="0" w:color="auto"/>
                <w:left w:val="none" w:sz="0" w:space="0" w:color="auto"/>
                <w:bottom w:val="none" w:sz="0" w:space="0" w:color="auto"/>
                <w:right w:val="none" w:sz="0" w:space="0" w:color="auto"/>
              </w:divBdr>
            </w:div>
            <w:div w:id="1649437297">
              <w:marLeft w:val="0"/>
              <w:marRight w:val="0"/>
              <w:marTop w:val="0"/>
              <w:marBottom w:val="0"/>
              <w:divBdr>
                <w:top w:val="none" w:sz="0" w:space="0" w:color="auto"/>
                <w:left w:val="none" w:sz="0" w:space="0" w:color="auto"/>
                <w:bottom w:val="none" w:sz="0" w:space="0" w:color="auto"/>
                <w:right w:val="none" w:sz="0" w:space="0" w:color="auto"/>
              </w:divBdr>
              <w:divsChild>
                <w:div w:id="100340937">
                  <w:marLeft w:val="0"/>
                  <w:marRight w:val="0"/>
                  <w:marTop w:val="0"/>
                  <w:marBottom w:val="0"/>
                  <w:divBdr>
                    <w:top w:val="none" w:sz="0" w:space="0" w:color="auto"/>
                    <w:left w:val="none" w:sz="0" w:space="0" w:color="auto"/>
                    <w:bottom w:val="none" w:sz="0" w:space="0" w:color="auto"/>
                    <w:right w:val="none" w:sz="0" w:space="0" w:color="auto"/>
                  </w:divBdr>
                  <w:divsChild>
                    <w:div w:id="1928879768">
                      <w:marLeft w:val="0"/>
                      <w:marRight w:val="0"/>
                      <w:marTop w:val="0"/>
                      <w:marBottom w:val="0"/>
                      <w:divBdr>
                        <w:top w:val="none" w:sz="0" w:space="0" w:color="auto"/>
                        <w:left w:val="none" w:sz="0" w:space="0" w:color="auto"/>
                        <w:bottom w:val="none" w:sz="0" w:space="0" w:color="auto"/>
                        <w:right w:val="none" w:sz="0" w:space="0" w:color="auto"/>
                      </w:divBdr>
                      <w:divsChild>
                        <w:div w:id="693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8573">
          <w:marLeft w:val="240"/>
          <w:marRight w:val="240"/>
          <w:marTop w:val="240"/>
          <w:marBottom w:val="240"/>
          <w:divBdr>
            <w:top w:val="none" w:sz="0" w:space="0" w:color="auto"/>
            <w:left w:val="none" w:sz="0" w:space="0" w:color="auto"/>
            <w:bottom w:val="none" w:sz="0" w:space="0" w:color="auto"/>
            <w:right w:val="none" w:sz="0" w:space="0" w:color="auto"/>
          </w:divBdr>
          <w:divsChild>
            <w:div w:id="5522045">
              <w:marLeft w:val="0"/>
              <w:marRight w:val="0"/>
              <w:marTop w:val="0"/>
              <w:marBottom w:val="0"/>
              <w:divBdr>
                <w:top w:val="none" w:sz="0" w:space="0" w:color="auto"/>
                <w:left w:val="none" w:sz="0" w:space="0" w:color="auto"/>
                <w:bottom w:val="none" w:sz="0" w:space="0" w:color="auto"/>
                <w:right w:val="none" w:sz="0" w:space="0" w:color="auto"/>
              </w:divBdr>
            </w:div>
            <w:div w:id="2015104773">
              <w:marLeft w:val="0"/>
              <w:marRight w:val="0"/>
              <w:marTop w:val="0"/>
              <w:marBottom w:val="0"/>
              <w:divBdr>
                <w:top w:val="none" w:sz="0" w:space="0" w:color="auto"/>
                <w:left w:val="none" w:sz="0" w:space="0" w:color="auto"/>
                <w:bottom w:val="none" w:sz="0" w:space="0" w:color="auto"/>
                <w:right w:val="none" w:sz="0" w:space="0" w:color="auto"/>
              </w:divBdr>
              <w:divsChild>
                <w:div w:id="1342320072">
                  <w:marLeft w:val="0"/>
                  <w:marRight w:val="0"/>
                  <w:marTop w:val="0"/>
                  <w:marBottom w:val="0"/>
                  <w:divBdr>
                    <w:top w:val="none" w:sz="0" w:space="0" w:color="auto"/>
                    <w:left w:val="none" w:sz="0" w:space="0" w:color="auto"/>
                    <w:bottom w:val="none" w:sz="0" w:space="0" w:color="auto"/>
                    <w:right w:val="none" w:sz="0" w:space="0" w:color="auto"/>
                  </w:divBdr>
                  <w:divsChild>
                    <w:div w:id="1281301097">
                      <w:marLeft w:val="0"/>
                      <w:marRight w:val="0"/>
                      <w:marTop w:val="0"/>
                      <w:marBottom w:val="0"/>
                      <w:divBdr>
                        <w:top w:val="none" w:sz="0" w:space="0" w:color="auto"/>
                        <w:left w:val="none" w:sz="0" w:space="0" w:color="auto"/>
                        <w:bottom w:val="none" w:sz="0" w:space="0" w:color="auto"/>
                        <w:right w:val="none" w:sz="0" w:space="0" w:color="auto"/>
                      </w:divBdr>
                      <w:divsChild>
                        <w:div w:id="14246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9182">
      <w:bodyDiv w:val="1"/>
      <w:marLeft w:val="0"/>
      <w:marRight w:val="0"/>
      <w:marTop w:val="0"/>
      <w:marBottom w:val="0"/>
      <w:divBdr>
        <w:top w:val="none" w:sz="0" w:space="0" w:color="auto"/>
        <w:left w:val="none" w:sz="0" w:space="0" w:color="auto"/>
        <w:bottom w:val="none" w:sz="0" w:space="0" w:color="auto"/>
        <w:right w:val="none" w:sz="0" w:space="0" w:color="auto"/>
      </w:divBdr>
      <w:divsChild>
        <w:div w:id="198445003">
          <w:marLeft w:val="0"/>
          <w:marRight w:val="0"/>
          <w:marTop w:val="0"/>
          <w:marBottom w:val="0"/>
          <w:divBdr>
            <w:top w:val="none" w:sz="0" w:space="0" w:color="auto"/>
            <w:left w:val="none" w:sz="0" w:space="0" w:color="auto"/>
            <w:bottom w:val="none" w:sz="0" w:space="0" w:color="auto"/>
            <w:right w:val="none" w:sz="0" w:space="0" w:color="auto"/>
          </w:divBdr>
        </w:div>
      </w:divsChild>
    </w:div>
    <w:div w:id="1277518298">
      <w:bodyDiv w:val="1"/>
      <w:marLeft w:val="0"/>
      <w:marRight w:val="0"/>
      <w:marTop w:val="0"/>
      <w:marBottom w:val="0"/>
      <w:divBdr>
        <w:top w:val="none" w:sz="0" w:space="0" w:color="auto"/>
        <w:left w:val="none" w:sz="0" w:space="0" w:color="auto"/>
        <w:bottom w:val="none" w:sz="0" w:space="0" w:color="auto"/>
        <w:right w:val="none" w:sz="0" w:space="0" w:color="auto"/>
      </w:divBdr>
      <w:divsChild>
        <w:div w:id="1060245327">
          <w:marLeft w:val="0"/>
          <w:marRight w:val="0"/>
          <w:marTop w:val="0"/>
          <w:marBottom w:val="0"/>
          <w:divBdr>
            <w:top w:val="none" w:sz="0" w:space="0" w:color="auto"/>
            <w:left w:val="none" w:sz="0" w:space="0" w:color="auto"/>
            <w:bottom w:val="none" w:sz="0" w:space="0" w:color="auto"/>
            <w:right w:val="none" w:sz="0" w:space="0" w:color="auto"/>
          </w:divBdr>
        </w:div>
      </w:divsChild>
    </w:div>
    <w:div w:id="1354309176">
      <w:bodyDiv w:val="1"/>
      <w:marLeft w:val="0"/>
      <w:marRight w:val="0"/>
      <w:marTop w:val="0"/>
      <w:marBottom w:val="0"/>
      <w:divBdr>
        <w:top w:val="none" w:sz="0" w:space="0" w:color="auto"/>
        <w:left w:val="none" w:sz="0" w:space="0" w:color="auto"/>
        <w:bottom w:val="none" w:sz="0" w:space="0" w:color="auto"/>
        <w:right w:val="none" w:sz="0" w:space="0" w:color="auto"/>
      </w:divBdr>
      <w:divsChild>
        <w:div w:id="1919049623">
          <w:marLeft w:val="0"/>
          <w:marRight w:val="0"/>
          <w:marTop w:val="0"/>
          <w:marBottom w:val="0"/>
          <w:divBdr>
            <w:top w:val="none" w:sz="0" w:space="0" w:color="auto"/>
            <w:left w:val="none" w:sz="0" w:space="0" w:color="auto"/>
            <w:bottom w:val="none" w:sz="0" w:space="0" w:color="auto"/>
            <w:right w:val="none" w:sz="0" w:space="0" w:color="auto"/>
          </w:divBdr>
        </w:div>
      </w:divsChild>
    </w:div>
    <w:div w:id="2107844842">
      <w:bodyDiv w:val="1"/>
      <w:marLeft w:val="0"/>
      <w:marRight w:val="0"/>
      <w:marTop w:val="0"/>
      <w:marBottom w:val="0"/>
      <w:divBdr>
        <w:top w:val="none" w:sz="0" w:space="0" w:color="auto"/>
        <w:left w:val="none" w:sz="0" w:space="0" w:color="auto"/>
        <w:bottom w:val="none" w:sz="0" w:space="0" w:color="auto"/>
        <w:right w:val="none" w:sz="0" w:space="0" w:color="auto"/>
      </w:divBdr>
      <w:divsChild>
        <w:div w:id="36918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vestopedia.com/terms/b/beta.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D818-4A35-49CB-B20D-65A088DF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18593</Words>
  <Characters>105982</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124327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Abdelaziz Adel Said Said Elfaham</dc:creator>
  <cp:keywords/>
  <dc:description/>
  <cp:lastModifiedBy>omar khaled</cp:lastModifiedBy>
  <cp:revision>2</cp:revision>
  <dcterms:created xsi:type="dcterms:W3CDTF">2020-07-24T11:42:00Z</dcterms:created>
  <dcterms:modified xsi:type="dcterms:W3CDTF">2020-07-24T11:42:00Z</dcterms:modified>
</cp:coreProperties>
</file>