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шаблон-статья-журнала"/>
    <w:p>
      <w:pPr>
        <w:pStyle w:val="Heading1"/>
      </w:pPr>
      <w:r>
        <w:t xml:space="preserve">Шаблон: статья журнала</w:t>
      </w:r>
    </w:p>
    <w:p>
      <w:pPr>
        <w:pStyle w:val="FirstParagraph"/>
      </w:pPr>
      <w:r>
        <w:t xml:space="preserve">Лонгриды 8–25 минут чтения в разделе</w:t>
      </w:r>
      <w:r>
        <w:t xml:space="preserve"> </w:t>
      </w:r>
      <w:r>
        <w:rPr>
          <w:rStyle w:val="VerbatimChar"/>
        </w:rPr>
        <w:t xml:space="preserve">/zhurnal/</w:t>
      </w:r>
      <w:r>
        <w:t xml:space="preserve">. Короткие новости/заметки идут в Telegram-канал</w:t>
      </w:r>
      <w:r>
        <w:t xml:space="preserve"> </w:t>
      </w:r>
      <w:r>
        <w:rPr>
          <w:b/>
          <w:bCs/>
        </w:rPr>
        <w:t xml:space="preserve">«Заметки юристов»</w:t>
      </w:r>
      <w:r>
        <w:rPr>
          <w:b/>
          <w:bCs/>
        </w:rPr>
        <w:t xml:space="preserve"> </w:t>
      </w:r>
      <w:r>
        <w:rPr>
          <w:b/>
          <w:bCs/>
        </w:rPr>
        <w:t xml:space="preserve">@urberau</w:t>
      </w:r>
      <w:r>
        <w:t xml:space="preserve">, не сюда.</w:t>
      </w:r>
    </w:p>
    <w:p>
      <w:pPr>
        <w:pStyle w:val="BodyText"/>
      </w:pPr>
      <w:r>
        <w:rPr>
          <w:b/>
          <w:bCs/>
        </w:rPr>
        <w:t xml:space="preserve">Эталон на сайте:</w:t>
      </w:r>
      <w:r>
        <w:t xml:space="preserve"> </w:t>
      </w:r>
      <w:hyperlink r:id="rId9">
        <w:r>
          <w:rPr>
            <w:rStyle w:val="Hyperlink"/>
          </w:rPr>
          <w:t xml:space="preserve">/zhurnal/ekspertiza-tovarnyh-znakov-2026/</w:t>
        </w:r>
      </w:hyperlink>
      <w:r>
        <w:t xml:space="preserve"> </w:t>
      </w:r>
      <w:r>
        <w:rPr>
          <w:b/>
          <w:bCs/>
        </w:rPr>
        <w:t xml:space="preserve">URL результата:</w:t>
      </w:r>
      <w:r>
        <w:t xml:space="preserve"> </w:t>
      </w:r>
      <w:r>
        <w:rPr>
          <w:rStyle w:val="VerbatimChar"/>
        </w:rPr>
        <w:t xml:space="preserve">/zhurnal/{slug}/</w:t>
      </w:r>
    </w:p>
    <w:p>
      <w:r>
        <w:pict>
          <v:rect style="width:0;height:1.5pt" o:hralign="center" o:hrstd="t" o:hr="t"/>
        </w:pict>
      </w:r>
    </w:p>
    <w:bookmarkStart w:id="10" w:name="шапка-документа"/>
    <w:p>
      <w:pPr>
        <w:pStyle w:val="Heading2"/>
      </w:pPr>
      <w:r>
        <w:t xml:space="preserve">0. Шапка документа</w:t>
      </w:r>
    </w:p>
    <w:p>
      <w:pPr>
        <w:pStyle w:val="SourceCode"/>
      </w:pPr>
      <w:r>
        <w:rPr>
          <w:rStyle w:val="VerbatimChar"/>
        </w:rPr>
        <w:t xml:space="preserve">Тип: статья</w:t>
      </w:r>
      <w:r>
        <w:br/>
      </w:r>
      <w:r>
        <w:rPr>
          <w:rStyle w:val="VerbatimChar"/>
        </w:rPr>
        <w:t xml:space="preserve">Slug: ekspertiza-tovarnyh-znakov-2026</w:t>
      </w:r>
      <w:r>
        <w:br/>
      </w:r>
      <w:r>
        <w:rPr>
          <w:rStyle w:val="VerbatimChar"/>
        </w:rPr>
        <w:t xml:space="preserve">Рубрика: Товарные знаки           ← одна из: Товарные знаки / Патенты / Авторское право / Договоры / Споры / Налоги</w:t>
      </w:r>
      <w:r>
        <w:br/>
      </w:r>
      <w:r>
        <w:rPr>
          <w:rStyle w:val="VerbatimChar"/>
        </w:rPr>
        <w:t xml:space="preserve">Автор: Дмитрий Галифанов</w:t>
      </w:r>
      <w:r>
        <w:br/>
      </w:r>
      <w:r>
        <w:rPr>
          <w:rStyle w:val="VerbatimChar"/>
        </w:rPr>
        <w:t xml:space="preserve">Роль автора: Старший партнёр, патентный поверенный</w:t>
      </w:r>
      <w:r>
        <w:br/>
      </w:r>
      <w:r>
        <w:rPr>
          <w:rStyle w:val="VerbatimChar"/>
        </w:rPr>
        <w:t xml:space="preserve">Дата публикации: 15 апреля 2026</w:t>
      </w:r>
      <w:r>
        <w:br/>
      </w:r>
      <w:r>
        <w:rPr>
          <w:rStyle w:val="VerbatimChar"/>
        </w:rPr>
        <w:t xml:space="preserve">Cover-фото: имя файла или «подобрать»</w:t>
      </w:r>
      <w:r>
        <w:br/>
      </w:r>
      <w:r>
        <w:rPr>
          <w:rStyle w:val="VerbatimChar"/>
        </w:rPr>
        <w:t xml:space="preserve">Время чтения: 12 мин                ← ~1500 знаков на 1 минуту</w:t>
      </w:r>
      <w:r>
        <w:br/>
      </w:r>
      <w:r>
        <w:rPr>
          <w:rStyle w:val="VerbatimChar"/>
        </w:rPr>
        <w:t xml:space="preserve">Статус: черновик</w:t>
      </w:r>
    </w:p>
    <w:p>
      <w:pPr>
        <w:pStyle w:val="FirstParagraph"/>
      </w:pPr>
      <w:r>
        <w:t xml:space="preserve">Если тема не вписывается в существующие рубрики — обсудите с редактором, новые не выдумываем.</w:t>
      </w:r>
    </w:p>
    <w:p>
      <w:r>
        <w:pict>
          <v:rect style="width:0;height:1.5pt" o:hralign="center" o:hrstd="t" o:hr="t"/>
        </w:pict>
      </w:r>
    </w:p>
    <w:bookmarkEnd w:id="10"/>
    <w:bookmarkStart w:id="11" w:name="seo"/>
    <w:p>
      <w:pPr>
        <w:pStyle w:val="Heading2"/>
      </w:pPr>
      <w:r>
        <w:t xml:space="preserve">1. SEO</w:t>
      </w:r>
    </w:p>
    <w:p>
      <w:pPr>
        <w:pStyle w:val="FirstParagraph"/>
      </w:pPr>
      <w:r>
        <w:rPr>
          <w:rStyle w:val="VerbatimChar"/>
          <w:b/>
          <w:bCs/>
        </w:rPr>
        <w:t xml:space="preserve">&lt;title&gt;</w:t>
      </w:r>
      <w:r>
        <w:t xml:space="preserve"> </w:t>
      </w:r>
      <w:r>
        <w:t xml:space="preserve">(≤ 65 символов): сама тема. Без</w:t>
      </w:r>
      <w:r>
        <w:t xml:space="preserve"> </w:t>
      </w:r>
      <w:r>
        <w:rPr>
          <w:rStyle w:val="VerbatimChar"/>
        </w:rPr>
        <w:t xml:space="preserve">· Бюро</w:t>
      </w:r>
      <w:r>
        <w:t xml:space="preserve"> </w:t>
      </w:r>
      <w:r>
        <w:t xml:space="preserve">— обычно тема и так длинная.</w:t>
      </w:r>
    </w:p>
    <w:p>
      <w:pPr>
        <w:pStyle w:val="BodyText"/>
      </w:pPr>
      <w:r>
        <w:t xml:space="preserve">Пример:</w:t>
      </w:r>
      <w:r>
        <w:t xml:space="preserve"> </w:t>
      </w:r>
      <w:r>
        <w:rPr>
          <w:rStyle w:val="VerbatimChar"/>
        </w:rPr>
        <w:t xml:space="preserve">Что изменилось в экспертизе товарных знаков в 2026 году</w:t>
      </w:r>
    </w:p>
    <w:p>
      <w:pPr>
        <w:pStyle w:val="BodyText"/>
      </w:pPr>
      <w:r>
        <w:rPr>
          <w:b/>
          <w:bCs/>
        </w:rPr>
        <w:t xml:space="preserve">Meta description</w:t>
      </w:r>
      <w:r>
        <w:t xml:space="preserve"> </w:t>
      </w:r>
      <w:r>
        <w:t xml:space="preserve">(130–160 символов): тема + ключевая мысль + что узнает читатель.</w:t>
      </w:r>
    </w:p>
    <w:p>
      <w:pPr>
        <w:pStyle w:val="BodyText"/>
      </w:pPr>
      <w:r>
        <w:t xml:space="preserve">Пример:</w:t>
      </w:r>
      <w:r>
        <w:t xml:space="preserve"> </w:t>
      </w:r>
      <w:r>
        <w:rPr>
          <w:rStyle w:val="VerbatimChar"/>
        </w:rPr>
        <w:t xml:space="preserve">Разбор практики Роспатента 2024–2026: какие основания для отказа усилились, как изменилась оценка различительной способности. С примерами решений.</w:t>
      </w:r>
    </w:p>
    <w:p>
      <w:r>
        <w:pict>
          <v:rect style="width:0;height:1.5pt" o:hralign="center" o:hrstd="t" o:hr="t"/>
        </w:pict>
      </w:r>
    </w:p>
    <w:bookmarkEnd w:id="11"/>
    <w:bookmarkStart w:id="12" w:name="h1-и-лид"/>
    <w:p>
      <w:pPr>
        <w:pStyle w:val="Heading2"/>
      </w:pPr>
      <w:r>
        <w:t xml:space="preserve">2. H1 и лид</w:t>
      </w:r>
    </w:p>
    <w:p>
      <w:pPr>
        <w:pStyle w:val="FirstParagraph"/>
      </w:pPr>
      <w:r>
        <w:rPr>
          <w:b/>
          <w:bCs/>
        </w:rPr>
        <w:t xml:space="preserve">H1</w:t>
      </w:r>
      <w:r>
        <w:t xml:space="preserve"> </w:t>
      </w:r>
      <w:r>
        <w:t xml:space="preserve">(60–110 символов, с курсивом через звёздочки):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Что изменилось в экспертизе ТЗ в 2026 году: *разбор практики Роспатента*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Как считать компенсацию: *3 формулы для нарушения товарного знака*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Налоговая проверка по НДС: *7 типичных эпизодов и контраргументы*</w:t>
      </w:r>
    </w:p>
    <w:p>
      <w:pPr>
        <w:pStyle w:val="FirstParagraph"/>
      </w:pPr>
      <w:r>
        <w:rPr>
          <w:b/>
          <w:bCs/>
        </w:rPr>
        <w:t xml:space="preserve">Лид-абзац</w:t>
      </w:r>
      <w:r>
        <w:t xml:space="preserve"> </w:t>
      </w:r>
      <w:r>
        <w:t xml:space="preserve">(250–500 символов, italic) —</w:t>
      </w:r>
      <w:r>
        <w:t xml:space="preserve"> </w:t>
      </w:r>
      <w:r>
        <w:rPr>
          <w:b/>
          <w:bCs/>
        </w:rPr>
        <w:t xml:space="preserve">тезис статьи</w:t>
      </w:r>
      <w:r>
        <w:t xml:space="preserve">, не вступление:</w:t>
      </w:r>
    </w:p>
    <w:p>
      <w:pPr>
        <w:pStyle w:val="Compact"/>
        <w:numPr>
          <w:ilvl w:val="0"/>
          <w:numId w:val="1002"/>
        </w:numPr>
      </w:pPr>
      <w:r>
        <w:t xml:space="preserve">Какая проблема разбирается?</w:t>
      </w:r>
    </w:p>
    <w:p>
      <w:pPr>
        <w:pStyle w:val="Compact"/>
        <w:numPr>
          <w:ilvl w:val="0"/>
          <w:numId w:val="1002"/>
        </w:numPr>
      </w:pPr>
      <w:r>
        <w:t xml:space="preserve">Какую пользу получит читатель?</w:t>
      </w:r>
    </w:p>
    <w:p>
      <w:pPr>
        <w:pStyle w:val="FirstParagraph"/>
      </w:pPr>
      <w:r>
        <w:t xml:space="preserve">Пример:</w:t>
      </w:r>
      <w:r>
        <w:t xml:space="preserve"> </w:t>
      </w:r>
      <w:r>
        <w:rPr>
          <w:rStyle w:val="VerbatimChar"/>
        </w:rPr>
        <w:t xml:space="preserve">В 2025 году Роспатент скорректировал подход к оценке различительной способности — отказов по этому основанию стало больше на 18%. Разбираем, какие именно элементы экспертиза стала считать «слабыми», и как переработать заявку, если получили отказ.</w:t>
      </w:r>
    </w:p>
    <w:p>
      <w:r>
        <w:pict>
          <v:rect style="width:0;height:1.5pt" o:hralign="center" o:hrstd="t" o:hr="t"/>
        </w:pict>
      </w:r>
    </w:p>
    <w:bookmarkEnd w:id="12"/>
    <w:bookmarkStart w:id="16" w:name="тело-статьи"/>
    <w:p>
      <w:pPr>
        <w:pStyle w:val="Heading2"/>
      </w:pPr>
      <w:r>
        <w:t xml:space="preserve">3. Тело статьи</w:t>
      </w:r>
    </w:p>
    <w:p>
      <w:pPr>
        <w:pStyle w:val="FirstParagraph"/>
      </w:pPr>
      <w:r>
        <w:rPr>
          <w:b/>
          <w:bCs/>
        </w:rPr>
        <w:t xml:space="preserve">Длина:</w:t>
      </w:r>
      <w:r>
        <w:t xml:space="preserve"> </w:t>
      </w:r>
      <w:r>
        <w:t xml:space="preserve">5 000–15 000 знаков с пробелами. Меньше — это пост в Telegram. Больше — разбить на две.</w:t>
      </w:r>
    </w:p>
    <w:p>
      <w:pPr>
        <w:pStyle w:val="BodyText"/>
      </w:pPr>
      <w:r>
        <w:rPr>
          <w:b/>
          <w:bCs/>
        </w:rPr>
        <w:t xml:space="preserve">Структура:</w:t>
      </w:r>
      <w:r>
        <w:t xml:space="preserve"> </w:t>
      </w:r>
      <w:r>
        <w:t xml:space="preserve">3–5 H2-разделов (по ним строится оглавление справа), в каждом 2–6 абзацев.</w:t>
      </w:r>
    </w:p>
    <w:p>
      <w:pPr>
        <w:pStyle w:val="BodyText"/>
      </w:pPr>
      <w:r>
        <w:t xml:space="preserve">Рекомендуется добавить хотя бы что-то из: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H3</w:t>
      </w:r>
      <w:r>
        <w:t xml:space="preserve"> </w:t>
      </w:r>
      <w:r>
        <w:t xml:space="preserve">— подразделы внутри H2 (если раздел длинный).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Списки</w:t>
      </w:r>
      <w:r>
        <w:t xml:space="preserve"> </w:t>
      </w:r>
      <w:r>
        <w:t xml:space="preserve">— нумерованные для шагов, маркированные для перечислений.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Blockquote</w:t>
      </w:r>
      <w:r>
        <w:t xml:space="preserve"> </w:t>
      </w:r>
      <w:r>
        <w:t xml:space="preserve">— цитата закона, решения суда, позиции Роспатента/ФАС, с указанием источника.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Callout «Что важно знать»</w:t>
      </w:r>
      <w:r>
        <w:t xml:space="preserve"> </w:t>
      </w:r>
      <w:r>
        <w:t xml:space="preserve">— короткий вывод 50–150 слов, 1–3 раза за статью.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Внутренние ссылки</w:t>
      </w:r>
      <w:r>
        <w:t xml:space="preserve"> </w:t>
      </w:r>
      <w:r>
        <w:t xml:space="preserve">— 2–5 штук на услуги, кейсы, другие статьи, классы МКТУ. Не более 1 ссылки на абзац.</w:t>
      </w:r>
    </w:p>
    <w:bookmarkStart w:id="13" w:name="пример-структуры"/>
    <w:p>
      <w:pPr>
        <w:pStyle w:val="Heading3"/>
      </w:pPr>
      <w:r>
        <w:t xml:space="preserve">Пример структуры</w:t>
      </w:r>
    </w:p>
    <w:p>
      <w:pPr>
        <w:pStyle w:val="SourceCode"/>
      </w:pPr>
      <w:r>
        <w:rPr>
          <w:rStyle w:val="VerbatimChar"/>
        </w:rPr>
        <w:t xml:space="preserve">H1: [Заголовок с курсивом]</w:t>
      </w:r>
      <w:r>
        <w:br/>
      </w:r>
      <w:r>
        <w:rPr>
          <w:rStyle w:val="VerbatimChar"/>
        </w:rPr>
        <w:t xml:space="preserve">[Лид-абзац, italic]</w:t>
      </w:r>
      <w:r>
        <w:br/>
      </w:r>
      <w:r>
        <w:br/>
      </w:r>
      <w:r>
        <w:rPr>
          <w:rStyle w:val="VerbatimChar"/>
        </w:rPr>
        <w:t xml:space="preserve">H2: Постановка проблемы / контекст</w:t>
      </w:r>
      <w:r>
        <w:br/>
      </w:r>
      <w:r>
        <w:rPr>
          <w:rStyle w:val="VerbatimChar"/>
        </w:rPr>
        <w:t xml:space="preserve">Абзац — что изменилось.</w:t>
      </w:r>
      <w:r>
        <w:br/>
      </w:r>
      <w:r>
        <w:rPr>
          <w:rStyle w:val="VerbatimChar"/>
        </w:rPr>
        <w:t xml:space="preserve">Абзац — кого это касается.</w:t>
      </w:r>
      <w:r>
        <w:br/>
      </w:r>
      <w:r>
        <w:rPr>
          <w:rStyle w:val="VerbatimChar"/>
        </w:rPr>
        <w:t xml:space="preserve">Blockquote — цитата нормы или практики.</w:t>
      </w:r>
      <w:r>
        <w:br/>
      </w:r>
      <w:r>
        <w:br/>
      </w:r>
      <w:r>
        <w:rPr>
          <w:rStyle w:val="VerbatimChar"/>
        </w:rPr>
        <w:t xml:space="preserve">H2: Основной разбор</w:t>
      </w:r>
      <w:r>
        <w:br/>
      </w:r>
      <w:r>
        <w:rPr>
          <w:rStyle w:val="VerbatimChar"/>
        </w:rPr>
        <w:t xml:space="preserve">H3: Аспект 1</w:t>
      </w:r>
      <w:r>
        <w:br/>
      </w:r>
      <w:r>
        <w:rPr>
          <w:rStyle w:val="VerbatimChar"/>
        </w:rPr>
        <w:t xml:space="preserve">H3: Аспект 2</w:t>
      </w:r>
      <w:r>
        <w:br/>
      </w:r>
      <w:r>
        <w:rPr>
          <w:rStyle w:val="VerbatimChar"/>
        </w:rPr>
        <w:t xml:space="preserve">Список ключевых пунктов.</w:t>
      </w:r>
      <w:r>
        <w:br/>
      </w:r>
      <w:r>
        <w:br/>
      </w:r>
      <w:r>
        <w:rPr>
          <w:rStyle w:val="VerbatimChar"/>
        </w:rPr>
        <w:t xml:space="preserve">H2: Что делать</w:t>
      </w:r>
      <w:r>
        <w:br/>
      </w:r>
      <w:r>
        <w:rPr>
          <w:rStyle w:val="VerbatimChar"/>
        </w:rPr>
        <w:t xml:space="preserve">Нумерованный список действий.</w:t>
      </w:r>
      <w:r>
        <w:br/>
      </w:r>
      <w:r>
        <w:br/>
      </w:r>
      <w:r>
        <w:rPr>
          <w:rStyle w:val="VerbatimChar"/>
        </w:rPr>
        <w:t xml:space="preserve">H2: Что дальше</w:t>
      </w:r>
      <w:r>
        <w:br/>
      </w:r>
      <w:r>
        <w:rPr>
          <w:rStyle w:val="VerbatimChar"/>
        </w:rPr>
        <w:t xml:space="preserve">Куда движется практика.</w:t>
      </w:r>
      <w:r>
        <w:br/>
      </w:r>
      <w:r>
        <w:rPr>
          <w:rStyle w:val="VerbatimChar"/>
        </w:rPr>
        <w:t xml:space="preserve">Приглашающий абзац: 1–2 предложения с предложением консультации.</w:t>
      </w:r>
    </w:p>
    <w:bookmarkEnd w:id="13"/>
    <w:bookmarkStart w:id="14" w:name="цитаты"/>
    <w:p>
      <w:pPr>
        <w:pStyle w:val="Heading3"/>
      </w:pPr>
      <w:r>
        <w:t xml:space="preserve">Цитаты</w:t>
      </w:r>
    </w:p>
    <w:p>
      <w:pPr>
        <w:pStyle w:val="FirstParagraph"/>
      </w:pPr>
      <w:r>
        <w:t xml:space="preserve">Только реальные, с источником: текст цитаты +</w:t>
      </w:r>
      <w:r>
        <w:t xml:space="preserve"> </w:t>
      </w:r>
      <w:r>
        <w:rPr>
          <w:rStyle w:val="VerbatimChar"/>
        </w:rPr>
        <w:t xml:space="preserve">— Источник, дата</w:t>
      </w:r>
      <w:r>
        <w:t xml:space="preserve">.</w:t>
      </w:r>
    </w:p>
    <w:p>
      <w:pPr>
        <w:pStyle w:val="BlockText"/>
      </w:pPr>
      <w:r>
        <w:t xml:space="preserve">«При оценке различительной способности обозначения экспертиза учитывает восприятие средним российским потребителем соответствующих товаров.»</w:t>
      </w:r>
      <w:r>
        <w:t xml:space="preserve"> </w:t>
      </w:r>
      <w:r>
        <w:t xml:space="preserve">— Руководство Роспатента по экспертизе ТЗ, ред. 2024 г.</w:t>
      </w:r>
    </w:p>
    <w:bookmarkEnd w:id="14"/>
    <w:bookmarkStart w:id="15" w:name="callout-что-важно-знать"/>
    <w:p>
      <w:pPr>
        <w:pStyle w:val="Heading3"/>
      </w:pPr>
      <w:r>
        <w:t xml:space="preserve">Callout «Что важно знать»</w:t>
      </w:r>
    </w:p>
    <w:p>
      <w:pPr>
        <w:pStyle w:val="BlockText"/>
      </w:pPr>
      <w:r>
        <w:rPr>
          <w:b/>
          <w:bCs/>
        </w:rPr>
        <w:t xml:space="preserve">Что важно знать</w:t>
      </w:r>
      <w:r>
        <w:t xml:space="preserve"> </w:t>
      </w:r>
      <w:r>
        <w:t xml:space="preserve">Отказ по различительной способности можно преодолеть доказательствами фактического использования — например, статистикой продаж под этим обозначением за 3+ года. Это работает в 60–70% случаев.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об-авторе-под-статьёй"/>
    <w:p>
      <w:pPr>
        <w:pStyle w:val="Heading2"/>
      </w:pPr>
      <w:r>
        <w:t xml:space="preserve">4. Об авторе (под статьёй)</w:t>
      </w:r>
    </w:p>
    <w:p>
      <w:pPr>
        <w:pStyle w:val="SourceCode"/>
      </w:pPr>
      <w:r>
        <w:rPr>
          <w:rStyle w:val="VerbatimChar"/>
        </w:rPr>
        <w:t xml:space="preserve">Имя: Дмитрий Галифанов</w:t>
      </w:r>
      <w:r>
        <w:br/>
      </w:r>
      <w:r>
        <w:rPr>
          <w:rStyle w:val="VerbatimChar"/>
        </w:rPr>
        <w:t xml:space="preserve">Роль: Старший партнёр, патентный поверенный</w:t>
      </w:r>
      <w:r>
        <w:br/>
      </w:r>
      <w:r>
        <w:rPr>
          <w:rStyle w:val="VerbatimChar"/>
        </w:rPr>
        <w:t xml:space="preserve">Фото: galifanov.jpg               ← 200×200 JPG или «прислать»</w:t>
      </w:r>
    </w:p>
    <w:p>
      <w:r>
        <w:pict>
          <v:rect style="width:0;height:1.5pt" o:hralign="center" o:hrstd="t" o:hr="t"/>
        </w:pict>
      </w:r>
    </w:p>
    <w:bookmarkEnd w:id="17"/>
    <w:bookmarkStart w:id="18" w:name="cover-фото"/>
    <w:p>
      <w:pPr>
        <w:pStyle w:val="Heading2"/>
      </w:pPr>
      <w:r>
        <w:t xml:space="preserve">5. Cover-фото</w:t>
      </w:r>
    </w:p>
    <w:p>
      <w:pPr>
        <w:pStyle w:val="FirstParagraph"/>
      </w:pPr>
      <w:r>
        <w:t xml:space="preserve">1600×700 JPG, sRGB, качество 80–85%. Тематическое — рабочее место, документы, абстрактная типографика, фрагмент архитектуры.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стоковые «юристы за столом».</w:t>
      </w:r>
    </w:p>
    <w:p>
      <w:pPr>
        <w:pStyle w:val="BodyText"/>
      </w:pPr>
      <w:r>
        <w:t xml:space="preserve">Нет своего — пометьте «подобрать».</w:t>
      </w:r>
    </w:p>
    <w:p>
      <w:r>
        <w:pict>
          <v:rect style="width:0;height:1.5pt" o:hralign="center" o:hrstd="t" o:hr="t"/>
        </w:pict>
      </w:r>
    </w:p>
    <w:bookmarkEnd w:id="18"/>
    <w:bookmarkStart w:id="19" w:name="похожие-материалы-внизу"/>
    <w:p>
      <w:pPr>
        <w:pStyle w:val="Heading2"/>
      </w:pPr>
      <w:r>
        <w:t xml:space="preserve">6. Похожие материалы (внизу)</w:t>
      </w:r>
    </w:p>
    <w:p>
      <w:pPr>
        <w:pStyle w:val="FirstParagraph"/>
      </w:pPr>
      <w:r>
        <w:t xml:space="preserve">3 slug-а похожих статей или</w:t>
      </w:r>
      <w:r>
        <w:t xml:space="preserve"> </w:t>
      </w:r>
      <w:r>
        <w:rPr>
          <w:rStyle w:val="VerbatimChar"/>
        </w:rPr>
        <w:t xml:space="preserve">подбирает редактор</w:t>
      </w:r>
      <w:r>
        <w:t xml:space="preserve">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1-tm.ru/zhurnal/ekspertiza-tovarnyh-znakov-2026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1-tm.ru/zhurnal/ekspertiza-tovarnyh-znakov-2026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2026-05-20T11:00:43Z</dcterms:created>
  <dcterms:modified xsi:type="dcterms:W3CDTF">2026-05-20T11:00:43Z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