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Cattelan Italia Maroc — éléments à fournir</w:t>
      </w:r>
    </w:p>
    <w:p>
      <w:r>
        <w:t>Préparé le 1er octobre 2026 pour Racha Home. Ce document réunit tout ce qu’il reste à fournir pour terminer et mettre en ligne le site, puis le dossier de déclaration CNDP. Le site est prêt à les recevoir : chaque élément s’ajoute sans nouveau développement.</w:t>
      </w:r>
    </w:p>
    <w:p>
      <w:pPr>
        <w:pStyle w:val="Heading1"/>
      </w:pPr>
      <w:r>
        <w:t>Récapitulatif</w:t>
      </w:r>
    </w:p>
    <w:tbl>
      <w:tblPr>
        <w:tblStyle w:val="TableGrid"/>
        <w:tblW w:type="auto" w:w="0"/>
        <w:jc w:val="center"/>
        <w:tblLook w:firstColumn="1" w:firstRow="1" w:lastColumn="0" w:lastRow="0" w:noHBand="0" w:noVBand="1" w:val="04A0"/>
      </w:tblPr>
      <w:tblGrid>
        <w:gridCol w:w="3249"/>
        <w:gridCol w:w="3249"/>
        <w:gridCol w:w="3249"/>
      </w:tblGrid>
      <w:tr>
        <w:tc>
          <w:tcPr>
            <w:tcW w:type="dxa" w:w="2948"/>
            <w:shd w:val="clear" w:color="auto" w:fill="1F2A30"/>
          </w:tcPr>
          <w:p>
            <w:r>
              <w:rPr>
                <w:b/>
                <w:color w:val="FFFFFF"/>
                <w:sz w:val="19"/>
              </w:rPr>
              <w:t>Élément</w:t>
            </w:r>
          </w:p>
        </w:tc>
        <w:tc>
          <w:tcPr>
            <w:tcW w:type="dxa" w:w="4082"/>
            <w:shd w:val="clear" w:color="auto" w:fill="1F2A30"/>
          </w:tcPr>
          <w:p>
            <w:r>
              <w:rPr>
                <w:b/>
                <w:color w:val="FFFFFF"/>
                <w:sz w:val="19"/>
              </w:rPr>
              <w:t>Pourquoi</w:t>
            </w:r>
          </w:p>
        </w:tc>
        <w:tc>
          <w:tcPr>
            <w:tcW w:type="dxa" w:w="2381"/>
            <w:shd w:val="clear" w:color="auto" w:fill="1F2A30"/>
          </w:tcPr>
          <w:p>
            <w:r>
              <w:rPr>
                <w:b/>
                <w:color w:val="FFFFFF"/>
                <w:sz w:val="19"/>
              </w:rPr>
              <w:t>Pour quand</w:t>
            </w:r>
          </w:p>
        </w:tc>
      </w:tr>
      <w:tr>
        <w:tc>
          <w:tcPr>
            <w:tcW w:type="dxa" w:w="2948"/>
            <w:shd w:val="clear" w:color="auto" w:fill="EEF1F2"/>
          </w:tcPr>
          <w:p>
            <w:r>
              <w:rPr>
                <w:b/>
                <w:sz w:val="19"/>
              </w:rPr>
              <w:t>Licence de marque Cattelan Italia signée et logo de revendeur monomarque</w:t>
            </w:r>
          </w:p>
        </w:tc>
        <w:tc>
          <w:tcPr>
            <w:tcW w:type="dxa" w:w="4082"/>
          </w:tcPr>
          <w:p>
            <w:r>
              <w:rPr>
                <w:sz w:val="19"/>
              </w:rPr>
              <w:t>Autorise l’usage du nom, du logo et des visuels de la marque</w:t>
            </w:r>
          </w:p>
        </w:tc>
        <w:tc>
          <w:tcPr>
            <w:tcW w:type="dxa" w:w="2381"/>
          </w:tcPr>
          <w:p>
            <w:r>
              <w:rPr>
                <w:sz w:val="19"/>
              </w:rPr>
              <w:t>Avant la mise en ligne</w:t>
            </w:r>
          </w:p>
        </w:tc>
      </w:tr>
      <w:tr>
        <w:tc>
          <w:tcPr>
            <w:tcW w:type="dxa" w:w="2948"/>
            <w:shd w:val="clear" w:color="auto" w:fill="EEF1F2"/>
          </w:tcPr>
          <w:p>
            <w:r>
              <w:rPr>
                <w:b/>
                <w:sz w:val="19"/>
              </w:rPr>
              <w:t>Déclaration CNDP</w:t>
            </w:r>
          </w:p>
        </w:tc>
        <w:tc>
          <w:tcPr>
            <w:tcW w:type="dxa" w:w="4082"/>
          </w:tcPr>
          <w:p>
            <w:r>
              <w:rPr>
                <w:sz w:val="19"/>
              </w:rPr>
              <w:t>Obligatoire pour les formulaires du site (loi n° 09-08)</w:t>
            </w:r>
          </w:p>
        </w:tc>
        <w:tc>
          <w:tcPr>
            <w:tcW w:type="dxa" w:w="2381"/>
          </w:tcPr>
          <w:p>
            <w:r>
              <w:rPr>
                <w:sz w:val="19"/>
              </w:rPr>
              <w:t>Avant la mise en ligne, ou dès que possible après</w:t>
            </w:r>
          </w:p>
        </w:tc>
      </w:tr>
      <w:tr>
        <w:tc>
          <w:tcPr>
            <w:tcW w:type="dxa" w:w="2948"/>
            <w:shd w:val="clear" w:color="auto" w:fill="EEF1F2"/>
          </w:tcPr>
          <w:p>
            <w:r>
              <w:rPr>
                <w:b/>
                <w:sz w:val="19"/>
              </w:rPr>
              <w:t>Accès au nom de domaine cattelanitalia.ma</w:t>
            </w:r>
          </w:p>
        </w:tc>
        <w:tc>
          <w:tcPr>
            <w:tcW w:type="dxa" w:w="4082"/>
          </w:tcPr>
          <w:p>
            <w:r>
              <w:rPr>
                <w:sz w:val="19"/>
              </w:rPr>
              <w:t>Adresse définitive du site</w:t>
            </w:r>
          </w:p>
        </w:tc>
        <w:tc>
          <w:tcPr>
            <w:tcW w:type="dxa" w:w="2381"/>
          </w:tcPr>
          <w:p>
            <w:r>
              <w:rPr>
                <w:sz w:val="19"/>
              </w:rPr>
              <w:t>Avant la mise en ligne</w:t>
            </w:r>
          </w:p>
        </w:tc>
      </w:tr>
      <w:tr>
        <w:tc>
          <w:tcPr>
            <w:tcW w:type="dxa" w:w="2948"/>
            <w:shd w:val="clear" w:color="auto" w:fill="EEF1F2"/>
          </w:tcPr>
          <w:p>
            <w:r>
              <w:rPr>
                <w:b/>
                <w:sz w:val="19"/>
              </w:rPr>
              <w:t>Photos du showroom</w:t>
            </w:r>
          </w:p>
        </w:tc>
        <w:tc>
          <w:tcPr>
            <w:tcW w:type="dxa" w:w="4082"/>
          </w:tcPr>
          <w:p>
            <w:r>
              <w:rPr>
                <w:sz w:val="19"/>
              </w:rPr>
              <w:t>Pages Showroom, Accueil et À propos</w:t>
            </w:r>
          </w:p>
        </w:tc>
        <w:tc>
          <w:tcPr>
            <w:tcW w:type="dxa" w:w="2381"/>
          </w:tcPr>
          <w:p>
            <w:r>
              <w:rPr>
                <w:sz w:val="19"/>
              </w:rPr>
              <w:t>Shooting du 9 octobre</w:t>
            </w:r>
          </w:p>
        </w:tc>
      </w:tr>
      <w:tr>
        <w:tc>
          <w:tcPr>
            <w:tcW w:type="dxa" w:w="2948"/>
            <w:shd w:val="clear" w:color="auto" w:fill="EEF1F2"/>
          </w:tcPr>
          <w:p>
            <w:r>
              <w:rPr>
                <w:b/>
                <w:sz w:val="19"/>
              </w:rPr>
              <w:t>Liste des pièces exposées, pièce par pièce</w:t>
            </w:r>
          </w:p>
        </w:tc>
        <w:tc>
          <w:tcPr>
            <w:tcW w:type="dxa" w:w="4082"/>
          </w:tcPr>
          <w:p>
            <w:r>
              <w:rPr>
                <w:sz w:val="19"/>
              </w:rPr>
              <w:t>Mention « Exposé au showroom de Casablanca » sur les fiches</w:t>
            </w:r>
          </w:p>
        </w:tc>
        <w:tc>
          <w:tcPr>
            <w:tcW w:type="dxa" w:w="2381"/>
          </w:tcPr>
          <w:p>
            <w:r>
              <w:rPr>
                <w:sz w:val="19"/>
              </w:rPr>
              <w:t>Le 9 octobre, pendant le shooting</w:t>
            </w:r>
          </w:p>
        </w:tc>
      </w:tr>
      <w:tr>
        <w:tc>
          <w:tcPr>
            <w:tcW w:type="dxa" w:w="2948"/>
            <w:shd w:val="clear" w:color="auto" w:fill="EEF1F2"/>
          </w:tcPr>
          <w:p>
            <w:r>
              <w:rPr>
                <w:b/>
                <w:sz w:val="19"/>
              </w:rPr>
              <w:t>Photos d’ambiance d’Ohay et sa fiche produit (le PDF reçu est vide)</w:t>
            </w:r>
          </w:p>
        </w:tc>
        <w:tc>
          <w:tcPr>
            <w:tcW w:type="dxa" w:w="4082"/>
          </w:tcPr>
          <w:p>
            <w:r>
              <w:rPr>
                <w:sz w:val="19"/>
              </w:rPr>
              <w:t>Compléter la page Luminaires</w:t>
            </w:r>
          </w:p>
        </w:tc>
        <w:tc>
          <w:tcPr>
            <w:tcW w:type="dxa" w:w="2381"/>
          </w:tcPr>
          <w:p>
            <w:r>
              <w:rPr>
                <w:sz w:val="19"/>
              </w:rPr>
              <w:t>Dès que possible</w:t>
            </w:r>
          </w:p>
        </w:tc>
      </w:tr>
      <w:tr>
        <w:tc>
          <w:tcPr>
            <w:tcW w:type="dxa" w:w="2948"/>
            <w:shd w:val="clear" w:color="auto" w:fill="EEF1F2"/>
          </w:tcPr>
          <w:p>
            <w:r>
              <w:rPr>
                <w:b/>
                <w:sz w:val="19"/>
              </w:rPr>
              <w:t>Photos sans logo pour les six articles du Journal</w:t>
            </w:r>
          </w:p>
        </w:tc>
        <w:tc>
          <w:tcPr>
            <w:tcW w:type="dxa" w:w="4082"/>
          </w:tcPr>
          <w:p>
            <w:r>
              <w:rPr>
                <w:sz w:val="19"/>
              </w:rPr>
              <w:t>Articles éditoriaux prévus</w:t>
            </w:r>
          </w:p>
        </w:tc>
        <w:tc>
          <w:tcPr>
            <w:tcW w:type="dxa" w:w="2381"/>
          </w:tcPr>
          <w:p>
            <w:r>
              <w:rPr>
                <w:sz w:val="19"/>
              </w:rPr>
              <w:t>Dès que possible</w:t>
            </w:r>
          </w:p>
        </w:tc>
      </w:tr>
      <w:tr>
        <w:tc>
          <w:tcPr>
            <w:tcW w:type="dxa" w:w="2948"/>
            <w:shd w:val="clear" w:color="auto" w:fill="EEF1F2"/>
          </w:tcPr>
          <w:p>
            <w:r>
              <w:rPr>
                <w:b/>
                <w:sz w:val="19"/>
              </w:rPr>
              <w:t>Catalogues PDF officiels</w:t>
            </w:r>
          </w:p>
        </w:tc>
        <w:tc>
          <w:tcPr>
            <w:tcW w:type="dxa" w:w="4082"/>
          </w:tcPr>
          <w:p>
            <w:r>
              <w:rPr>
                <w:sz w:val="19"/>
              </w:rPr>
              <w:t>Remplacer le catalogue de démonstration</w:t>
            </w:r>
          </w:p>
        </w:tc>
        <w:tc>
          <w:tcPr>
            <w:tcW w:type="dxa" w:w="2381"/>
          </w:tcPr>
          <w:p>
            <w:r>
              <w:rPr>
                <w:sz w:val="19"/>
              </w:rPr>
              <w:t>Avant la mise en ligne</w:t>
            </w:r>
          </w:p>
        </w:tc>
      </w:tr>
      <w:tr>
        <w:tc>
          <w:tcPr>
            <w:tcW w:type="dxa" w:w="2948"/>
            <w:shd w:val="clear" w:color="auto" w:fill="EEF1F2"/>
          </w:tcPr>
          <w:p>
            <w:r>
              <w:rPr>
                <w:b/>
                <w:sz w:val="19"/>
              </w:rPr>
              <w:t>Adresse e-mail du showroom pour les alertes</w:t>
            </w:r>
          </w:p>
        </w:tc>
        <w:tc>
          <w:tcPr>
            <w:tcW w:type="dxa" w:w="4082"/>
          </w:tcPr>
          <w:p>
            <w:r>
              <w:rPr>
                <w:sz w:val="19"/>
              </w:rPr>
              <w:t>Recevoir chaque demande de rendez-vous ou de projet</w:t>
            </w:r>
          </w:p>
        </w:tc>
        <w:tc>
          <w:tcPr>
            <w:tcW w:type="dxa" w:w="2381"/>
          </w:tcPr>
          <w:p>
            <w:r>
              <w:rPr>
                <w:sz w:val="19"/>
              </w:rPr>
              <w:t>Avant la mise en ligne</w:t>
            </w:r>
          </w:p>
        </w:tc>
      </w:tr>
      <w:tr>
        <w:tc>
          <w:tcPr>
            <w:tcW w:type="dxa" w:w="2948"/>
            <w:shd w:val="clear" w:color="auto" w:fill="EEF1F2"/>
          </w:tcPr>
          <w:p>
            <w:r>
              <w:rPr>
                <w:b/>
                <w:sz w:val="19"/>
              </w:rPr>
              <w:t>Nom du gérant</w:t>
            </w:r>
          </w:p>
        </w:tc>
        <w:tc>
          <w:tcPr>
            <w:tcW w:type="dxa" w:w="4082"/>
          </w:tcPr>
          <w:p>
            <w:r>
              <w:rPr>
                <w:sz w:val="19"/>
              </w:rPr>
              <w:t>Directeur de la publication (Mentions légales)</w:t>
            </w:r>
          </w:p>
        </w:tc>
        <w:tc>
          <w:tcPr>
            <w:tcW w:type="dxa" w:w="2381"/>
          </w:tcPr>
          <w:p>
            <w:r>
              <w:rPr>
                <w:sz w:val="19"/>
              </w:rPr>
              <w:t>Facultatif</w:t>
            </w:r>
          </w:p>
        </w:tc>
      </w:tr>
      <w:tr>
        <w:tc>
          <w:tcPr>
            <w:tcW w:type="dxa" w:w="2948"/>
            <w:shd w:val="clear" w:color="auto" w:fill="EEF1F2"/>
          </w:tcPr>
          <w:p>
            <w:r>
              <w:rPr>
                <w:b/>
                <w:sz w:val="19"/>
              </w:rPr>
              <w:t>Accès à SendPulse</w:t>
            </w:r>
          </w:p>
        </w:tc>
        <w:tc>
          <w:tcPr>
            <w:tcW w:type="dxa" w:w="4082"/>
          </w:tcPr>
          <w:p>
            <w:r>
              <w:rPr>
                <w:sz w:val="19"/>
              </w:rPr>
              <w:t>Transmettre les demandes au CRM</w:t>
            </w:r>
          </w:p>
        </w:tc>
        <w:tc>
          <w:tcPr>
            <w:tcW w:type="dxa" w:w="2381"/>
          </w:tcPr>
          <w:p>
            <w:r>
              <w:rPr>
                <w:sz w:val="19"/>
              </w:rPr>
              <w:t>Lorsque le compte est prêt</w:t>
            </w:r>
          </w:p>
        </w:tc>
      </w:tr>
      <w:tr>
        <w:tc>
          <w:tcPr>
            <w:tcW w:type="dxa" w:w="2948"/>
            <w:shd w:val="clear" w:color="auto" w:fill="EEF1F2"/>
          </w:tcPr>
          <w:p>
            <w:r>
              <w:rPr>
                <w:b/>
                <w:sz w:val="19"/>
              </w:rPr>
              <w:t>Fichiers 2D/3D, garanties et SAV, compte Instagram, référencement sur cattelanitalia.com</w:t>
            </w:r>
          </w:p>
        </w:tc>
        <w:tc>
          <w:tcPr>
            <w:tcW w:type="dxa" w:w="4082"/>
          </w:tcPr>
          <w:p>
            <w:r>
              <w:rPr>
                <w:sz w:val="19"/>
              </w:rPr>
              <w:t>Pages Professionnels et FAQ, liens du site</w:t>
            </w:r>
          </w:p>
        </w:tc>
        <w:tc>
          <w:tcPr>
            <w:tcW w:type="dxa" w:w="2381"/>
          </w:tcPr>
          <w:p>
            <w:r>
              <w:rPr>
                <w:sz w:val="19"/>
              </w:rPr>
              <w:t>Après la mise en ligne</w:t>
            </w:r>
          </w:p>
        </w:tc>
      </w:tr>
    </w:tbl>
    <w:p/>
    <w:p>
      <w:pPr>
        <w:pStyle w:val="Heading1"/>
      </w:pPr>
      <w:r>
        <w:t>Détail des demandes</w:t>
      </w:r>
    </w:p>
    <w:p>
      <w:r>
        <w:rPr>
          <w:b/>
        </w:rPr>
        <w:t>Licence de marque et logo de revendeur.</w:t>
      </w:r>
      <w:r>
        <w:t xml:space="preserve"> Une lettre de demande est prête (document séparé « Demande de licence »), à signer et envoyer. Le site utilise le nom Cattelan Italia, son logo, ses photographies et ses fiches produit. Ce sont des marques et des contenus protégés de Cattelan Italia S.p.A. Le formulaire de licence se demande à info@cattelanitalia.com ; une fois signé, la marque fournit le logo de revendeur monomarque. Sans cet accord écrit, la marque peut demander le retrait du site, des photos ou du nom de domaine, et le site ne peut pas se présenter comme revendeur officiel.</w:t>
      </w:r>
    </w:p>
    <w:p>
      <w:r>
        <w:rPr>
          <w:b/>
        </w:rPr>
        <w:t>Nom de domaine.</w:t>
      </w:r>
      <w:r>
        <w:t xml:space="preserve"> Accès au compte du registrar de cattelanitalia.ma (ou transfert convenu) pour faire pointer le domaine vers le site.</w:t>
      </w:r>
    </w:p>
    <w:p>
      <w:r>
        <w:rPr>
          <w:b/>
        </w:rPr>
        <w:t>Shooting du 9 octobre.</w:t>
      </w:r>
      <w:r>
        <w:t xml:space="preserve"> Prévoir des vues larges de chaque espace (entrée, salon, salle à manger, chambre), la façade et l’enseigne, l’espace des échantillons, et quelques détails de matières. Le même jour, noter le nom exact de chaque modèle exposé et la pièce où il se trouve : cette liste active la mention « Exposé au showroom de Casablanca » sur les fiches concernées.</w:t>
      </w:r>
    </w:p>
    <w:p>
      <w:r>
        <w:rPr>
          <w:b/>
        </w:rPr>
        <w:t>Ohay.</w:t>
      </w:r>
      <w:r>
        <w:t xml:space="preserve"> Le PDF de la fiche produit reçu ne contient que l’en-tête et le pied de page : il faut le télécharger à nouveau. Il manque aussi des photos d’ambiance sans logo, comme pour les autres modèles.</w:t>
      </w:r>
    </w:p>
    <w:p>
      <w:r>
        <w:rPr>
          <w:b/>
        </w:rPr>
        <w:t>Journal.</w:t>
      </w:r>
      <w:r>
        <w:t xml:space="preserve"> Photos sans logo pour les six articles prévus :</w:t>
      </w:r>
    </w:p>
    <w:p>
      <w:pPr>
        <w:pStyle w:val="ListNumber"/>
      </w:pPr>
      <w:r>
        <w:t>La céramique Taj Mahal : 2026 Digital Kit #1 et kit Taj Mahal.</w:t>
      </w:r>
    </w:p>
    <w:p>
      <w:pPr>
        <w:pStyle w:val="ListNumber"/>
      </w:pPr>
      <w:r>
        <w:t>Fabriqué en Italie, verre, cuir et métal : films Ohay, Zuleika et Butterfly (2025 Kit #2).</w:t>
      </w:r>
    </w:p>
    <w:p>
      <w:pPr>
        <w:pStyle w:val="ListNumber"/>
      </w:pPr>
      <w:r>
        <w:t>La maison Cattelan Italia, pièce par pièce : 2026 Digital Kit #2.</w:t>
      </w:r>
    </w:p>
    <w:p>
      <w:pPr>
        <w:pStyle w:val="ListNumber"/>
      </w:pPr>
      <w:r>
        <w:t>Vivre dehors : 2026 Digital Kit #3 (Napoleon Keramik Outdoor, Greta Outdoor).</w:t>
      </w:r>
    </w:p>
    <w:p>
      <w:pPr>
        <w:pStyle w:val="ListNumber"/>
      </w:pPr>
      <w:r>
        <w:t>L’entrée, console et miroir : 2026 Digital Kit #3 (Rado Keramik, Amsterdam, Cosmos).</w:t>
      </w:r>
    </w:p>
    <w:p>
      <w:pPr>
        <w:pStyle w:val="ListNumber"/>
      </w:pPr>
      <w:r>
        <w:t>Les nouveautés du Salon du Meuble de Milan : 2025 Digital Kit #1.</w:t>
      </w:r>
    </w:p>
    <w:p>
      <w:r>
        <w:rPr>
          <w:b/>
        </w:rPr>
        <w:t>Catalogues PDF.</w:t>
      </w:r>
      <w:r>
        <w:t xml:space="preserve"> À télécharger dans la rubrique Catalogues de cattelanitalia.com, par exemple Collection 2026, Sofas Collection 2025 et Dining Tables.</w:t>
      </w:r>
    </w:p>
    <w:p>
      <w:r>
        <w:rPr>
          <w:b/>
        </w:rPr>
        <w:t>Alertes.</w:t>
      </w:r>
      <w:r>
        <w:t xml:space="preserve"> Chaque demande de rendez-vous ou de projet est envoyée par e-mail. L’adresse provisoire est omar@kreedns.com ; elle se change dans l’administration du site.</w:t>
      </w:r>
    </w:p>
    <w:p>
      <w:r>
        <w:rPr>
          <w:b/>
        </w:rPr>
        <w:t>Après la mise en ligne.</w:t>
      </w:r>
      <w:r>
        <w:t xml:space="preserve"> Confirmation que les fichiers 2D/3D peuvent être envoyés aux professionnels ; conditions de garantie et de service après-vente de Cattelan Italia ; nom du compte Instagram du showroom ; demande d’inscription dans la recherche de revendeurs de cattelanitalia.com.</w:t>
      </w:r>
    </w:p>
    <w:p>
      <w:r>
        <w:br w:type="page"/>
      </w:r>
    </w:p>
    <w:p>
      <w:pPr>
        <w:pStyle w:val="Heading1"/>
      </w:pPr>
      <w:r>
        <w:t>Déclaration CNDP — formulaires du site Cattelan Italia Maroc</w:t>
      </w:r>
    </w:p>
    <w:p>
      <w:r>
        <w:t>Préparé le 1er octobre 2026 pour Racha Home. Ce document rassemble les réponses aux rubriques du formulaire de déclaration de la CNDP (Commission nationale de contrôle de la protection des données à caractère personnel), au titre de la loi n° 09-08. Il ne remplace pas l’avis d’un juriste ; faites-le relire par le comptable ou le conseil de la société avant l’envoi.</w:t>
      </w:r>
    </w:p>
    <w:p>
      <w:pPr>
        <w:pStyle w:val="Heading2"/>
      </w:pPr>
      <w:r>
        <w:t>Comment déclarer</w:t>
      </w:r>
    </w:p>
    <w:p>
      <w:pPr>
        <w:pStyle w:val="ListNumber"/>
      </w:pPr>
      <w:r>
        <w:t xml:space="preserve">Sur </w:t>
      </w:r>
      <w:r>
        <w:rPr>
          <w:color w:val="1F4E79"/>
          <w:u w:val="single"/>
        </w:rPr>
        <w:t>www.cndp.ma</w:t>
      </w:r>
      <w:r>
        <w:t>, ouvrir l’espace de déclaration en ligne et créer le compte de Racha Home (RC, ICE, représentant légal).</w:t>
      </w:r>
    </w:p>
    <w:p>
      <w:pPr>
        <w:pStyle w:val="ListNumber"/>
      </w:pPr>
      <w:r>
        <w:t>Vérifier d’abord si une procédure simplifiée existe pour la « gestion des clients et prospects » ; si oui, l’utiliser, sinon remplir une déclaration normale avec les réponses ci-dessous.</w:t>
      </w:r>
    </w:p>
    <w:p>
      <w:pPr>
        <w:pStyle w:val="ListNumber"/>
      </w:pPr>
      <w:r>
        <w:t>Les données étant hébergées hors du Maroc (Cloudflare, États-Unis), joindre la demande d’autorisation de transfert à l’étranger proposée par la CNDP, ou indiquer que le transfert repose sur le consentement exprès des personnes (formulaire du site).</w:t>
      </w:r>
    </w:p>
    <w:p>
      <w:pPr>
        <w:pStyle w:val="ListNumber"/>
      </w:pPr>
      <w:r>
        <w:t>Signer par le gérant et envoyer. Conserver le récépissé.</w:t>
      </w:r>
    </w:p>
    <w:p>
      <w:pPr>
        <w:pStyle w:val="ListNumber"/>
      </w:pPr>
      <w:r>
        <w:t>Une fois le numéro de récépissé reçu, le transmettre au webmaster, qui le saisit dans l’administration du site : il apparaît alors sur la page Confidentialité et sous chaque formulaire.</w:t>
      </w:r>
    </w:p>
    <w:p>
      <w:pPr>
        <w:pStyle w:val="Heading2"/>
      </w:pPr>
      <w:r>
        <w:t>Réponses au formulaire</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1F2A30"/>
          </w:tcPr>
          <w:p>
            <w:r>
              <w:rPr>
                <w:b/>
                <w:color w:val="FFFFFF"/>
                <w:sz w:val="19"/>
              </w:rPr>
              <w:t>Rubrique</w:t>
            </w:r>
          </w:p>
        </w:tc>
        <w:tc>
          <w:tcPr>
            <w:tcW w:type="dxa" w:w="6576"/>
            <w:shd w:val="clear" w:color="auto" w:fill="1F2A30"/>
          </w:tcPr>
          <w:p>
            <w:r>
              <w:rPr>
                <w:b/>
                <w:color w:val="FFFFFF"/>
                <w:sz w:val="19"/>
              </w:rPr>
              <w:t>Réponse</w:t>
            </w:r>
          </w:p>
        </w:tc>
      </w:tr>
      <w:tr>
        <w:tc>
          <w:tcPr>
            <w:tcW w:type="dxa" w:w="2835"/>
            <w:shd w:val="clear" w:color="auto" w:fill="EEF1F2"/>
          </w:tcPr>
          <w:p>
            <w:r>
              <w:rPr>
                <w:b/>
                <w:sz w:val="19"/>
              </w:rPr>
              <w:t>Responsable du traitement</w:t>
            </w:r>
          </w:p>
        </w:tc>
        <w:tc>
          <w:tcPr>
            <w:tcW w:type="dxa" w:w="6576"/>
          </w:tcPr>
          <w:p>
            <w:r>
              <w:rPr>
                <w:sz w:val="19"/>
              </w:rPr>
              <w:t>Racha Home, SARL au capital de 100 000 DH, RC Marrakech 76831, ICE 001761428000059</w:t>
            </w:r>
          </w:p>
        </w:tc>
      </w:tr>
      <w:tr>
        <w:tc>
          <w:tcPr>
            <w:tcW w:type="dxa" w:w="2835"/>
            <w:shd w:val="clear" w:color="auto" w:fill="EEF1F2"/>
          </w:tcPr>
          <w:p>
            <w:r>
              <w:rPr>
                <w:b/>
                <w:sz w:val="19"/>
              </w:rPr>
              <w:t>Siège social</w:t>
            </w:r>
          </w:p>
        </w:tc>
        <w:tc>
          <w:tcPr>
            <w:tcW w:type="dxa" w:w="6576"/>
          </w:tcPr>
          <w:p>
            <w:r>
              <w:rPr>
                <w:sz w:val="19"/>
              </w:rPr>
              <w:t>Résidence Marrakchia I, rue du Lieutenant Lamure, boulevard Mohammed VI, Marrakech-Médina</w:t>
            </w:r>
          </w:p>
        </w:tc>
      </w:tr>
      <w:tr>
        <w:tc>
          <w:tcPr>
            <w:tcW w:type="dxa" w:w="2835"/>
            <w:shd w:val="clear" w:color="auto" w:fill="EEF1F2"/>
          </w:tcPr>
          <w:p>
            <w:r>
              <w:rPr>
                <w:b/>
                <w:sz w:val="19"/>
              </w:rPr>
              <w:t>Lieu d’exploitation</w:t>
            </w:r>
          </w:p>
        </w:tc>
        <w:tc>
          <w:tcPr>
            <w:tcW w:type="dxa" w:w="6576"/>
          </w:tcPr>
          <w:p>
            <w:r>
              <w:rPr>
                <w:sz w:val="19"/>
              </w:rPr>
              <w:t>Showroom, 8-10 avenue du Docteur Mohamed Sijilmassi, 20250 Casablanca</w:t>
            </w:r>
          </w:p>
        </w:tc>
      </w:tr>
      <w:tr>
        <w:tc>
          <w:tcPr>
            <w:tcW w:type="dxa" w:w="2835"/>
            <w:shd w:val="clear" w:color="auto" w:fill="EEF1F2"/>
          </w:tcPr>
          <w:p>
            <w:r>
              <w:rPr>
                <w:b/>
                <w:sz w:val="19"/>
              </w:rPr>
              <w:t>Représentant / contact</w:t>
            </w:r>
          </w:p>
        </w:tc>
        <w:tc>
          <w:tcPr>
            <w:tcW w:type="dxa" w:w="6576"/>
          </w:tcPr>
          <w:p>
            <w:r>
              <w:rPr>
                <w:sz w:val="19"/>
              </w:rPr>
              <w:t>Le gérant ; contact@cattelanitalia.ma ; +212 771 105 490</w:t>
            </w:r>
          </w:p>
        </w:tc>
      </w:tr>
      <w:tr>
        <w:tc>
          <w:tcPr>
            <w:tcW w:type="dxa" w:w="2835"/>
            <w:shd w:val="clear" w:color="auto" w:fill="EEF1F2"/>
          </w:tcPr>
          <w:p>
            <w:r>
              <w:rPr>
                <w:b/>
                <w:sz w:val="19"/>
              </w:rPr>
              <w:t>Nom du traitement</w:t>
            </w:r>
          </w:p>
        </w:tc>
        <w:tc>
          <w:tcPr>
            <w:tcW w:type="dxa" w:w="6576"/>
          </w:tcPr>
          <w:p>
            <w:r>
              <w:rPr>
                <w:sz w:val="19"/>
              </w:rPr>
              <w:t>Gestion des demandes de clients et prospects reçues par le site Cattelan Italia Maroc</w:t>
            </w:r>
          </w:p>
        </w:tc>
      </w:tr>
      <w:tr>
        <w:tc>
          <w:tcPr>
            <w:tcW w:type="dxa" w:w="2835"/>
            <w:shd w:val="clear" w:color="auto" w:fill="EEF1F2"/>
          </w:tcPr>
          <w:p>
            <w:r>
              <w:rPr>
                <w:b/>
                <w:sz w:val="19"/>
              </w:rPr>
              <w:t>Finalités</w:t>
            </w:r>
          </w:p>
        </w:tc>
        <w:tc>
          <w:tcPr>
            <w:tcW w:type="dxa" w:w="6576"/>
          </w:tcPr>
          <w:p>
            <w:r>
              <w:rPr>
                <w:sz w:val="19"/>
              </w:rPr>
              <w:t>Envoyer le catalogue ; organiser les rendez-vous au showroom ; répondre aux demandes de professionnels (architectes, décorateurs, entreprises) ; avec accord exprès, envoyer nouveautés et invitations</w:t>
            </w:r>
          </w:p>
        </w:tc>
      </w:tr>
      <w:tr>
        <w:tc>
          <w:tcPr>
            <w:tcW w:type="dxa" w:w="2835"/>
            <w:shd w:val="clear" w:color="auto" w:fill="EEF1F2"/>
          </w:tcPr>
          <w:p>
            <w:r>
              <w:rPr>
                <w:b/>
                <w:sz w:val="19"/>
              </w:rPr>
              <w:t>Personnes concernées</w:t>
            </w:r>
          </w:p>
        </w:tc>
        <w:tc>
          <w:tcPr>
            <w:tcW w:type="dxa" w:w="6576"/>
          </w:tcPr>
          <w:p>
            <w:r>
              <w:rPr>
                <w:sz w:val="19"/>
              </w:rPr>
              <w:t>Particuliers et professionnels qui remplissent un formulaire du site</w:t>
            </w:r>
          </w:p>
        </w:tc>
      </w:tr>
      <w:tr>
        <w:tc>
          <w:tcPr>
            <w:tcW w:type="dxa" w:w="2835"/>
            <w:shd w:val="clear" w:color="auto" w:fill="EEF1F2"/>
          </w:tcPr>
          <w:p>
            <w:r>
              <w:rPr>
                <w:b/>
                <w:sz w:val="19"/>
              </w:rPr>
              <w:t>Données collectées</w:t>
            </w:r>
          </w:p>
        </w:tc>
        <w:tc>
          <w:tcPr>
            <w:tcW w:type="dxa" w:w="6576"/>
          </w:tcPr>
          <w:p>
            <w:r>
              <w:rPr>
                <w:sz w:val="19"/>
              </w:rPr>
              <w:t>Nom ; numéro WhatsApp ; e-mail ; ville ; société et type de projet (professionnels) ; jour et moment souhaités (rendez-vous) ; message libre ; page d’origine et modèle consulté</w:t>
            </w:r>
          </w:p>
        </w:tc>
      </w:tr>
      <w:tr>
        <w:tc>
          <w:tcPr>
            <w:tcW w:type="dxa" w:w="2835"/>
            <w:shd w:val="clear" w:color="auto" w:fill="EEF1F2"/>
          </w:tcPr>
          <w:p>
            <w:r>
              <w:rPr>
                <w:b/>
                <w:sz w:val="19"/>
              </w:rPr>
              <w:t>Données sensibles</w:t>
            </w:r>
          </w:p>
        </w:tc>
        <w:tc>
          <w:tcPr>
            <w:tcW w:type="dxa" w:w="6576"/>
          </w:tcPr>
          <w:p>
            <w:r>
              <w:rPr>
                <w:sz w:val="19"/>
              </w:rPr>
              <w:t>Aucune</w:t>
            </w:r>
          </w:p>
        </w:tc>
      </w:tr>
      <w:tr>
        <w:tc>
          <w:tcPr>
            <w:tcW w:type="dxa" w:w="2835"/>
            <w:shd w:val="clear" w:color="auto" w:fill="EEF1F2"/>
          </w:tcPr>
          <w:p>
            <w:r>
              <w:rPr>
                <w:b/>
                <w:sz w:val="19"/>
              </w:rPr>
              <w:t>Source des données</w:t>
            </w:r>
          </w:p>
        </w:tc>
        <w:tc>
          <w:tcPr>
            <w:tcW w:type="dxa" w:w="6576"/>
          </w:tcPr>
          <w:p>
            <w:r>
              <w:rPr>
                <w:sz w:val="19"/>
              </w:rPr>
              <w:t>Directement auprès de la personne, par les formulaires du site</w:t>
            </w:r>
          </w:p>
        </w:tc>
      </w:tr>
      <w:tr>
        <w:tc>
          <w:tcPr>
            <w:tcW w:type="dxa" w:w="2835"/>
            <w:shd w:val="clear" w:color="auto" w:fill="EEF1F2"/>
          </w:tcPr>
          <w:p>
            <w:r>
              <w:rPr>
                <w:b/>
                <w:sz w:val="19"/>
              </w:rPr>
              <w:t>Base légale</w:t>
            </w:r>
          </w:p>
        </w:tc>
        <w:tc>
          <w:tcPr>
            <w:tcW w:type="dxa" w:w="6576"/>
          </w:tcPr>
          <w:p>
            <w:r>
              <w:rPr>
                <w:sz w:val="19"/>
              </w:rPr>
              <w:t>Consentement de la personne, donné en envoyant le formulaire ; case à cocher distincte pour les nouveautés</w:t>
            </w:r>
          </w:p>
        </w:tc>
      </w:tr>
      <w:tr>
        <w:tc>
          <w:tcPr>
            <w:tcW w:type="dxa" w:w="2835"/>
            <w:shd w:val="clear" w:color="auto" w:fill="EEF1F2"/>
          </w:tcPr>
          <w:p>
            <w:r>
              <w:rPr>
                <w:b/>
                <w:sz w:val="19"/>
              </w:rPr>
              <w:t>Destinataires internes</w:t>
            </w:r>
          </w:p>
        </w:tc>
        <w:tc>
          <w:tcPr>
            <w:tcW w:type="dxa" w:w="6576"/>
          </w:tcPr>
          <w:p>
            <w:r>
              <w:rPr>
                <w:sz w:val="19"/>
              </w:rPr>
              <w:t>L’équipe commerciale de Racha Home</w:t>
            </w:r>
          </w:p>
        </w:tc>
      </w:tr>
      <w:tr>
        <w:tc>
          <w:tcPr>
            <w:tcW w:type="dxa" w:w="2835"/>
            <w:shd w:val="clear" w:color="auto" w:fill="EEF1F2"/>
          </w:tcPr>
          <w:p>
            <w:r>
              <w:rPr>
                <w:b/>
                <w:sz w:val="19"/>
              </w:rPr>
              <w:t>Sous-traitants</w:t>
            </w:r>
          </w:p>
        </w:tc>
        <w:tc>
          <w:tcPr>
            <w:tcW w:type="dxa" w:w="6576"/>
          </w:tcPr>
          <w:p>
            <w:r>
              <w:rPr>
                <w:sz w:val="19"/>
              </w:rPr>
              <w:t>Cloudflare, Inc. (hébergement du site et stockage des demandes, États-Unis) ; Resend (envoi des e-mails, États-Unis), si l’envoi par e-mail est activé ; plus tard l’outil de gestion client (SendPulse envisagé)</w:t>
            </w:r>
          </w:p>
        </w:tc>
      </w:tr>
      <w:tr>
        <w:tc>
          <w:tcPr>
            <w:tcW w:type="dxa" w:w="2835"/>
            <w:shd w:val="clear" w:color="auto" w:fill="EEF1F2"/>
          </w:tcPr>
          <w:p>
            <w:r>
              <w:rPr>
                <w:b/>
                <w:sz w:val="19"/>
              </w:rPr>
              <w:t>Transfert à l’étranger</w:t>
            </w:r>
          </w:p>
        </w:tc>
        <w:tc>
          <w:tcPr>
            <w:tcW w:type="dxa" w:w="6576"/>
          </w:tcPr>
          <w:p>
            <w:r>
              <w:rPr>
                <w:sz w:val="19"/>
              </w:rPr>
              <w:t>Oui, vers les États-Unis, par les sous-traitants ci-dessus</w:t>
            </w:r>
          </w:p>
        </w:tc>
      </w:tr>
      <w:tr>
        <w:tc>
          <w:tcPr>
            <w:tcW w:type="dxa" w:w="2835"/>
            <w:shd w:val="clear" w:color="auto" w:fill="EEF1F2"/>
          </w:tcPr>
          <w:p>
            <w:r>
              <w:rPr>
                <w:b/>
                <w:sz w:val="19"/>
              </w:rPr>
              <w:t>Durée de conservation</w:t>
            </w:r>
          </w:p>
        </w:tc>
        <w:tc>
          <w:tcPr>
            <w:tcW w:type="dxa" w:w="6576"/>
          </w:tcPr>
          <w:p>
            <w:r>
              <w:rPr>
                <w:sz w:val="19"/>
              </w:rPr>
              <w:t>Trois ans à compter de l’envoi de la demande, puis suppression automatique ; documents de commande selon les obligations légales de conservation ; empreinte chiffrée de l’adresse IP (anti-abus) effacée sous trois heures</w:t>
            </w:r>
          </w:p>
        </w:tc>
      </w:tr>
      <w:tr>
        <w:tc>
          <w:tcPr>
            <w:tcW w:type="dxa" w:w="2835"/>
            <w:shd w:val="clear" w:color="auto" w:fill="EEF1F2"/>
          </w:tcPr>
          <w:p>
            <w:r>
              <w:rPr>
                <w:b/>
                <w:sz w:val="19"/>
              </w:rPr>
              <w:t>Information des personnes</w:t>
            </w:r>
          </w:p>
        </w:tc>
        <w:tc>
          <w:tcPr>
            <w:tcW w:type="dxa" w:w="6576"/>
          </w:tcPr>
          <w:p>
            <w:r>
              <w:rPr>
                <w:sz w:val="19"/>
              </w:rPr>
              <w:t>Mention sous chaque formulaire (responsable, finalité, durée, droits, numéro de récépissé) et page « Confidentialité » accessible depuis chaque page</w:t>
            </w:r>
          </w:p>
        </w:tc>
      </w:tr>
      <w:tr>
        <w:tc>
          <w:tcPr>
            <w:tcW w:type="dxa" w:w="2835"/>
            <w:shd w:val="clear" w:color="auto" w:fill="EEF1F2"/>
          </w:tcPr>
          <w:p>
            <w:r>
              <w:rPr>
                <w:b/>
                <w:sz w:val="19"/>
              </w:rPr>
              <w:t>Droits (accès, rectification, opposition)</w:t>
            </w:r>
          </w:p>
        </w:tc>
        <w:tc>
          <w:tcPr>
            <w:tcW w:type="dxa" w:w="6576"/>
          </w:tcPr>
          <w:p>
            <w:r>
              <w:rPr>
                <w:sz w:val="19"/>
              </w:rPr>
              <w:t>Par e-mail à contact@cattelanitalia.ma ou par courrier au siège social</w:t>
            </w:r>
          </w:p>
        </w:tc>
      </w:tr>
      <w:tr>
        <w:tc>
          <w:tcPr>
            <w:tcW w:type="dxa" w:w="2835"/>
            <w:shd w:val="clear" w:color="auto" w:fill="EEF1F2"/>
          </w:tcPr>
          <w:p>
            <w:r>
              <w:rPr>
                <w:b/>
                <w:sz w:val="19"/>
              </w:rPr>
              <w:t>Sécurité</w:t>
            </w:r>
          </w:p>
        </w:tc>
        <w:tc>
          <w:tcPr>
            <w:tcW w:type="dxa" w:w="6576"/>
          </w:tcPr>
          <w:p>
            <w:r>
              <w:rPr>
                <w:sz w:val="19"/>
              </w:rPr>
              <w:t>Site en HTTPS ; demandes stockées dans l’hébergement Cloudflare, accessibles seulement aux comptes administrateurs authentifiés ; export CSV réservé aux administrateurs ; adresse IP jamais enregistrée en clair ; limitation du nombre d’envois</w:t>
            </w:r>
          </w:p>
        </w:tc>
      </w:tr>
      <w:tr>
        <w:tc>
          <w:tcPr>
            <w:tcW w:type="dxa" w:w="2835"/>
            <w:shd w:val="clear" w:color="auto" w:fill="EEF1F2"/>
          </w:tcPr>
          <w:p>
            <w:r>
              <w:rPr>
                <w:b/>
                <w:sz w:val="19"/>
              </w:rPr>
              <w:t>Interconnexion</w:t>
            </w:r>
          </w:p>
        </w:tc>
        <w:tc>
          <w:tcPr>
            <w:tcW w:type="dxa" w:w="6576"/>
          </w:tcPr>
          <w:p>
            <w:r>
              <w:rPr>
                <w:sz w:val="19"/>
              </w:rPr>
              <w:t>Aucune pour l’instant ; transmission future à l’outil de gestion client, à déclarer en modification</w:t>
            </w:r>
          </w:p>
        </w:tc>
      </w:tr>
    </w:tbl>
    <w:p/>
    <w:p>
      <w:pPr>
        <w:pStyle w:val="Heading2"/>
      </w:pPr>
      <w:r>
        <w:t>Lorsque l’outil de gestion client sera raccordé</w:t>
      </w:r>
    </w:p>
    <w:p>
      <w:r>
        <w:t>Déclarer une modification du traitement (nouveau sous-traitant, pays d’hébergement) et compléter la page Confidentialité, rubrique « Qui y a accès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3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3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A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