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Protected B</w:t>
      </w:r>
    </w:p>
    <w:p>
      <w:pPr>
        <w:pStyle w:val="Heading1"/>
      </w:pPr>
      <w:r>
        <w:t xml:space="preserve">HR CASE SUMMARY</w:t>
      </w:r>
    </w:p>
    <w:p>
      <w:r>
        <w:t xml:space="preserve">This briefing note summarizes an employee return-to-work plan, medical accommodation, diagnosis references, direct deposit reimbursement, and payroll overpayment details.</w:t>
      </w:r>
    </w:p>
    <w:p>
      <w:pPr>
        <w:pStyle w:val="Heading1"/>
      </w:pPr>
      <w:r>
        <w:t xml:space="preserve">DISCLOSURE IMPACT</w:t>
      </w:r>
    </w:p>
    <w:p>
      <w:r>
        <w:t xml:space="preserve">Unauthorized disclosure could cause serious injury to the employee through exposure of health, financial, and personnel file information. Distribution is restricted to labour relations and compensation advisors with a need to know.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Classification Assist test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protected-b-hr-case.docx</dc:title>
  <dc:creator>Classification Assist test</dc:creator>
</cp:coreProperties>
</file>