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Secret</w:t>
      </w:r>
    </w:p>
    <w:p>
      <w:pPr>
        <w:pStyle w:val="Heading1"/>
      </w:pPr>
      <w:r>
        <w:t xml:space="preserve">NATIONAL DEFENCE WATCH FLOOR</w:t>
      </w:r>
    </w:p>
    <w:p>
      <w:r>
        <w:t xml:space="preserve">The secure bridge schedule includes classified network fallback contacts, defence liaison readiness posture, and reporting line changes for a collection outage.</w:t>
      </w:r>
    </w:p>
    <w:p>
      <w:pPr>
        <w:pStyle w:val="Heading1"/>
      </w:pPr>
      <w:r>
        <w:t xml:space="preserve">HANDLING</w:t>
      </w:r>
    </w:p>
    <w:p>
      <w:r>
        <w:t xml:space="preserve">Compromise could cause serious injury to the national interest and defence operations. Distribution is restricted to a need-to-know audience.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>Classification Assist test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secret-national-brief.docx</dc:title>
  <dc:creator>Classification Assist test</dc:creator>
</cp:coreProperties>
</file>