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before="1600"/>
        <w:jc w:val="center"/>
      </w:pPr>
      <w:r>
        <w:rPr>
          <w:rFonts w:ascii="Arial" w:cs="Arial" w:eastAsia="Arial" w:hAnsi="Arial"/>
          <w:b/>
          <w:bCs/>
          <w:color w:val="1E3A5F"/>
          <w:sz w:val="80"/>
          <w:szCs w:val="80"/>
        </w:rPr>
        <w:t xml:space="preserve">MerkaERP</w:t>
      </w:r>
    </w:p>
    <w:p>
      <w:pPr>
        <w:spacing w:after="100" w:before="0"/>
        <w:jc w:val="center"/>
      </w:pPr>
      <w:r>
        <w:rPr>
          <w:rFonts w:ascii="Arial" w:cs="Arial" w:eastAsia="Arial" w:hAnsi="Arial"/>
          <w:b/>
          <w:bCs/>
          <w:color w:val="B45309"/>
          <w:sz w:val="44"/>
          <w:szCs w:val="44"/>
        </w:rPr>
        <w:t xml:space="preserve">Módulo Sector Público</w:t>
      </w:r>
    </w:p>
    <w:p>
      <w:pPr>
        <w:spacing w:after="100" w:before="0"/>
        <w:jc w:val="center"/>
      </w:pPr>
      <w:r>
        <w:rPr>
          <w:rFonts w:ascii="Arial" w:cs="Arial" w:eastAsia="Arial" w:hAnsi="Arial"/>
          <w:b/>
          <w:bCs/>
          <w:color w:val="1E293B"/>
          <w:sz w:val="32"/>
          <w:szCs w:val="32"/>
        </w:rPr>
        <w:t xml:space="preserve">Plan de Implementación Integral</w:t>
      </w:r>
    </w:p>
    <w:p>
      <w:pPr>
        <w:spacing w:after="500" w:before="0"/>
        <w:jc w:val="center"/>
      </w:pPr>
      <w:r>
        <w:rPr>
          <w:rFonts w:ascii="Arial" w:cs="Arial" w:eastAsia="Arial" w:hAnsi="Arial"/>
          <w:i/>
          <w:iCs/>
          <w:color w:val="64748B"/>
          <w:sz w:val="24"/>
          <w:szCs w:val="24"/>
        </w:rPr>
        <w:t xml:space="preserve">Alcaldías · Gobernaciones · Hospitales Públicos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Borders>
              <w:top w:val="single" w:color="CBD5E1" w:sz="1"/>
              <w:left w:val="single" w:color="CBD5E1" w:sz="1"/>
              <w:bottom w:val="single" w:color="CBD5E1" w:sz="1"/>
              <w:right w:val="single" w:color="CBD5E1" w:sz="1"/>
            </w:tcBorders>
            <w:shd w:fill="1E3A5F" w:val="clear"/>
            <w:tcMar>
              <w:top w:type="dxa" w:w="180"/>
              <w:left w:type="dxa" w:w="120"/>
              <w:bottom w:type="dxa" w:w="180"/>
              <w:right w:type="dxa" w:w="120"/>
            </w:tcMar>
          </w:tcPr>
          <w:p>
            <w:pPr>
              <w:jc w:val="center"/>
            </w:pPr>
            <w:r>
              <w:rPr>
                <w:rFonts w:ascii="Arial" w:cs="Arial" w:eastAsia="Arial" w:hAnsi="Arial"/>
                <w:b/>
                <w:bCs/>
                <w:color w:val="FFFFFF"/>
                <w:sz w:val="40"/>
                <w:szCs w:val="40"/>
              </w:rPr>
              <w:t xml:space="preserve">11</w:t>
            </w:r>
          </w:p>
          <w:p>
            <w:pPr>
              <w:jc w:val="center"/>
            </w:pPr>
            <w:r>
              <w:rPr>
                <w:rFonts w:ascii="Arial" w:cs="Arial" w:eastAsia="Arial" w:hAnsi="Arial"/>
                <w:color w:val="BAE6FD"/>
                <w:sz w:val="18"/>
                <w:szCs w:val="18"/>
              </w:rPr>
              <w:t xml:space="preserve">Macro-Sistemas</w:t>
            </w:r>
          </w:p>
        </w:tc>
        <w:tc>
          <w:tcPr>
            <w:tcBorders>
              <w:top w:val="single" w:color="CBD5E1" w:sz="1"/>
              <w:left w:val="single" w:color="CBD5E1" w:sz="1"/>
              <w:bottom w:val="single" w:color="CBD5E1" w:sz="1"/>
              <w:right w:val="single" w:color="CBD5E1" w:sz="1"/>
            </w:tcBorders>
            <w:shd w:fill="1E3A5F" w:val="clear"/>
            <w:tcMar>
              <w:top w:type="dxa" w:w="180"/>
              <w:left w:type="dxa" w:w="120"/>
              <w:bottom w:type="dxa" w:w="180"/>
              <w:right w:type="dxa" w:w="120"/>
            </w:tcMar>
          </w:tcPr>
          <w:p>
            <w:pPr>
              <w:jc w:val="center"/>
            </w:pPr>
            <w:r>
              <w:rPr>
                <w:rFonts w:ascii="Arial" w:cs="Arial" w:eastAsia="Arial" w:hAnsi="Arial"/>
                <w:b/>
                <w:bCs/>
                <w:color w:val="FFFFFF"/>
                <w:sz w:val="40"/>
                <w:szCs w:val="40"/>
              </w:rPr>
              <w:t xml:space="preserve">24+</w:t>
            </w:r>
          </w:p>
          <w:p>
            <w:pPr>
              <w:jc w:val="center"/>
            </w:pPr>
            <w:r>
              <w:rPr>
                <w:rFonts w:ascii="Arial" w:cs="Arial" w:eastAsia="Arial" w:hAnsi="Arial"/>
                <w:color w:val="BAE6FD"/>
                <w:sz w:val="18"/>
                <w:szCs w:val="18"/>
              </w:rPr>
              <w:t xml:space="preserve">Módulos clave</w:t>
            </w:r>
          </w:p>
        </w:tc>
        <w:tc>
          <w:tcPr>
            <w:tcBorders>
              <w:top w:val="single" w:color="CBD5E1" w:sz="1"/>
              <w:left w:val="single" w:color="CBD5E1" w:sz="1"/>
              <w:bottom w:val="single" w:color="CBD5E1" w:sz="1"/>
              <w:right w:val="single" w:color="CBD5E1" w:sz="1"/>
            </w:tcBorders>
            <w:shd w:fill="1E3A5F" w:val="clear"/>
            <w:tcMar>
              <w:top w:type="dxa" w:w="180"/>
              <w:left w:type="dxa" w:w="120"/>
              <w:bottom w:type="dxa" w:w="180"/>
              <w:right w:type="dxa" w:w="120"/>
            </w:tcMar>
          </w:tcPr>
          <w:p>
            <w:pPr>
              <w:jc w:val="center"/>
            </w:pPr>
            <w:r>
              <w:rPr>
                <w:rFonts w:ascii="Arial" w:cs="Arial" w:eastAsia="Arial" w:hAnsi="Arial"/>
                <w:b/>
                <w:bCs/>
                <w:color w:val="FFFFFF"/>
                <w:sz w:val="40"/>
                <w:szCs w:val="40"/>
              </w:rPr>
              <w:t xml:space="preserve">50+</w:t>
            </w:r>
          </w:p>
          <w:p>
            <w:pPr>
              <w:jc w:val="center"/>
            </w:pPr>
            <w:r>
              <w:rPr>
                <w:rFonts w:ascii="Arial" w:cs="Arial" w:eastAsia="Arial" w:hAnsi="Arial"/>
                <w:color w:val="BAE6FD"/>
                <w:sz w:val="18"/>
                <w:szCs w:val="18"/>
              </w:rPr>
              <w:t xml:space="preserve">Normas aplicadas</w:t>
            </w:r>
          </w:p>
        </w:tc>
        <w:tc>
          <w:tcPr>
            <w:tcBorders>
              <w:top w:val="single" w:color="CBD5E1" w:sz="1"/>
              <w:left w:val="single" w:color="CBD5E1" w:sz="1"/>
              <w:bottom w:val="single" w:color="CBD5E1" w:sz="1"/>
              <w:right w:val="single" w:color="CBD5E1" w:sz="1"/>
            </w:tcBorders>
            <w:shd w:fill="1E3A5F" w:val="clear"/>
            <w:tcMar>
              <w:top w:type="dxa" w:w="180"/>
              <w:left w:type="dxa" w:w="120"/>
              <w:bottom w:type="dxa" w:w="180"/>
              <w:right w:type="dxa" w:w="120"/>
            </w:tcMar>
          </w:tcPr>
          <w:p>
            <w:pPr>
              <w:jc w:val="center"/>
            </w:pPr>
            <w:r>
              <w:rPr>
                <w:rFonts w:ascii="Arial" w:cs="Arial" w:eastAsia="Arial" w:hAnsi="Arial"/>
                <w:b/>
                <w:bCs/>
                <w:color w:val="FFFFFF"/>
                <w:sz w:val="40"/>
                <w:szCs w:val="40"/>
              </w:rPr>
              <w:t xml:space="preserve">Colombia</w:t>
            </w:r>
          </w:p>
          <w:p>
            <w:pPr>
              <w:jc w:val="center"/>
            </w:pPr>
            <w:r>
              <w:rPr>
                <w:rFonts w:ascii="Arial" w:cs="Arial" w:eastAsia="Arial" w:hAnsi="Arial"/>
                <w:color w:val="BAE6FD"/>
                <w:sz w:val="18"/>
                <w:szCs w:val="18"/>
              </w:rPr>
              <w:t xml:space="preserve">Normativa</w:t>
            </w:r>
          </w:p>
        </w:tc>
      </w:tr>
    </w:tbl>
    <w:p>
      <w:pPr>
        <w:spacing w:after="0" w:before="160"/>
      </w:pPr>
      <w:r>
        <w:t xml:space="preserve"/>
      </w:r>
    </w:p>
    <w:p>
      <w:pPr>
        <w:jc w:val="center"/>
      </w:pPr>
      <w:r>
        <w:rPr>
          <w:rFonts w:ascii="Arial" w:cs="Arial" w:eastAsia="Arial" w:hAnsi="Arial"/>
          <w:color w:val="94A3B8"/>
          <w:sz w:val="20"/>
          <w:szCs w:val="20"/>
        </w:rPr>
        <w:t xml:space="preserve">Versión 1.1  ·  Julio 2026</w:t>
      </w:r>
    </w:p>
    <w:p>
      <w:r>
        <w:br w:type="page"/>
      </w:r>
    </w:p>
    <w:p>
      <w:pPr>
        <w:pStyle w:val="Heading1"/>
        <w:pBdr>
          <w:bottom w:val="single" w:color="1E3A5F" w:sz="8" w:space="4"/>
        </w:pBdr>
        <w:spacing w:after="200" w:before="480"/>
      </w:pPr>
      <w:r>
        <w:rPr>
          <w:rFonts w:ascii="Arial" w:cs="Arial" w:eastAsia="Arial" w:hAnsi="Arial"/>
          <w:b/>
          <w:bCs/>
          <w:color w:val="1E3A5F"/>
          <w:sz w:val="38"/>
          <w:szCs w:val="38"/>
        </w:rPr>
        <w:t xml:space="preserve">Resumen Ejecutivo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BD5E1" w:sz="1"/>
              <w:left w:val="single" w:color="CBD5E1" w:sz="1"/>
              <w:bottom w:val="single" w:color="CBD5E1" w:sz="1"/>
              <w:right w:val="single" w:color="CBD5E1" w:sz="1"/>
            </w:tcBorders>
            <w:shd w:fill="E0E7FF" w:val="clear"/>
            <w:tcMar>
              <w:top w:type="dxa" w:w="120"/>
              <w:left w:type="dxa" w:w="200"/>
              <w:bottom w:type="dxa" w:w="120"/>
              <w:right w:type="dxa" w:w="200"/>
            </w:tcMar>
          </w:tcPr>
          <w:p>
            <w:r>
              <w:rPr>
                <w:rFonts w:ascii="Arial" w:cs="Arial" w:eastAsia="Arial" w:hAnsi="Arial"/>
                <w:b/>
                <w:bCs/>
                <w:color w:val="3730A3"/>
                <w:sz w:val="21"/>
                <w:szCs w:val="21"/>
              </w:rPr>
              <w:t xml:space="preserve">🆕 Registro de cambios — v1.1 (Julio 2026)</w:t>
            </w:r>
          </w:p>
          <w:p>
            <w:pPr>
              <w:spacing w:after="0" w:before="40"/>
            </w:pPr>
            <w:r>
              <w:rPr>
                <w:rFonts w:ascii="Arial" w:cs="Arial" w:eastAsia="Arial" w:hAnsi="Arial"/>
                <w:color w:val="1E293B"/>
                <w:sz w:val="20"/>
                <w:szCs w:val="20"/>
              </w:rPr>
              <w:t xml:space="preserve">Se agregan cuatro macro-sistemas nuevos: Salud Pública y Facturación en Salud (RIPS, EPS, glosas), Sistema General de Regalías (SGR), Sistema General de Participaciones (SGP), y Transparencia y Control Disciplinario (Ley 1712/2014 y Ley 1952/2019).</w:t>
            </w:r>
          </w:p>
          <w:p>
            <w:pPr>
              <w:spacing w:after="0" w:before="40"/>
            </w:pPr>
            <w:r>
              <w:rPr>
                <w:rFonts w:ascii="Arial" w:cs="Arial" w:eastAsia="Arial" w:hAnsi="Arial"/>
                <w:color w:val="1E293B"/>
                <w:sz w:val="20"/>
                <w:szCs w:val="20"/>
              </w:rPr>
              <w:t xml:space="preserve">Se agrega la sección "Requisitos Arquitectónicos y de Habilitación": consolidación multi-entidad (NICSP 40), seguridad y habilitación (ISO 27001, MinTIC Gobierno Digital), migración de datos históricos, y roles y perfiles del sector público.</w:t>
            </w:r>
          </w:p>
          <w:p>
            <w:pPr>
              <w:spacing w:after="0" w:before="40"/>
            </w:pPr>
            <w:r>
              <w:rPr>
                <w:rFonts w:ascii="Arial" w:cs="Arial" w:eastAsia="Arial" w:hAnsi="Arial"/>
                <w:color w:val="1E293B"/>
                <w:sz w:val="20"/>
                <w:szCs w:val="20"/>
              </w:rPr>
              <w:t xml:space="preserve">Se agrega la sección "Validación de Mercado y Modelo Comercial": comprador real y proceso de licitación pública, y estimación de esfuerzo y costo total del proyecto.</w:t>
            </w:r>
          </w:p>
          <w:p>
            <w:pPr>
              <w:spacing w:after="0" w:before="40"/>
            </w:pPr>
            <w:r>
              <w:rPr>
                <w:rFonts w:ascii="Arial" w:cs="Arial" w:eastAsia="Arial" w:hAnsi="Arial"/>
                <w:color w:val="1E293B"/>
                <w:sz w:val="20"/>
                <w:szCs w:val="20"/>
              </w:rPr>
              <w:t xml:space="preserve">Estas adiciones responden a vacíos identificados tras la revisión de la v1.0: el documento original cubría el ciclo fiscal-administrativo general pero no desarrollaba la complejidad específica de hospitales, regalías, transferencias nacionales, ni los requisitos no funcionales de seguridad, migración y venta.</w:t>
            </w:r>
          </w:p>
        </w:tc>
      </w:tr>
    </w:tbl>
    <w:p>
      <w:pPr>
        <w:spacing w:after="0" w:before="80"/>
      </w:pPr>
      <w:r>
        <w:t xml:space="preserve"/>
      </w:r>
    </w:p>
    <w:p>
      <w:pPr>
        <w:spacing w:after="80" w:before="80"/>
      </w:pPr>
      <w:r>
        <w:rPr>
          <w:rFonts w:ascii="Arial" w:cs="Arial" w:eastAsia="Arial" w:hAnsi="Arial"/>
          <w:color w:val="1E293B"/>
          <w:sz w:val="22"/>
          <w:szCs w:val="22"/>
        </w:rPr>
        <w:t xml:space="preserve">Este documento define el plan técnico, normativo y funcional para transformar MerkaERP en un sistema de gestión pública de clase enterprise, capaz de operar como ERP oficial de alcaldías, gobernaciones, hospitales y demás entidades del sector público colombiano.</w:t>
      </w:r>
    </w:p>
    <w:p>
      <w:pPr>
        <w:spacing w:after="0" w:before="80"/>
      </w:pPr>
      <w:r>
        <w:t xml:space="preserve"/>
      </w:r>
    </w:p>
    <w:p>
      <w:pPr>
        <w:spacing w:after="80" w:before="80"/>
      </w:pPr>
      <w:r>
        <w:rPr>
          <w:rFonts w:ascii="Arial" w:cs="Arial" w:eastAsia="Arial" w:hAnsi="Arial"/>
          <w:color w:val="1E293B"/>
          <w:sz w:val="22"/>
          <w:szCs w:val="22"/>
        </w:rPr>
        <w:t xml:space="preserve">La diferencia entre un ERP comercial y uno del sector público no es de escala, es de naturaleza jurídica. El Estado colombiano no compra, licita. No vende, recauda. No contrata libremente, debe ceñirse a la Ley 80 de 1993. No registra en NIIF comerciales, registra bajo NICSP según la Resolución 533 de 2015. Cada peso que entra o sale debe quedar trazado, justificado y disponible para auditoría en cualquier momento.</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2400"/>
        <w:gridCol w:w="1760"/>
      </w:tblGrid>
      <w:tr>
        <w:trPr>
          <w:tblHeader/>
        </w:trPr>
        <w:tc>
          <w:tcPr>
            <w:tcW w:type="dxa" w:w="2400"/>
            <w:tcBorders>
              <w:top w:val="single" w:color="CBD5E1" w:sz="1"/>
              <w:left w:val="single" w:color="CBD5E1" w:sz="1"/>
              <w:bottom w:val="single" w:color="CBD5E1" w:sz="1"/>
              <w:right w:val="single" w:color="CBD5E1" w:sz="1"/>
            </w:tcBorders>
            <w:shd w:fill="1E3A5F"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Macro-Sistema</w:t>
            </w:r>
          </w:p>
        </w:tc>
        <w:tc>
          <w:tcPr>
            <w:tcW w:type="dxa" w:w="2800"/>
            <w:tcBorders>
              <w:top w:val="single" w:color="CBD5E1" w:sz="1"/>
              <w:left w:val="single" w:color="CBD5E1" w:sz="1"/>
              <w:bottom w:val="single" w:color="CBD5E1" w:sz="1"/>
              <w:right w:val="single" w:color="CBD5E1" w:sz="1"/>
            </w:tcBorders>
            <w:shd w:fill="1E3A5F"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Función Principal</w:t>
            </w:r>
          </w:p>
        </w:tc>
        <w:tc>
          <w:tcPr>
            <w:tcW w:type="dxa" w:w="2400"/>
            <w:tcBorders>
              <w:top w:val="single" w:color="CBD5E1" w:sz="1"/>
              <w:left w:val="single" w:color="CBD5E1" w:sz="1"/>
              <w:bottom w:val="single" w:color="CBD5E1" w:sz="1"/>
              <w:right w:val="single" w:color="CBD5E1" w:sz="1"/>
            </w:tcBorders>
            <w:shd w:fill="1E3A5F"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Norma Rectora</w:t>
            </w:r>
          </w:p>
        </w:tc>
        <w:tc>
          <w:tcPr>
            <w:tcW w:type="dxa" w:w="1760"/>
            <w:tcBorders>
              <w:top w:val="single" w:color="CBD5E1" w:sz="1"/>
              <w:left w:val="single" w:color="CBD5E1" w:sz="1"/>
              <w:bottom w:val="single" w:color="CBD5E1" w:sz="1"/>
              <w:right w:val="single" w:color="CBD5E1" w:sz="1"/>
            </w:tcBorders>
            <w:shd w:fill="1E3A5F"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Complejidad</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1. Planeación y Proyectos</w:t>
            </w:r>
          </w:p>
        </w:tc>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Plan de Desarrollo + Banco de Proyectos MGA</w:t>
            </w:r>
          </w:p>
        </w:tc>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Ley 152/1994, DNP-MGA</w:t>
            </w:r>
          </w:p>
        </w:tc>
        <w:tc>
          <w:tcPr>
            <w:tcW w:type="dxa" w:w="1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 Alta</w:t>
            </w:r>
          </w:p>
        </w:tc>
      </w:tr>
      <w:tr>
        <w:tc>
          <w:tcPr>
            <w:tcW w:type="dxa" w:w="24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Arial" w:cs="Arial" w:eastAsia="Arial" w:hAnsi="Arial"/>
                <w:color w:val="1E293B"/>
                <w:sz w:val="20"/>
                <w:szCs w:val="20"/>
              </w:rPr>
              <w:t xml:space="preserve">2. Sistema Financiero Integrado</w:t>
            </w:r>
          </w:p>
        </w:tc>
        <w:tc>
          <w:tcPr>
            <w:tcW w:type="dxa" w:w="28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Arial" w:cs="Arial" w:eastAsia="Arial" w:hAnsi="Arial"/>
                <w:color w:val="1E293B"/>
                <w:sz w:val="20"/>
                <w:szCs w:val="20"/>
              </w:rPr>
              <w:t xml:space="preserve">Presupuesto · Tesorería · Contabilidad NICSP</w:t>
            </w:r>
          </w:p>
        </w:tc>
        <w:tc>
          <w:tcPr>
            <w:tcW w:type="dxa" w:w="24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Arial" w:cs="Arial" w:eastAsia="Arial" w:hAnsi="Arial"/>
                <w:color w:val="1E293B"/>
                <w:sz w:val="20"/>
                <w:szCs w:val="20"/>
              </w:rPr>
              <w:t xml:space="preserve">Decreto 111/1996, Res. 533/2015</w:t>
            </w:r>
          </w:p>
        </w:tc>
        <w:tc>
          <w:tcPr>
            <w:tcW w:type="dxa" w:w="176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Arial" w:cs="Arial" w:eastAsia="Arial" w:hAnsi="Arial"/>
                <w:color w:val="1E293B"/>
                <w:sz w:val="20"/>
                <w:szCs w:val="20"/>
              </w:rPr>
              <w:t xml:space="preserve">🔴 Crítica</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3. Rentas y Tributos</w:t>
            </w:r>
          </w:p>
        </w:tc>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Predial · ICA · Cobro Coactivo</w:t>
            </w:r>
          </w:p>
        </w:tc>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Ley 44/1990, ET Arts. 823-843</w:t>
            </w:r>
          </w:p>
        </w:tc>
        <w:tc>
          <w:tcPr>
            <w:tcW w:type="dxa" w:w="1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 Alta</w:t>
            </w:r>
          </w:p>
        </w:tc>
      </w:tr>
      <w:tr>
        <w:tc>
          <w:tcPr>
            <w:tcW w:type="dxa" w:w="24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Arial" w:cs="Arial" w:eastAsia="Arial" w:hAnsi="Arial"/>
                <w:color w:val="1E293B"/>
                <w:sz w:val="20"/>
                <w:szCs w:val="20"/>
              </w:rPr>
              <w:t xml:space="preserve">4. Contratación Pública</w:t>
            </w:r>
          </w:p>
        </w:tc>
        <w:tc>
          <w:tcPr>
            <w:tcW w:type="dxa" w:w="28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Arial" w:cs="Arial" w:eastAsia="Arial" w:hAnsi="Arial"/>
                <w:color w:val="1E293B"/>
                <w:sz w:val="20"/>
                <w:szCs w:val="20"/>
              </w:rPr>
              <w:t xml:space="preserve">Ciclo contractual completo + SECOP II</w:t>
            </w:r>
          </w:p>
        </w:tc>
        <w:tc>
          <w:tcPr>
            <w:tcW w:type="dxa" w:w="24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Arial" w:cs="Arial" w:eastAsia="Arial" w:hAnsi="Arial"/>
                <w:color w:val="1E293B"/>
                <w:sz w:val="20"/>
                <w:szCs w:val="20"/>
              </w:rPr>
              <w:t xml:space="preserve">Ley 80/1993, Ley 1150/2007</w:t>
            </w:r>
          </w:p>
        </w:tc>
        <w:tc>
          <w:tcPr>
            <w:tcW w:type="dxa" w:w="176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Arial" w:cs="Arial" w:eastAsia="Arial" w:hAnsi="Arial"/>
                <w:color w:val="1E293B"/>
                <w:sz w:val="20"/>
                <w:szCs w:val="20"/>
              </w:rPr>
              <w:t xml:space="preserve">🔴 Alta</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5. Nómina Pública</w:t>
            </w:r>
          </w:p>
        </w:tc>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Regímenes especiales + retroactivos + PILA</w:t>
            </w:r>
          </w:p>
        </w:tc>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Decreto 1042/1978, Ley 4/1992</w:t>
            </w:r>
          </w:p>
        </w:tc>
        <w:tc>
          <w:tcPr>
            <w:tcW w:type="dxa" w:w="1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 Alta</w:t>
            </w:r>
          </w:p>
        </w:tc>
      </w:tr>
      <w:tr>
        <w:tc>
          <w:tcPr>
            <w:tcW w:type="dxa" w:w="24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Arial" w:cs="Arial" w:eastAsia="Arial" w:hAnsi="Arial"/>
                <w:color w:val="1E293B"/>
                <w:sz w:val="20"/>
                <w:szCs w:val="20"/>
              </w:rPr>
              <w:t xml:space="preserve">6. Almacén y Activos del Estado</w:t>
            </w:r>
          </w:p>
        </w:tc>
        <w:tc>
          <w:tcPr>
            <w:tcW w:type="dxa" w:w="28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Arial" w:cs="Arial" w:eastAsia="Arial" w:hAnsi="Arial"/>
                <w:color w:val="1E293B"/>
                <w:sz w:val="20"/>
                <w:szCs w:val="20"/>
              </w:rPr>
              <w:t xml:space="preserve">Bienes institucionales vs. uso público + depreciación NICSP</w:t>
            </w:r>
          </w:p>
        </w:tc>
        <w:tc>
          <w:tcPr>
            <w:tcW w:type="dxa" w:w="24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Arial" w:cs="Arial" w:eastAsia="Arial" w:hAnsi="Arial"/>
                <w:color w:val="1E293B"/>
                <w:sz w:val="20"/>
                <w:szCs w:val="20"/>
              </w:rPr>
              <w:t xml:space="preserve">Res. 533/2015 CGN, NICSP 17</w:t>
            </w:r>
          </w:p>
        </w:tc>
        <w:tc>
          <w:tcPr>
            <w:tcW w:type="dxa" w:w="176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Arial" w:cs="Arial" w:eastAsia="Arial" w:hAnsi="Arial"/>
                <w:color w:val="1E293B"/>
                <w:sz w:val="20"/>
                <w:szCs w:val="20"/>
              </w:rPr>
              <w:t xml:space="preserve">🟠 Media</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7. Trazabilidad y Rendición de Cuentas</w:t>
            </w:r>
          </w:p>
        </w:tc>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Auditoría forense + archivos planos CHIP/SIA/SIIF</w:t>
            </w:r>
          </w:p>
        </w:tc>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Ley 87/1993, Circular CGN 2024</w:t>
            </w:r>
          </w:p>
        </w:tc>
        <w:tc>
          <w:tcPr>
            <w:tcW w:type="dxa" w:w="1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 Crítica</w:t>
            </w:r>
          </w:p>
        </w:tc>
      </w:tr>
    </w:tbl>
    <w:p>
      <w:r>
        <w:br w:type="page"/>
      </w:r>
    </w:p>
    <w:p>
      <w:pPr>
        <w:pStyle w:val="Heading1"/>
        <w:pBdr>
          <w:bottom w:val="single" w:color="1E3A5F" w:sz="8" w:space="4"/>
        </w:pBdr>
        <w:spacing w:after="200" w:before="480"/>
      </w:pPr>
      <w:r>
        <w:rPr>
          <w:rFonts w:ascii="Arial" w:cs="Arial" w:eastAsia="Arial" w:hAnsi="Arial"/>
          <w:b/>
          <w:bCs/>
          <w:color w:val="1E3A5F"/>
          <w:sz w:val="38"/>
          <w:szCs w:val="38"/>
        </w:rPr>
        <w:t xml:space="preserve">Macro-Sistema 1 — Planeación y Proyectos</w:t>
      </w:r>
    </w:p>
    <w:p>
      <w:pPr>
        <w:spacing w:after="80" w:before="80"/>
      </w:pPr>
      <w:r>
        <w:rPr>
          <w:rFonts w:ascii="Arial" w:cs="Arial" w:eastAsia="Arial" w:hAnsi="Arial"/>
          <w:color w:val="1E293B"/>
          <w:sz w:val="22"/>
          <w:szCs w:val="22"/>
        </w:rPr>
        <w:t xml:space="preserve">Antes de que exista un peso de presupuesto, existe un compromiso político: el Plan de Desarrollo Territorial (PDT). Todo el gasto público debe estar amarrado a una meta del PDT. Este macro-sistema es el origen de toda la cadena de valor del Estado.</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BD5E1" w:sz="1"/>
              <w:left w:val="single" w:color="CBD5E1" w:sz="1"/>
              <w:bottom w:val="single" w:color="CBD5E1" w:sz="1"/>
              <w:right w:val="single" w:color="CBD5E1" w:sz="1"/>
            </w:tcBorders>
            <w:shd w:fill="FEF3C7" w:val="clear"/>
            <w:tcMar>
              <w:top w:type="dxa" w:w="120"/>
              <w:left w:type="dxa" w:w="200"/>
              <w:bottom w:type="dxa" w:w="120"/>
              <w:right w:type="dxa" w:w="200"/>
            </w:tcMar>
          </w:tcPr>
          <w:p>
            <w:r>
              <w:rPr>
                <w:rFonts w:ascii="Arial" w:cs="Arial" w:eastAsia="Arial" w:hAnsi="Arial"/>
                <w:b/>
                <w:bCs/>
                <w:color w:val="B45309"/>
                <w:sz w:val="21"/>
                <w:szCs w:val="21"/>
              </w:rPr>
              <w:t xml:space="preserve">📋 Ley 152 de 1994 — Ley Orgánica del Plan de Desarrollo</w:t>
            </w:r>
          </w:p>
          <w:p>
            <w:pPr>
              <w:spacing w:after="0" w:before="40"/>
            </w:pPr>
            <w:r>
              <w:rPr>
                <w:rFonts w:ascii="Arial" w:cs="Arial" w:eastAsia="Arial" w:hAnsi="Arial"/>
                <w:color w:val="1E293B"/>
                <w:sz w:val="20"/>
                <w:szCs w:val="20"/>
              </w:rPr>
              <w:t xml:space="preserve">Establece los procedimientos y mecanismos para elaborar, aprobar, ejecutar, hacer seguimiento, evaluar y controlar los planes de desarrollo. Obliga a todas las entidades territoriales a tener un Plan de Desarrollo cuatrienal articulado con el Plan Nacional.</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BD5E1" w:sz="1"/>
              <w:left w:val="single" w:color="CBD5E1" w:sz="1"/>
              <w:bottom w:val="single" w:color="CBD5E1" w:sz="1"/>
              <w:right w:val="single" w:color="CBD5E1" w:sz="1"/>
            </w:tcBorders>
            <w:shd w:fill="FEF3C7" w:val="clear"/>
            <w:tcMar>
              <w:top w:type="dxa" w:w="120"/>
              <w:left w:type="dxa" w:w="200"/>
              <w:bottom w:type="dxa" w:w="120"/>
              <w:right w:type="dxa" w:w="200"/>
            </w:tcMar>
          </w:tcPr>
          <w:p>
            <w:r>
              <w:rPr>
                <w:rFonts w:ascii="Arial" w:cs="Arial" w:eastAsia="Arial" w:hAnsi="Arial"/>
                <w:b/>
                <w:bCs/>
                <w:color w:val="B45309"/>
                <w:sz w:val="21"/>
                <w:szCs w:val="21"/>
              </w:rPr>
              <w:t xml:space="preserve">📋 Metodología General Ajustada (MGA) — DNP</w:t>
            </w:r>
          </w:p>
          <w:p>
            <w:pPr>
              <w:spacing w:after="0" w:before="40"/>
            </w:pPr>
            <w:r>
              <w:rPr>
                <w:rFonts w:ascii="Arial" w:cs="Arial" w:eastAsia="Arial" w:hAnsi="Arial"/>
                <w:color w:val="1E293B"/>
                <w:sz w:val="20"/>
                <w:szCs w:val="20"/>
              </w:rPr>
              <w:t xml:space="preserve">Herramienta obligatoria del Departamento Nacional de Planeación para la formulación, registro y seguimiento de proyectos de inversión pública. Todo proyecto que quiera acceder a presupuesto de inversión debe estar registrado en el Banco de Proyectos mediante la MGA.</w:t>
            </w:r>
          </w:p>
        </w:tc>
      </w:tr>
    </w:tbl>
    <w:p>
      <w:pPr>
        <w:spacing w:after="0" w:before="80"/>
      </w:pPr>
      <w:r>
        <w:t xml:space="preserve"/>
      </w:r>
    </w:p>
    <w:p>
      <w:pPr>
        <w:pStyle w:val="Heading2"/>
        <w:spacing w:after="140" w:before="320"/>
      </w:pPr>
      <w:r>
        <w:rPr>
          <w:rFonts w:ascii="Arial" w:cs="Arial" w:eastAsia="Arial" w:hAnsi="Arial"/>
          <w:b/>
          <w:bCs/>
          <w:color w:val="1E3A5F"/>
          <w:sz w:val="28"/>
          <w:szCs w:val="28"/>
        </w:rPr>
        <w:t xml:space="preserve">1.1 Módulo de Plan de Desarrollo Territorial (PDT)</w:t>
      </w:r>
    </w:p>
    <w:p>
      <w:pPr>
        <w:spacing w:after="80" w:before="80"/>
      </w:pPr>
      <w:r>
        <w:rPr>
          <w:rFonts w:ascii="Arial" w:cs="Arial" w:eastAsia="Arial" w:hAnsi="Arial"/>
          <w:color w:val="1E293B"/>
          <w:sz w:val="22"/>
          <w:szCs w:val="22"/>
        </w:rPr>
        <w:t xml:space="preserve">Permite cargar y gestionar el PDT cuatrienal de la entidad, definiendo los programas, subprogramas y metas que guiarán la inversión durante el período de gobierno.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400"/>
        <w:gridCol w:w="2760"/>
      </w:tblGrid>
      <w:tr>
        <w:trPr>
          <w:tblHeader/>
        </w:trPr>
        <w:tc>
          <w:tcPr>
            <w:tcW w:type="dxa" w:w="2200"/>
            <w:tcBorders>
              <w:top w:val="single" w:color="CBD5E1" w:sz="1"/>
              <w:left w:val="single" w:color="CBD5E1" w:sz="1"/>
              <w:bottom w:val="single" w:color="CBD5E1" w:sz="1"/>
              <w:right w:val="single" w:color="CBD5E1" w:sz="1"/>
            </w:tcBorders>
            <w:shd w:fill="1E3A5F"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Función</w:t>
            </w:r>
          </w:p>
        </w:tc>
        <w:tc>
          <w:tcPr>
            <w:tcW w:type="dxa" w:w="4400"/>
            <w:tcBorders>
              <w:top w:val="single" w:color="CBD5E1" w:sz="1"/>
              <w:left w:val="single" w:color="CBD5E1" w:sz="1"/>
              <w:bottom w:val="single" w:color="CBD5E1" w:sz="1"/>
              <w:right w:val="single" w:color="CBD5E1" w:sz="1"/>
            </w:tcBorders>
            <w:shd w:fill="1E3A5F"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Descripción técnica</w:t>
            </w:r>
          </w:p>
        </w:tc>
        <w:tc>
          <w:tcPr>
            <w:tcW w:type="dxa" w:w="2760"/>
            <w:tcBorders>
              <w:top w:val="single" w:color="CBD5E1" w:sz="1"/>
              <w:left w:val="single" w:color="CBD5E1" w:sz="1"/>
              <w:bottom w:val="single" w:color="CBD5E1" w:sz="1"/>
              <w:right w:val="single" w:color="CBD5E1" w:sz="1"/>
            </w:tcBorders>
            <w:shd w:fill="1E3A5F"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Dato clave</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Carga del PDT</w:t>
            </w:r>
          </w:p>
        </w:tc>
        <w:tc>
          <w:tcPr>
            <w:tcW w:type="dxa" w:w="4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Importación desde Excel/XML de ejes, programas, subprogramas, metas e indicadores</w:t>
            </w:r>
          </w:p>
        </w:tc>
        <w:tc>
          <w:tcPr>
            <w:tcW w:type="dxa" w:w="2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Estructura jerárquica de 4 niveles</w:t>
            </w:r>
          </w:p>
        </w:tc>
      </w:tr>
      <w:tr>
        <w:tc>
          <w:tcPr>
            <w:tcW w:type="dxa" w:w="22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Arial" w:cs="Arial" w:eastAsia="Arial" w:hAnsi="Arial"/>
                <w:color w:val="1E293B"/>
                <w:sz w:val="20"/>
                <w:szCs w:val="20"/>
              </w:rPr>
              <w:t xml:space="preserve">Indicadores de resultado</w:t>
            </w:r>
          </w:p>
        </w:tc>
        <w:tc>
          <w:tcPr>
            <w:tcW w:type="dxa" w:w="44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Arial" w:cs="Arial" w:eastAsia="Arial" w:hAnsi="Arial"/>
                <w:color w:val="1E293B"/>
                <w:sz w:val="20"/>
                <w:szCs w:val="20"/>
              </w:rPr>
              <w:t xml:space="preserve">Metas de producto y resultado con línea base, valor meta y periodicidad</w:t>
            </w:r>
          </w:p>
        </w:tc>
        <w:tc>
          <w:tcPr>
            <w:tcW w:type="dxa" w:w="276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Arial" w:cs="Arial" w:eastAsia="Arial" w:hAnsi="Arial"/>
                <w:color w:val="1E293B"/>
                <w:sz w:val="20"/>
                <w:szCs w:val="20"/>
              </w:rPr>
              <w:t xml:space="preserve">Tipos: acumulado, no acumulado, último dato</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Seguimiento físico</w:t>
            </w:r>
          </w:p>
        </w:tc>
        <w:tc>
          <w:tcPr>
            <w:tcW w:type="dxa" w:w="4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Registro de avances por período (trimestral/semestral) con % de cumplimiento</w:t>
            </w:r>
          </w:p>
        </w:tc>
        <w:tc>
          <w:tcPr>
            <w:tcW w:type="dxa" w:w="2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Alertas semáforo: verde/amarillo/rojo</w:t>
            </w:r>
          </w:p>
        </w:tc>
      </w:tr>
      <w:tr>
        <w:tc>
          <w:tcPr>
            <w:tcW w:type="dxa" w:w="22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Arial" w:cs="Arial" w:eastAsia="Arial" w:hAnsi="Arial"/>
                <w:color w:val="1E293B"/>
                <w:sz w:val="20"/>
                <w:szCs w:val="20"/>
              </w:rPr>
              <w:t xml:space="preserve">Seguimiento financiero</w:t>
            </w:r>
          </w:p>
        </w:tc>
        <w:tc>
          <w:tcPr>
            <w:tcW w:type="dxa" w:w="44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Arial" w:cs="Arial" w:eastAsia="Arial" w:hAnsi="Arial"/>
                <w:color w:val="1E293B"/>
                <w:sz w:val="20"/>
                <w:szCs w:val="20"/>
              </w:rPr>
              <w:t xml:space="preserve">Vinculación de cada meta con sus apropiaciones presupuestales reales</w:t>
            </w:r>
          </w:p>
        </w:tc>
        <w:tc>
          <w:tcPr>
            <w:tcW w:type="dxa" w:w="276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Arial" w:cs="Arial" w:eastAsia="Arial" w:hAnsi="Arial"/>
                <w:color w:val="1E293B"/>
                <w:sz w:val="20"/>
                <w:szCs w:val="20"/>
              </w:rPr>
              <w:t xml:space="preserve">Cruce automático con módulo de presupuesto</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Reportes SISMEG</w:t>
            </w:r>
          </w:p>
        </w:tc>
        <w:tc>
          <w:tcPr>
            <w:tcW w:type="dxa" w:w="4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Generación de reportes en formato del Sistema de Seguimiento a Metas de Gobierno</w:t>
            </w:r>
          </w:p>
        </w:tc>
        <w:tc>
          <w:tcPr>
            <w:tcW w:type="dxa" w:w="2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Requerido para rendición de cuentas</w:t>
            </w:r>
          </w:p>
        </w:tc>
      </w:tr>
    </w:tbl>
    <w:p>
      <w:pPr>
        <w:spacing w:after="0" w:before="80"/>
      </w:pPr>
      <w:r>
        <w:t xml:space="preserve"/>
      </w:r>
    </w:p>
    <w:p>
      <w:pPr>
        <w:pStyle w:val="Heading2"/>
        <w:spacing w:after="140" w:before="320"/>
      </w:pPr>
      <w:r>
        <w:rPr>
          <w:rFonts w:ascii="Arial" w:cs="Arial" w:eastAsia="Arial" w:hAnsi="Arial"/>
          <w:b/>
          <w:bCs/>
          <w:color w:val="1E3A5F"/>
          <w:sz w:val="28"/>
          <w:szCs w:val="28"/>
        </w:rPr>
        <w:t xml:space="preserve">1.2 Banco de Proyectos — Integración MGA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4500"/>
        <w:gridCol w:w="2360"/>
      </w:tblGrid>
      <w:tr>
        <w:trPr>
          <w:tblHeader/>
        </w:trPr>
        <w:tc>
          <w:tcPr>
            <w:tcW w:type="dxa" w:w="2500"/>
            <w:tcBorders>
              <w:top w:val="single" w:color="CBD5E1" w:sz="1"/>
              <w:left w:val="single" w:color="CBD5E1" w:sz="1"/>
              <w:bottom w:val="single" w:color="CBD5E1" w:sz="1"/>
              <w:right w:val="single" w:color="CBD5E1" w:sz="1"/>
            </w:tcBorders>
            <w:shd w:fill="1E3A5F"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Campo MGA</w:t>
            </w:r>
          </w:p>
        </w:tc>
        <w:tc>
          <w:tcPr>
            <w:tcW w:type="dxa" w:w="4500"/>
            <w:tcBorders>
              <w:top w:val="single" w:color="CBD5E1" w:sz="1"/>
              <w:left w:val="single" w:color="CBD5E1" w:sz="1"/>
              <w:bottom w:val="single" w:color="CBD5E1" w:sz="1"/>
              <w:right w:val="single" w:color="CBD5E1" w:sz="1"/>
            </w:tcBorders>
            <w:shd w:fill="1E3A5F"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Descripción</w:t>
            </w:r>
          </w:p>
        </w:tc>
        <w:tc>
          <w:tcPr>
            <w:tcW w:type="dxa" w:w="2360"/>
            <w:tcBorders>
              <w:top w:val="single" w:color="CBD5E1" w:sz="1"/>
              <w:left w:val="single" w:color="CBD5E1" w:sz="1"/>
              <w:bottom w:val="single" w:color="CBD5E1" w:sz="1"/>
              <w:right w:val="single" w:color="CBD5E1" w:sz="1"/>
            </w:tcBorders>
            <w:shd w:fill="1E3A5F"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Obligatorio</w:t>
            </w:r>
          </w:p>
        </w:tc>
      </w:tr>
      <w:tr>
        <w:tc>
          <w:tcPr>
            <w:tcW w:type="dxa" w:w="2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Identificación del proyecto</w:t>
            </w:r>
          </w:p>
        </w:tc>
        <w:tc>
          <w:tcPr>
            <w:tcW w:type="dxa" w:w="4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Nombre, código BPIN, sector, subsector, entidad ejecutora</w:t>
            </w:r>
          </w:p>
        </w:tc>
        <w:tc>
          <w:tcPr>
            <w:tcW w:type="dxa" w:w="2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Sí</w:t>
            </w:r>
          </w:p>
        </w:tc>
      </w:tr>
      <w:tr>
        <w:tc>
          <w:tcPr>
            <w:tcW w:type="dxa" w:w="25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Arial" w:cs="Arial" w:eastAsia="Arial" w:hAnsi="Arial"/>
                <w:color w:val="1E293B"/>
                <w:sz w:val="20"/>
                <w:szCs w:val="20"/>
              </w:rPr>
              <w:t xml:space="preserve">Problema central</w:t>
            </w:r>
          </w:p>
        </w:tc>
        <w:tc>
          <w:tcPr>
            <w:tcW w:type="dxa" w:w="45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Arial" w:cs="Arial" w:eastAsia="Arial" w:hAnsi="Arial"/>
                <w:color w:val="1E293B"/>
                <w:sz w:val="20"/>
                <w:szCs w:val="20"/>
              </w:rPr>
              <w:t xml:space="preserve">Árbol de problemas con causas y efectos</w:t>
            </w:r>
          </w:p>
        </w:tc>
        <w:tc>
          <w:tcPr>
            <w:tcW w:type="dxa" w:w="236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Arial" w:cs="Arial" w:eastAsia="Arial" w:hAnsi="Arial"/>
                <w:color w:val="1E293B"/>
                <w:sz w:val="20"/>
                <w:szCs w:val="20"/>
              </w:rPr>
              <w:t xml:space="preserve">Sí</w:t>
            </w:r>
          </w:p>
        </w:tc>
      </w:tr>
      <w:tr>
        <w:tc>
          <w:tcPr>
            <w:tcW w:type="dxa" w:w="2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Objetivos y alternativas</w:t>
            </w:r>
          </w:p>
        </w:tc>
        <w:tc>
          <w:tcPr>
            <w:tcW w:type="dxa" w:w="4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Árbol de objetivos, alternativas de solución y criterios de selección</w:t>
            </w:r>
          </w:p>
        </w:tc>
        <w:tc>
          <w:tcPr>
            <w:tcW w:type="dxa" w:w="2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Sí</w:t>
            </w:r>
          </w:p>
        </w:tc>
      </w:tr>
      <w:tr>
        <w:tc>
          <w:tcPr>
            <w:tcW w:type="dxa" w:w="25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Arial" w:cs="Arial" w:eastAsia="Arial" w:hAnsi="Arial"/>
                <w:color w:val="1E293B"/>
                <w:sz w:val="20"/>
                <w:szCs w:val="20"/>
              </w:rPr>
              <w:t xml:space="preserve">Estudio de mercado</w:t>
            </w:r>
          </w:p>
        </w:tc>
        <w:tc>
          <w:tcPr>
            <w:tcW w:type="dxa" w:w="45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Arial" w:cs="Arial" w:eastAsia="Arial" w:hAnsi="Arial"/>
                <w:color w:val="1E293B"/>
                <w:sz w:val="20"/>
                <w:szCs w:val="20"/>
              </w:rPr>
              <w:t xml:space="preserve">Análisis de oferta y demanda, población objetivo</w:t>
            </w:r>
          </w:p>
        </w:tc>
        <w:tc>
          <w:tcPr>
            <w:tcW w:type="dxa" w:w="236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Arial" w:cs="Arial" w:eastAsia="Arial" w:hAnsi="Arial"/>
                <w:color w:val="1E293B"/>
                <w:sz w:val="20"/>
                <w:szCs w:val="20"/>
              </w:rPr>
              <w:t xml:space="preserve">Sí</w:t>
            </w:r>
          </w:p>
        </w:tc>
      </w:tr>
      <w:tr>
        <w:tc>
          <w:tcPr>
            <w:tcW w:type="dxa" w:w="2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Cadena de valor</w:t>
            </w:r>
          </w:p>
        </w:tc>
        <w:tc>
          <w:tcPr>
            <w:tcW w:type="dxa" w:w="4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Actividades → Productos → Efectos → Impacto</w:t>
            </w:r>
          </w:p>
        </w:tc>
        <w:tc>
          <w:tcPr>
            <w:tcW w:type="dxa" w:w="2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Sí</w:t>
            </w:r>
          </w:p>
        </w:tc>
      </w:tr>
      <w:tr>
        <w:tc>
          <w:tcPr>
            <w:tcW w:type="dxa" w:w="25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Arial" w:cs="Arial" w:eastAsia="Arial" w:hAnsi="Arial"/>
                <w:color w:val="1E293B"/>
                <w:sz w:val="20"/>
                <w:szCs w:val="20"/>
              </w:rPr>
              <w:t xml:space="preserve">Presupuesto del proyecto</w:t>
            </w:r>
          </w:p>
        </w:tc>
        <w:tc>
          <w:tcPr>
            <w:tcW w:type="dxa" w:w="45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Arial" w:cs="Arial" w:eastAsia="Arial" w:hAnsi="Arial"/>
                <w:color w:val="1E293B"/>
                <w:sz w:val="20"/>
                <w:szCs w:val="20"/>
              </w:rPr>
              <w:t xml:space="preserve">Costos de inversión y operación por año, fuentes de financiación</w:t>
            </w:r>
          </w:p>
        </w:tc>
        <w:tc>
          <w:tcPr>
            <w:tcW w:type="dxa" w:w="236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Arial" w:cs="Arial" w:eastAsia="Arial" w:hAnsi="Arial"/>
                <w:color w:val="1E293B"/>
                <w:sz w:val="20"/>
                <w:szCs w:val="20"/>
              </w:rPr>
              <w:t xml:space="preserve">Sí</w:t>
            </w:r>
          </w:p>
        </w:tc>
      </w:tr>
      <w:tr>
        <w:tc>
          <w:tcPr>
            <w:tcW w:type="dxa" w:w="2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Indicadores de producto</w:t>
            </w:r>
          </w:p>
        </w:tc>
        <w:tc>
          <w:tcPr>
            <w:tcW w:type="dxa" w:w="4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Unidades a entregar, meta física por vigencia</w:t>
            </w:r>
          </w:p>
        </w:tc>
        <w:tc>
          <w:tcPr>
            <w:tcW w:type="dxa" w:w="2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Sí</w:t>
            </w:r>
          </w:p>
        </w:tc>
      </w:tr>
      <w:tr>
        <w:tc>
          <w:tcPr>
            <w:tcW w:type="dxa" w:w="25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Arial" w:cs="Arial" w:eastAsia="Arial" w:hAnsi="Arial"/>
                <w:color w:val="1E293B"/>
                <w:sz w:val="20"/>
                <w:szCs w:val="20"/>
              </w:rPr>
              <w:t xml:space="preserve">Vinculación al PDT</w:t>
            </w:r>
          </w:p>
        </w:tc>
        <w:tc>
          <w:tcPr>
            <w:tcW w:type="dxa" w:w="45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Arial" w:cs="Arial" w:eastAsia="Arial" w:hAnsi="Arial"/>
                <w:color w:val="1E293B"/>
                <w:sz w:val="20"/>
                <w:szCs w:val="20"/>
              </w:rPr>
              <w:t xml:space="preserve">Programa y subprograma del Plan de Desarrollo al que aporta</w:t>
            </w:r>
          </w:p>
        </w:tc>
        <w:tc>
          <w:tcPr>
            <w:tcW w:type="dxa" w:w="236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Arial" w:cs="Arial" w:eastAsia="Arial" w:hAnsi="Arial"/>
                <w:color w:val="1E293B"/>
                <w:sz w:val="20"/>
                <w:szCs w:val="20"/>
              </w:rPr>
              <w:t xml:space="preserve">Sí</w:t>
            </w:r>
          </w:p>
        </w:tc>
      </w:tr>
    </w:tbl>
    <w:p>
      <w:pPr>
        <w:spacing w:after="0" w:before="80"/>
      </w:pPr>
      <w:r>
        <w:t xml:space="preserve"/>
      </w:r>
    </w:p>
    <w:p>
      <w:pPr>
        <w:pStyle w:val="Heading2"/>
        <w:spacing w:after="140" w:before="320"/>
      </w:pPr>
      <w:r>
        <w:rPr>
          <w:rFonts w:ascii="Arial" w:cs="Arial" w:eastAsia="Arial" w:hAnsi="Arial"/>
          <w:b/>
          <w:bCs/>
          <w:color w:val="1E3A5F"/>
          <w:sz w:val="28"/>
          <w:szCs w:val="28"/>
        </w:rPr>
        <w:t xml:space="preserve">1.3 Motor de Trazabilidad Plan-Presupuesto-Resultado</w:t>
      </w:r>
    </w:p>
    <w:p>
      <w:pPr>
        <w:spacing w:after="80" w:before="80"/>
      </w:pPr>
      <w:r>
        <w:rPr>
          <w:rFonts w:ascii="Arial" w:cs="Arial" w:eastAsia="Arial" w:hAnsi="Arial"/>
          <w:color w:val="1E293B"/>
          <w:sz w:val="22"/>
          <w:szCs w:val="22"/>
        </w:rPr>
        <w:t xml:space="preserve">La regla de oro del sector público es que no puede existir gasto sin plan. El sistema implementa esta regla de forma técnica:</w:t>
      </w:r>
    </w:p>
    <w:p>
      <w:pPr>
        <w:pStyle w:val="ListParagraph"/>
        <w:numPr>
          <w:ilvl w:val="0"/>
          <w:numId w:val="2"/>
        </w:numPr>
        <w:spacing w:after="60" w:before="60"/>
      </w:pPr>
      <w:r>
        <w:rPr>
          <w:rFonts w:ascii="Arial" w:cs="Arial" w:eastAsia="Arial" w:hAnsi="Arial"/>
          <w:color w:val="1E293B"/>
          <w:sz w:val="21"/>
          <w:szCs w:val="21"/>
        </w:rPr>
        <w:t xml:space="preserve">Cada rubro presupuestal debe estar vinculado a un proyecto del Banco de Proyectos</w:t>
      </w:r>
    </w:p>
    <w:p>
      <w:pPr>
        <w:pStyle w:val="ListParagraph"/>
        <w:numPr>
          <w:ilvl w:val="0"/>
          <w:numId w:val="2"/>
        </w:numPr>
        <w:spacing w:after="60" w:before="60"/>
      </w:pPr>
      <w:r>
        <w:rPr>
          <w:rFonts w:ascii="Arial" w:cs="Arial" w:eastAsia="Arial" w:hAnsi="Arial"/>
          <w:color w:val="1E293B"/>
          <w:sz w:val="21"/>
          <w:szCs w:val="21"/>
        </w:rPr>
        <w:t xml:space="preserve">Cada CDP, RP y obligación genera automáticamente una actualización del avance financiero del proyecto</w:t>
      </w:r>
    </w:p>
    <w:p>
      <w:pPr>
        <w:pStyle w:val="ListParagraph"/>
        <w:numPr>
          <w:ilvl w:val="0"/>
          <w:numId w:val="2"/>
        </w:numPr>
        <w:spacing w:after="60" w:before="60"/>
      </w:pPr>
      <w:r>
        <w:rPr>
          <w:rFonts w:ascii="Arial" w:cs="Arial" w:eastAsia="Arial" w:hAnsi="Arial"/>
          <w:color w:val="1E293B"/>
          <w:sz w:val="21"/>
          <w:szCs w:val="21"/>
        </w:rPr>
        <w:t xml:space="preserve">El dashboard ejecutivo muestra en tiempo real: % de ejecución física vs. % de ejecución financiera</w:t>
      </w:r>
    </w:p>
    <w:p>
      <w:pPr>
        <w:pStyle w:val="ListParagraph"/>
        <w:numPr>
          <w:ilvl w:val="0"/>
          <w:numId w:val="2"/>
        </w:numPr>
        <w:spacing w:after="60" w:before="60"/>
      </w:pPr>
      <w:r>
        <w:rPr>
          <w:rFonts w:ascii="Arial" w:cs="Arial" w:eastAsia="Arial" w:hAnsi="Arial"/>
          <w:color w:val="1E293B"/>
          <w:sz w:val="21"/>
          <w:szCs w:val="21"/>
        </w:rPr>
        <w:t xml:space="preserve">Alerta de desviación: si la ejecución financiera supera la física en más del 20%, el sistema alerta al jefe de planeación</w:t>
      </w:r>
    </w:p>
    <w:p>
      <w:pPr>
        <w:spacing w:after="0" w:before="80"/>
      </w:pPr>
      <w:r>
        <w:t xml:space="preserve"/>
      </w:r>
    </w:p>
    <w:p>
      <w:r>
        <w:br w:type="page"/>
      </w:r>
    </w:p>
    <w:p>
      <w:pPr>
        <w:pStyle w:val="Heading1"/>
        <w:pBdr>
          <w:bottom w:val="single" w:color="1E3A5F" w:sz="8" w:space="4"/>
        </w:pBdr>
        <w:spacing w:after="200" w:before="480"/>
      </w:pPr>
      <w:r>
        <w:rPr>
          <w:rFonts w:ascii="Arial" w:cs="Arial" w:eastAsia="Arial" w:hAnsi="Arial"/>
          <w:b/>
          <w:bCs/>
          <w:color w:val="1E3A5F"/>
          <w:sz w:val="38"/>
          <w:szCs w:val="38"/>
        </w:rPr>
        <w:t xml:space="preserve">Macro-Sistema 2 — Sistema Financiero Integrado</w:t>
      </w:r>
    </w:p>
    <w:p>
      <w:pPr>
        <w:spacing w:after="80" w:before="80"/>
      </w:pPr>
      <w:r>
        <w:rPr>
          <w:rFonts w:ascii="Arial" w:cs="Arial" w:eastAsia="Arial" w:hAnsi="Arial"/>
          <w:color w:val="1E293B"/>
          <w:sz w:val="22"/>
          <w:szCs w:val="22"/>
        </w:rPr>
        <w:t xml:space="preserve">Este es el corazón operativo del ERP público. Gestiona el ciclo presupuestal completo, la tesorería y la contabilidad pública bajo normas NICSP, tres subsistemas que deben operar como uno solo.</w:t>
      </w:r>
    </w:p>
    <w:p>
      <w:pPr>
        <w:spacing w:after="0" w:before="80"/>
      </w:pPr>
      <w:r>
        <w:t xml:space="preserve"/>
      </w:r>
    </w:p>
    <w:p>
      <w:pPr>
        <w:pStyle w:val="Heading2"/>
        <w:spacing w:after="140" w:before="320"/>
      </w:pPr>
      <w:r>
        <w:rPr>
          <w:rFonts w:ascii="Arial" w:cs="Arial" w:eastAsia="Arial" w:hAnsi="Arial"/>
          <w:b/>
          <w:bCs/>
          <w:color w:val="1E3A5F"/>
          <w:sz w:val="28"/>
          <w:szCs w:val="28"/>
        </w:rPr>
        <w:t xml:space="preserve">2.1 Presupuesto Público — El Flujo Inquebrantable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BD5E1" w:sz="1"/>
              <w:left w:val="single" w:color="CBD5E1" w:sz="1"/>
              <w:bottom w:val="single" w:color="CBD5E1" w:sz="1"/>
              <w:right w:val="single" w:color="CBD5E1" w:sz="1"/>
            </w:tcBorders>
            <w:shd w:fill="FEF3C7" w:val="clear"/>
            <w:tcMar>
              <w:top w:type="dxa" w:w="120"/>
              <w:left w:type="dxa" w:w="200"/>
              <w:bottom w:type="dxa" w:w="120"/>
              <w:right w:type="dxa" w:w="200"/>
            </w:tcMar>
          </w:tcPr>
          <w:p>
            <w:r>
              <w:rPr>
                <w:rFonts w:ascii="Arial" w:cs="Arial" w:eastAsia="Arial" w:hAnsi="Arial"/>
                <w:b/>
                <w:bCs/>
                <w:color w:val="B45309"/>
                <w:sz w:val="21"/>
                <w:szCs w:val="21"/>
              </w:rPr>
              <w:t xml:space="preserve">📋 Decreto 111 de 1996 — Estatuto Orgánico del Presupuesto (EOP)</w:t>
            </w:r>
          </w:p>
          <w:p>
            <w:pPr>
              <w:spacing w:after="0" w:before="40"/>
            </w:pPr>
            <w:r>
              <w:rPr>
                <w:rFonts w:ascii="Arial" w:cs="Arial" w:eastAsia="Arial" w:hAnsi="Arial"/>
                <w:color w:val="1E293B"/>
                <w:sz w:val="20"/>
                <w:szCs w:val="20"/>
              </w:rPr>
              <w:t xml:space="preserve">Compila las Leyes 38/1989, 179/1994 y 225/1995. Es la norma suprema en materia presupuestal. Define los principios del sistema presupuestal: planificación, anualidad, universalidad, unidad de caja, programación integral, especialización, inembargabilidad, coherencia macroeconómica y sostenibilidad fiscal. Ningún gasto puede ejecutarse sin seguir este flujo.</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BD5E1" w:sz="1"/>
              <w:left w:val="single" w:color="CBD5E1" w:sz="1"/>
              <w:bottom w:val="single" w:color="CBD5E1" w:sz="1"/>
              <w:right w:val="single" w:color="CBD5E1" w:sz="1"/>
            </w:tcBorders>
            <w:shd w:fill="FEE2E2" w:val="clear"/>
            <w:tcMar>
              <w:top w:type="dxa" w:w="120"/>
              <w:left w:type="dxa" w:w="200"/>
              <w:bottom w:type="dxa" w:w="120"/>
              <w:right w:type="dxa" w:w="200"/>
            </w:tcMar>
          </w:tcPr>
          <w:p>
            <w:r>
              <w:rPr>
                <w:rFonts w:ascii="Arial" w:cs="Arial" w:eastAsia="Arial" w:hAnsi="Arial"/>
                <w:b/>
                <w:bCs/>
                <w:color w:val="991B1B"/>
                <w:sz w:val="21"/>
                <w:szCs w:val="21"/>
              </w:rPr>
              <w:t xml:space="preserve">⚠️ Flujo presupuestal obligatorio — Artículo 71, Decreto 111/1996</w:t>
            </w:r>
          </w:p>
          <w:p>
            <w:pPr>
              <w:spacing w:after="0" w:before="40"/>
            </w:pPr>
            <w:r>
              <w:rPr>
                <w:rFonts w:ascii="Arial" w:cs="Arial" w:eastAsia="Arial" w:hAnsi="Arial"/>
                <w:color w:val="1E293B"/>
                <w:sz w:val="20"/>
                <w:szCs w:val="20"/>
              </w:rPr>
              <w:t xml:space="preserve">APROPIACIÓN → CDP → RP → OBLIGACIÓN → PAGO</w:t>
            </w:r>
          </w:p>
          <w:p>
            <w:pPr>
              <w:spacing w:after="0" w:before="40"/>
            </w:pPr>
            <w:r>
              <w:rPr>
                <w:rFonts w:ascii="Arial" w:cs="Arial" w:eastAsia="Arial" w:hAnsi="Arial"/>
                <w:color w:val="1E293B"/>
                <w:sz w:val="20"/>
                <w:szCs w:val="20"/>
              </w:rPr>
              <w:t xml:space="preserve"/>
            </w:r>
          </w:p>
          <w:p>
            <w:pPr>
              <w:spacing w:after="0" w:before="40"/>
            </w:pPr>
            <w:r>
              <w:rPr>
                <w:rFonts w:ascii="Arial" w:cs="Arial" w:eastAsia="Arial" w:hAnsi="Arial"/>
                <w:color w:val="1E293B"/>
                <w:sz w:val="20"/>
                <w:szCs w:val="20"/>
              </w:rPr>
              <w:t xml:space="preserve">1. APROPIACIÓN: Autorización del gasto aprobada en el presupuesto anual por el Concejo/Asamblea.</w:t>
            </w:r>
          </w:p>
          <w:p>
            <w:pPr>
              <w:spacing w:after="0" w:before="40"/>
            </w:pPr>
            <w:r>
              <w:rPr>
                <w:rFonts w:ascii="Arial" w:cs="Arial" w:eastAsia="Arial" w:hAnsi="Arial"/>
                <w:color w:val="1E293B"/>
                <w:sz w:val="20"/>
                <w:szCs w:val="20"/>
              </w:rPr>
              <w:t xml:space="preserve">2. CDP (Certificado de Disponibilidad Presupuestal): Certifica que hay recursos disponibles. Afecta temporalmente el presupuesto. Requisito PREVIO a cualquier proceso de selección o contrato.</w:t>
            </w:r>
          </w:p>
          <w:p>
            <w:pPr>
              <w:spacing w:after="0" w:before="40"/>
            </w:pPr>
            <w:r>
              <w:rPr>
                <w:rFonts w:ascii="Arial" w:cs="Arial" w:eastAsia="Arial" w:hAnsi="Arial"/>
                <w:color w:val="1E293B"/>
                <w:sz w:val="20"/>
                <w:szCs w:val="20"/>
              </w:rPr>
              <w:t xml:space="preserve">3. RP (Registro Presupuestal): Compromete definitivamente los recursos. Se expide DESPUÉS de suscrito el contrato. Requisito de ejecución (Art. 41, Ley 80/1993).</w:t>
            </w:r>
          </w:p>
          <w:p>
            <w:pPr>
              <w:spacing w:after="0" w:before="40"/>
            </w:pPr>
            <w:r>
              <w:rPr>
                <w:rFonts w:ascii="Arial" w:cs="Arial" w:eastAsia="Arial" w:hAnsi="Arial"/>
                <w:color w:val="1E293B"/>
                <w:sz w:val="20"/>
                <w:szCs w:val="20"/>
              </w:rPr>
              <w:t xml:space="preserve">4. OBLIGACIÓN: El contratista entregó o el bien/servicio se prestó. Se reconoce la deuda.</w:t>
            </w:r>
          </w:p>
          <w:p>
            <w:pPr>
              <w:spacing w:after="0" w:before="40"/>
            </w:pPr>
            <w:r>
              <w:rPr>
                <w:rFonts w:ascii="Arial" w:cs="Arial" w:eastAsia="Arial" w:hAnsi="Arial"/>
                <w:color w:val="1E293B"/>
                <w:sz w:val="20"/>
                <w:szCs w:val="20"/>
              </w:rPr>
              <w:t xml:space="preserve">5. PAGO: Transferencia efectiva de recursos. Solo procede si hay cupo PAC disponible.</w:t>
            </w:r>
          </w:p>
          <w:p>
            <w:pPr>
              <w:spacing w:after="0" w:before="40"/>
            </w:pPr>
            <w:r>
              <w:rPr>
                <w:rFonts w:ascii="Arial" w:cs="Arial" w:eastAsia="Arial" w:hAnsi="Arial"/>
                <w:color w:val="1E293B"/>
                <w:sz w:val="20"/>
                <w:szCs w:val="20"/>
              </w:rPr>
              <w:t xml:space="preserve"/>
            </w:r>
          </w:p>
          <w:p>
            <w:pPr>
              <w:spacing w:after="0" w:before="40"/>
            </w:pPr>
            <w:r>
              <w:rPr>
                <w:rFonts w:ascii="Arial" w:cs="Arial" w:eastAsia="Arial" w:hAnsi="Arial"/>
                <w:color w:val="1E293B"/>
                <w:sz w:val="20"/>
                <w:szCs w:val="20"/>
              </w:rPr>
              <w:t xml:space="preserve">El incumplimiento de este flujo genera responsabilidad disciplinaria, penal y fiscal del funcionario (Art. 71, EOP).</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3000"/>
        <w:gridCol w:w="2160"/>
      </w:tblGrid>
      <w:tr>
        <w:trPr>
          <w:tblHeader/>
        </w:trPr>
        <w:tc>
          <w:tcPr>
            <w:tcW w:type="dxa" w:w="2200"/>
            <w:tcBorders>
              <w:top w:val="single" w:color="CBD5E1" w:sz="1"/>
              <w:left w:val="single" w:color="CBD5E1" w:sz="1"/>
              <w:bottom w:val="single" w:color="CBD5E1" w:sz="1"/>
              <w:right w:val="single" w:color="CBD5E1" w:sz="1"/>
            </w:tcBorders>
            <w:shd w:fill="1E3A5F"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Transacción</w:t>
            </w:r>
          </w:p>
        </w:tc>
        <w:tc>
          <w:tcPr>
            <w:tcW w:type="dxa" w:w="2000"/>
            <w:tcBorders>
              <w:top w:val="single" w:color="CBD5E1" w:sz="1"/>
              <w:left w:val="single" w:color="CBD5E1" w:sz="1"/>
              <w:bottom w:val="single" w:color="CBD5E1" w:sz="1"/>
              <w:right w:val="single" w:color="CBD5E1" w:sz="1"/>
            </w:tcBorders>
            <w:shd w:fill="1E3A5F"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Norma</w:t>
            </w:r>
          </w:p>
        </w:tc>
        <w:tc>
          <w:tcPr>
            <w:tcW w:type="dxa" w:w="3000"/>
            <w:tcBorders>
              <w:top w:val="single" w:color="CBD5E1" w:sz="1"/>
              <w:left w:val="single" w:color="CBD5E1" w:sz="1"/>
              <w:bottom w:val="single" w:color="CBD5E1" w:sz="1"/>
              <w:right w:val="single" w:color="CBD5E1" w:sz="1"/>
            </w:tcBorders>
            <w:shd w:fill="1E3A5F"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Validación del sistema</w:t>
            </w:r>
          </w:p>
        </w:tc>
        <w:tc>
          <w:tcPr>
            <w:tcW w:type="dxa" w:w="2160"/>
            <w:tcBorders>
              <w:top w:val="single" w:color="CBD5E1" w:sz="1"/>
              <w:left w:val="single" w:color="CBD5E1" w:sz="1"/>
              <w:bottom w:val="single" w:color="CBD5E1" w:sz="1"/>
              <w:right w:val="single" w:color="CBD5E1" w:sz="1"/>
            </w:tcBorders>
            <w:shd w:fill="1E3A5F"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Asiento automático NICSP</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Expedición CDP</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Art. 71 EOP</w:t>
            </w:r>
          </w:p>
        </w:tc>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Verificar disponibilidad real en el rubro. Bloquear si no hay saldo.</w:t>
            </w:r>
          </w:p>
        </w:tc>
        <w:tc>
          <w:tcPr>
            <w:tcW w:type="dxa" w:w="2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Nota presupuestal — no contable</w:t>
            </w:r>
          </w:p>
        </w:tc>
      </w:tr>
      <w:tr>
        <w:tc>
          <w:tcPr>
            <w:tcW w:type="dxa" w:w="22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Arial" w:cs="Arial" w:eastAsia="Arial" w:hAnsi="Arial"/>
                <w:color w:val="1E293B"/>
                <w:sz w:val="20"/>
                <w:szCs w:val="20"/>
              </w:rPr>
              <w:t xml:space="preserve">Expedición RP</w:t>
            </w:r>
          </w:p>
        </w:tc>
        <w:tc>
          <w:tcPr>
            <w:tcW w:type="dxa" w:w="20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Arial" w:cs="Arial" w:eastAsia="Arial" w:hAnsi="Arial"/>
                <w:color w:val="1E293B"/>
                <w:sz w:val="20"/>
                <w:szCs w:val="20"/>
              </w:rPr>
              <w:t xml:space="preserve">Art. 41 Ley 80/1993</w:t>
            </w:r>
          </w:p>
        </w:tc>
        <w:tc>
          <w:tcPr>
            <w:tcW w:type="dxa" w:w="30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Arial" w:cs="Arial" w:eastAsia="Arial" w:hAnsi="Arial"/>
                <w:color w:val="1E293B"/>
                <w:sz w:val="20"/>
                <w:szCs w:val="20"/>
              </w:rPr>
              <w:t xml:space="preserve">Requerir número de contrato registrado. Reducir disponibilidad del CDP.</w:t>
            </w:r>
          </w:p>
        </w:tc>
        <w:tc>
          <w:tcPr>
            <w:tcW w:type="dxa" w:w="216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Arial" w:cs="Arial" w:eastAsia="Arial" w:hAnsi="Arial"/>
                <w:color w:val="1E293B"/>
                <w:sz w:val="20"/>
                <w:szCs w:val="20"/>
              </w:rPr>
              <w:t xml:space="preserve">Nota presupuestal — no contable</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Registro obligación</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NICSP 19</w:t>
            </w:r>
          </w:p>
        </w:tc>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Verificar acta de recibo a satisfacción o factura válida.</w:t>
            </w:r>
          </w:p>
        </w:tc>
        <w:tc>
          <w:tcPr>
            <w:tcW w:type="dxa" w:w="2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Db: Gasto / Cr: Cuentas por pagar</w:t>
            </w:r>
          </w:p>
        </w:tc>
      </w:tr>
      <w:tr>
        <w:tc>
          <w:tcPr>
            <w:tcW w:type="dxa" w:w="22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Arial" w:cs="Arial" w:eastAsia="Arial" w:hAnsi="Arial"/>
                <w:color w:val="1E293B"/>
                <w:sz w:val="20"/>
                <w:szCs w:val="20"/>
              </w:rPr>
              <w:t xml:space="preserve">Pago</w:t>
            </w:r>
          </w:p>
        </w:tc>
        <w:tc>
          <w:tcPr>
            <w:tcW w:type="dxa" w:w="20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Arial" w:cs="Arial" w:eastAsia="Arial" w:hAnsi="Arial"/>
                <w:color w:val="1E293B"/>
                <w:sz w:val="20"/>
                <w:szCs w:val="20"/>
              </w:rPr>
              <w:t xml:space="preserve">Art. 74 EOP (PAC)</w:t>
            </w:r>
          </w:p>
        </w:tc>
        <w:tc>
          <w:tcPr>
            <w:tcW w:type="dxa" w:w="30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Arial" w:cs="Arial" w:eastAsia="Arial" w:hAnsi="Arial"/>
                <w:color w:val="1E293B"/>
                <w:sz w:val="20"/>
                <w:szCs w:val="20"/>
              </w:rPr>
              <w:t xml:space="preserve">Verificar cupo PAC del mes. Bloquear si PAC insuficiente.</w:t>
            </w:r>
          </w:p>
        </w:tc>
        <w:tc>
          <w:tcPr>
            <w:tcW w:type="dxa" w:w="216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Arial" w:cs="Arial" w:eastAsia="Arial" w:hAnsi="Arial"/>
                <w:color w:val="1E293B"/>
                <w:sz w:val="20"/>
                <w:szCs w:val="20"/>
              </w:rPr>
              <w:t xml:space="preserve">Db: Cuentas por pagar / Cr: Banco</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Cierre vigencia</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Art. 89 EOP</w:t>
            </w:r>
          </w:p>
        </w:tc>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Calcular reservas y cuentas por pagar al 31-dic.</w:t>
            </w:r>
          </w:p>
        </w:tc>
        <w:tc>
          <w:tcPr>
            <w:tcW w:type="dxa" w:w="2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Ajustes de cierre NICSP</w:t>
            </w:r>
          </w:p>
        </w:tc>
      </w:tr>
      <w:tr>
        <w:tc>
          <w:tcPr>
            <w:tcW w:type="dxa" w:w="22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Arial" w:cs="Arial" w:eastAsia="Arial" w:hAnsi="Arial"/>
                <w:color w:val="1E293B"/>
                <w:sz w:val="20"/>
                <w:szCs w:val="20"/>
              </w:rPr>
              <w:t xml:space="preserve">Vigencias futuras</w:t>
            </w:r>
          </w:p>
        </w:tc>
        <w:tc>
          <w:tcPr>
            <w:tcW w:type="dxa" w:w="20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Arial" w:cs="Arial" w:eastAsia="Arial" w:hAnsi="Arial"/>
                <w:color w:val="1E293B"/>
                <w:sz w:val="20"/>
                <w:szCs w:val="20"/>
              </w:rPr>
              <w:t xml:space="preserve">Art. 23 EOP mod. Ley 819/2003</w:t>
            </w:r>
          </w:p>
        </w:tc>
        <w:tc>
          <w:tcPr>
            <w:tcW w:type="dxa" w:w="30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Arial" w:cs="Arial" w:eastAsia="Arial" w:hAnsi="Arial"/>
                <w:color w:val="1E293B"/>
                <w:sz w:val="20"/>
                <w:szCs w:val="20"/>
              </w:rPr>
              <w:t xml:space="preserve">Requerir autorización del Confis/MFMP. Registrar en años siguientes.</w:t>
            </w:r>
          </w:p>
        </w:tc>
        <w:tc>
          <w:tcPr>
            <w:tcW w:type="dxa" w:w="216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Arial" w:cs="Arial" w:eastAsia="Arial" w:hAnsi="Arial"/>
                <w:color w:val="1E293B"/>
                <w:sz w:val="20"/>
                <w:szCs w:val="20"/>
              </w:rPr>
              <w:t xml:space="preserve">Compromiso plurianual</w:t>
            </w:r>
          </w:p>
        </w:tc>
      </w:tr>
    </w:tbl>
    <w:p>
      <w:pPr>
        <w:spacing w:after="0" w:before="80"/>
      </w:pPr>
      <w:r>
        <w:t xml:space="preserve"/>
      </w:r>
    </w:p>
    <w:p>
      <w:pPr>
        <w:pStyle w:val="Heading2"/>
        <w:spacing w:after="140" w:before="320"/>
      </w:pPr>
      <w:r>
        <w:rPr>
          <w:rFonts w:ascii="Arial" w:cs="Arial" w:eastAsia="Arial" w:hAnsi="Arial"/>
          <w:b/>
          <w:bCs/>
          <w:color w:val="1E3A5F"/>
          <w:sz w:val="28"/>
          <w:szCs w:val="28"/>
        </w:rPr>
        <w:t xml:space="preserve">2.2 Tesorería y Programa Anual Mensualizado de Caja (PAC)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BD5E1" w:sz="1"/>
              <w:left w:val="single" w:color="CBD5E1" w:sz="1"/>
              <w:bottom w:val="single" w:color="CBD5E1" w:sz="1"/>
              <w:right w:val="single" w:color="CBD5E1" w:sz="1"/>
            </w:tcBorders>
            <w:shd w:fill="FEF3C7" w:val="clear"/>
            <w:tcMar>
              <w:top w:type="dxa" w:w="120"/>
              <w:left w:type="dxa" w:w="200"/>
              <w:bottom w:type="dxa" w:w="120"/>
              <w:right w:type="dxa" w:w="200"/>
            </w:tcMar>
          </w:tcPr>
          <w:p>
            <w:r>
              <w:rPr>
                <w:rFonts w:ascii="Arial" w:cs="Arial" w:eastAsia="Arial" w:hAnsi="Arial"/>
                <w:b/>
                <w:bCs/>
                <w:color w:val="B45309"/>
                <w:sz w:val="21"/>
                <w:szCs w:val="21"/>
              </w:rPr>
              <w:t xml:space="preserve">📋 Artículo 74, Decreto 111/1996 — PAC</w:t>
            </w:r>
          </w:p>
          <w:p>
            <w:pPr>
              <w:spacing w:after="0" w:before="40"/>
            </w:pPr>
            <w:r>
              <w:rPr>
                <w:rFonts w:ascii="Arial" w:cs="Arial" w:eastAsia="Arial" w:hAnsi="Arial"/>
                <w:color w:val="1E293B"/>
                <w:sz w:val="20"/>
                <w:szCs w:val="20"/>
              </w:rPr>
              <w:t xml:space="preserve">El PAC es el instrumento mediante el cual se define el monto MÁXIMO mensual de fondos disponibles para realizar pagos. Ningún pago puede hacerse si no hay cupo PAC aprobado para ese mes. El incumplimiento del PAC es causal de mala conducta.</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600"/>
        <w:gridCol w:w="3560"/>
      </w:tblGrid>
      <w:tr>
        <w:trPr>
          <w:tblHeader/>
        </w:trPr>
        <w:tc>
          <w:tcPr>
            <w:tcW w:type="dxa" w:w="2200"/>
            <w:tcBorders>
              <w:top w:val="single" w:color="CBD5E1" w:sz="1"/>
              <w:left w:val="single" w:color="CBD5E1" w:sz="1"/>
              <w:bottom w:val="single" w:color="CBD5E1" w:sz="1"/>
              <w:right w:val="single" w:color="CBD5E1" w:sz="1"/>
            </w:tcBorders>
            <w:shd w:fill="1E3A5F"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Función PAC</w:t>
            </w:r>
          </w:p>
        </w:tc>
        <w:tc>
          <w:tcPr>
            <w:tcW w:type="dxa" w:w="3600"/>
            <w:tcBorders>
              <w:top w:val="single" w:color="CBD5E1" w:sz="1"/>
              <w:left w:val="single" w:color="CBD5E1" w:sz="1"/>
              <w:bottom w:val="single" w:color="CBD5E1" w:sz="1"/>
              <w:right w:val="single" w:color="CBD5E1" w:sz="1"/>
            </w:tcBorders>
            <w:shd w:fill="1E3A5F"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Descripción</w:t>
            </w:r>
          </w:p>
        </w:tc>
        <w:tc>
          <w:tcPr>
            <w:tcW w:type="dxa" w:w="3560"/>
            <w:tcBorders>
              <w:top w:val="single" w:color="CBD5E1" w:sz="1"/>
              <w:left w:val="single" w:color="CBD5E1" w:sz="1"/>
              <w:bottom w:val="single" w:color="CBD5E1" w:sz="1"/>
              <w:right w:val="single" w:color="CBD5E1" w:sz="1"/>
            </w:tcBorders>
            <w:shd w:fill="1E3A5F"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Detalle normativo</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Programación mensual</w:t>
            </w:r>
          </w:p>
        </w:tc>
        <w:tc>
          <w:tcPr>
            <w:tcW w:type="dxa" w:w="3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Cada área define necesidades de pago por mes. Tesorería consolida y solicita aprobación.</w:t>
            </w:r>
          </w:p>
        </w:tc>
        <w:tc>
          <w:tcPr>
            <w:tcW w:type="dxa" w:w="3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Art. 74-75 Decreto 111/1996</w:t>
            </w:r>
          </w:p>
        </w:tc>
      </w:tr>
      <w:tr>
        <w:tc>
          <w:tcPr>
            <w:tcW w:type="dxa" w:w="22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Arial" w:cs="Arial" w:eastAsia="Arial" w:hAnsi="Arial"/>
                <w:color w:val="1E293B"/>
                <w:sz w:val="20"/>
                <w:szCs w:val="20"/>
              </w:rPr>
              <w:t xml:space="preserve">Control en tiempo real</w:t>
            </w:r>
          </w:p>
        </w:tc>
        <w:tc>
          <w:tcPr>
            <w:tcW w:type="dxa" w:w="36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Arial" w:cs="Arial" w:eastAsia="Arial" w:hAnsi="Arial"/>
                <w:color w:val="1E293B"/>
                <w:sz w:val="20"/>
                <w:szCs w:val="20"/>
              </w:rPr>
              <w:t xml:space="preserve">El sistema bloquea pagos que superen el cupo PAC del mes en curso.</w:t>
            </w:r>
          </w:p>
        </w:tc>
        <w:tc>
          <w:tcPr>
            <w:tcW w:type="dxa" w:w="356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Arial" w:cs="Arial" w:eastAsia="Arial" w:hAnsi="Arial"/>
                <w:color w:val="1E293B"/>
                <w:sz w:val="20"/>
                <w:szCs w:val="20"/>
              </w:rPr>
              <w:t xml:space="preserve">Principio de Unidad de Caja, Art. 16 EOP</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Modificación PAC</w:t>
            </w:r>
          </w:p>
        </w:tc>
        <w:tc>
          <w:tcPr>
            <w:tcW w:type="dxa" w:w="3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Traslados entre meses dentro del mismo año. Requiere acto administrativo.</w:t>
            </w:r>
          </w:p>
        </w:tc>
        <w:tc>
          <w:tcPr>
            <w:tcW w:type="dxa" w:w="3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Art. 76 Decreto 111/1996</w:t>
            </w:r>
          </w:p>
        </w:tc>
      </w:tr>
      <w:tr>
        <w:tc>
          <w:tcPr>
            <w:tcW w:type="dxa" w:w="22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Arial" w:cs="Arial" w:eastAsia="Arial" w:hAnsi="Arial"/>
                <w:color w:val="1E293B"/>
                <w:sz w:val="20"/>
                <w:szCs w:val="20"/>
              </w:rPr>
              <w:t xml:space="preserve">Embargos judiciales</w:t>
            </w:r>
          </w:p>
        </w:tc>
        <w:tc>
          <w:tcPr>
            <w:tcW w:type="dxa" w:w="36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Arial" w:cs="Arial" w:eastAsia="Arial" w:hAnsi="Arial"/>
                <w:color w:val="1E293B"/>
                <w:sz w:val="20"/>
                <w:szCs w:val="20"/>
              </w:rPr>
              <w:t xml:space="preserve">Las cuentas de entidades públicas son inembargables. El sistema debe registrar mandamientos como simple información.</w:t>
            </w:r>
          </w:p>
        </w:tc>
        <w:tc>
          <w:tcPr>
            <w:tcW w:type="dxa" w:w="356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Arial" w:cs="Arial" w:eastAsia="Arial" w:hAnsi="Arial"/>
                <w:color w:val="1E293B"/>
                <w:sz w:val="20"/>
                <w:szCs w:val="20"/>
              </w:rPr>
              <w:t xml:space="preserve">Art. 19 EOP — Inembargabilidad</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Estampillas parafiscales</w:t>
            </w:r>
          </w:p>
        </w:tc>
        <w:tc>
          <w:tcPr>
            <w:tcW w:type="dxa" w:w="3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Retenciones obligatorias en pagos a contratistas: Estampilla Pro-Universidades, Pro-Hospital, Pro-Cultura según ordenanza.</w:t>
            </w:r>
          </w:p>
        </w:tc>
        <w:tc>
          <w:tcPr>
            <w:tcW w:type="dxa" w:w="3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Leyes habilitantes por departamento</w:t>
            </w:r>
          </w:p>
        </w:tc>
      </w:tr>
      <w:tr>
        <w:tc>
          <w:tcPr>
            <w:tcW w:type="dxa" w:w="22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Arial" w:cs="Arial" w:eastAsia="Arial" w:hAnsi="Arial"/>
                <w:color w:val="1E293B"/>
                <w:sz w:val="20"/>
                <w:szCs w:val="20"/>
              </w:rPr>
              <w:t xml:space="preserve">Retención en la fuente</w:t>
            </w:r>
          </w:p>
        </w:tc>
        <w:tc>
          <w:tcPr>
            <w:tcW w:type="dxa" w:w="36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Arial" w:cs="Arial" w:eastAsia="Arial" w:hAnsi="Arial"/>
                <w:color w:val="1E293B"/>
                <w:sz w:val="20"/>
                <w:szCs w:val="20"/>
              </w:rPr>
              <w:t xml:space="preserve">Aplicación de retenciones según Tabla Retefuente (Art. 383-401 ET) en pagos a personas naturales/jurídicas.</w:t>
            </w:r>
          </w:p>
        </w:tc>
        <w:tc>
          <w:tcPr>
            <w:tcW w:type="dxa" w:w="356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Arial" w:cs="Arial" w:eastAsia="Arial" w:hAnsi="Arial"/>
                <w:color w:val="1E293B"/>
                <w:sz w:val="20"/>
                <w:szCs w:val="20"/>
              </w:rPr>
              <w:t xml:space="preserve">Arts. 368-419 E.T.</w:t>
            </w:r>
          </w:p>
        </w:tc>
      </w:tr>
    </w:tbl>
    <w:p>
      <w:pPr>
        <w:spacing w:after="0" w:before="80"/>
      </w:pPr>
      <w:r>
        <w:t xml:space="preserve"/>
      </w:r>
    </w:p>
    <w:p>
      <w:pPr>
        <w:pStyle w:val="Heading2"/>
        <w:spacing w:after="140" w:before="320"/>
      </w:pPr>
      <w:r>
        <w:rPr>
          <w:rFonts w:ascii="Arial" w:cs="Arial" w:eastAsia="Arial" w:hAnsi="Arial"/>
          <w:b/>
          <w:bCs/>
          <w:color w:val="1E3A5F"/>
          <w:sz w:val="28"/>
          <w:szCs w:val="28"/>
        </w:rPr>
        <w:t xml:space="preserve">2.3 Contabilidad Pública — NICSP bajo Resolución 533 de 2015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BD5E1" w:sz="1"/>
              <w:left w:val="single" w:color="CBD5E1" w:sz="1"/>
              <w:bottom w:val="single" w:color="CBD5E1" w:sz="1"/>
              <w:right w:val="single" w:color="CBD5E1" w:sz="1"/>
            </w:tcBorders>
            <w:shd w:fill="FEF3C7" w:val="clear"/>
            <w:tcMar>
              <w:top w:type="dxa" w:w="120"/>
              <w:left w:type="dxa" w:w="200"/>
              <w:bottom w:type="dxa" w:w="120"/>
              <w:right w:type="dxa" w:w="200"/>
            </w:tcMar>
          </w:tcPr>
          <w:p>
            <w:r>
              <w:rPr>
                <w:rFonts w:ascii="Arial" w:cs="Arial" w:eastAsia="Arial" w:hAnsi="Arial"/>
                <w:b/>
                <w:bCs/>
                <w:color w:val="B45309"/>
                <w:sz w:val="21"/>
                <w:szCs w:val="21"/>
              </w:rPr>
              <w:t xml:space="preserve">📋 Resolución 533 de 2015 CGN + Resoluciones 436, 437, 438 y 439 de 2024</w:t>
            </w:r>
          </w:p>
          <w:p>
            <w:pPr>
              <w:spacing w:after="0" w:before="40"/>
            </w:pPr>
            <w:r>
              <w:rPr>
                <w:rFonts w:ascii="Arial" w:cs="Arial" w:eastAsia="Arial" w:hAnsi="Arial"/>
                <w:color w:val="1E293B"/>
                <w:sz w:val="20"/>
                <w:szCs w:val="20"/>
              </w:rPr>
              <w:t xml:space="preserve">La Contaduría General de la Nación incorporó mediante la Resolución 533/2015 el Marco Normativo para Entidades de Gobierno, que adopta las NICSP (Normas Internacionales de Contabilidad del Sector Público). Actualizada en 2024 mediante las Resoluciones 436-439. Es de obligatorio cumplimiento para alcaldías, gobernaciones y demás entidades de gobierno.</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900"/>
        <w:gridCol w:w="2200"/>
        <w:gridCol w:w="3460"/>
      </w:tblGrid>
      <w:tr>
        <w:trPr>
          <w:tblHeader/>
        </w:trPr>
        <w:tc>
          <w:tcPr>
            <w:tcW w:type="dxa" w:w="2800"/>
            <w:tcBorders>
              <w:top w:val="single" w:color="CBD5E1" w:sz="1"/>
              <w:left w:val="single" w:color="CBD5E1" w:sz="1"/>
              <w:bottom w:val="single" w:color="CBD5E1" w:sz="1"/>
              <w:right w:val="single" w:color="CBD5E1" w:sz="1"/>
            </w:tcBorders>
            <w:shd w:fill="1E3A5F"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NICSP Adoptada</w:t>
            </w:r>
          </w:p>
        </w:tc>
        <w:tc>
          <w:tcPr>
            <w:tcW w:type="dxa" w:w="900"/>
            <w:tcBorders>
              <w:top w:val="single" w:color="CBD5E1" w:sz="1"/>
              <w:left w:val="single" w:color="CBD5E1" w:sz="1"/>
              <w:bottom w:val="single" w:color="CBD5E1" w:sz="1"/>
              <w:right w:val="single" w:color="CBD5E1" w:sz="1"/>
            </w:tcBorders>
            <w:shd w:fill="1E3A5F"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Número</w:t>
            </w:r>
          </w:p>
        </w:tc>
        <w:tc>
          <w:tcPr>
            <w:tcW w:type="dxa" w:w="2200"/>
            <w:tcBorders>
              <w:top w:val="single" w:color="CBD5E1" w:sz="1"/>
              <w:left w:val="single" w:color="CBD5E1" w:sz="1"/>
              <w:bottom w:val="single" w:color="CBD5E1" w:sz="1"/>
              <w:right w:val="single" w:color="CBD5E1" w:sz="1"/>
            </w:tcBorders>
            <w:shd w:fill="1E3A5F"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Tema</w:t>
            </w:r>
          </w:p>
        </w:tc>
        <w:tc>
          <w:tcPr>
            <w:tcW w:type="dxa" w:w="3460"/>
            <w:tcBorders>
              <w:top w:val="single" w:color="CBD5E1" w:sz="1"/>
              <w:left w:val="single" w:color="CBD5E1" w:sz="1"/>
              <w:bottom w:val="single" w:color="CBD5E1" w:sz="1"/>
              <w:right w:val="single" w:color="CBD5E1" w:sz="1"/>
            </w:tcBorders>
            <w:shd w:fill="1E3A5F"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Implementación en MerkaERP</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Presentación EEFF</w:t>
            </w:r>
          </w:p>
        </w:tc>
        <w:tc>
          <w:tcPr>
            <w:tcW w:type="dxa" w:w="9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NICSP 1</w:t>
            </w:r>
          </w:p>
        </w:tc>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Estado Situación Financiera, Estado Rendimiento Financiero, ECPN, EFE</w:t>
            </w:r>
          </w:p>
        </w:tc>
        <w:tc>
          <w:tcPr>
            <w:tcW w:type="dxa" w:w="34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Generación automática con datos contables</w:t>
            </w:r>
          </w:p>
        </w:tc>
      </w:tr>
      <w:tr>
        <w:tc>
          <w:tcPr>
            <w:tcW w:type="dxa" w:w="28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Arial" w:cs="Arial" w:eastAsia="Arial" w:hAnsi="Arial"/>
                <w:color w:val="1E293B"/>
                <w:sz w:val="20"/>
                <w:szCs w:val="20"/>
              </w:rPr>
              <w:t xml:space="preserve">Flujos de efectivo</w:t>
            </w:r>
          </w:p>
        </w:tc>
        <w:tc>
          <w:tcPr>
            <w:tcW w:type="dxa" w:w="9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Arial" w:cs="Arial" w:eastAsia="Arial" w:hAnsi="Arial"/>
                <w:color w:val="1E293B"/>
                <w:sz w:val="20"/>
                <w:szCs w:val="20"/>
              </w:rPr>
              <w:t xml:space="preserve">NICSP 2</w:t>
            </w:r>
          </w:p>
        </w:tc>
        <w:tc>
          <w:tcPr>
            <w:tcW w:type="dxa" w:w="22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Arial" w:cs="Arial" w:eastAsia="Arial" w:hAnsi="Arial"/>
                <w:color w:val="1E293B"/>
                <w:sz w:val="20"/>
                <w:szCs w:val="20"/>
              </w:rPr>
              <w:t xml:space="preserve">Estado de Flujos de Efectivo — método directo</w:t>
            </w:r>
          </w:p>
        </w:tc>
        <w:tc>
          <w:tcPr>
            <w:tcW w:type="dxa" w:w="346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Arial" w:cs="Arial" w:eastAsia="Arial" w:hAnsi="Arial"/>
                <w:color w:val="1E293B"/>
                <w:sz w:val="20"/>
                <w:szCs w:val="20"/>
              </w:rPr>
              <w:t xml:space="preserve">Clasificación: operación/inversión/financiación</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Políticas contables</w:t>
            </w:r>
          </w:p>
        </w:tc>
        <w:tc>
          <w:tcPr>
            <w:tcW w:type="dxa" w:w="9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NICSP 3</w:t>
            </w:r>
          </w:p>
        </w:tc>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Errores, estimaciones y cambios de política</w:t>
            </w:r>
          </w:p>
        </w:tc>
        <w:tc>
          <w:tcPr>
            <w:tcW w:type="dxa" w:w="34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Módulo de ajustes con trazabilidad</w:t>
            </w:r>
          </w:p>
        </w:tc>
      </w:tr>
      <w:tr>
        <w:tc>
          <w:tcPr>
            <w:tcW w:type="dxa" w:w="28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Arial" w:cs="Arial" w:eastAsia="Arial" w:hAnsi="Arial"/>
                <w:color w:val="1E293B"/>
                <w:sz w:val="20"/>
                <w:szCs w:val="20"/>
              </w:rPr>
              <w:t xml:space="preserve">Inventarios</w:t>
            </w:r>
          </w:p>
        </w:tc>
        <w:tc>
          <w:tcPr>
            <w:tcW w:type="dxa" w:w="9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Arial" w:cs="Arial" w:eastAsia="Arial" w:hAnsi="Arial"/>
                <w:color w:val="1E293B"/>
                <w:sz w:val="20"/>
                <w:szCs w:val="20"/>
              </w:rPr>
              <w:t xml:space="preserve">NICSP 12</w:t>
            </w:r>
          </w:p>
        </w:tc>
        <w:tc>
          <w:tcPr>
            <w:tcW w:type="dxa" w:w="22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Arial" w:cs="Arial" w:eastAsia="Arial" w:hAnsi="Arial"/>
                <w:color w:val="1E293B"/>
                <w:sz w:val="20"/>
                <w:szCs w:val="20"/>
              </w:rPr>
              <w:t xml:space="preserve">Medición de existencias al menor de costo y VNR</w:t>
            </w:r>
          </w:p>
        </w:tc>
        <w:tc>
          <w:tcPr>
            <w:tcW w:type="dxa" w:w="346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Arial" w:cs="Arial" w:eastAsia="Arial" w:hAnsi="Arial"/>
                <w:color w:val="1E293B"/>
                <w:sz w:val="20"/>
                <w:szCs w:val="20"/>
              </w:rPr>
              <w:t xml:space="preserve">Kardex valorado por FIFO o promedio ponderado</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Propiedades, planta y equipo</w:t>
            </w:r>
          </w:p>
        </w:tc>
        <w:tc>
          <w:tcPr>
            <w:tcW w:type="dxa" w:w="9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NICSP 17</w:t>
            </w:r>
          </w:p>
        </w:tc>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Reconocimiento, medición y depreciación de activos fijos</w:t>
            </w:r>
          </w:p>
        </w:tc>
        <w:tc>
          <w:tcPr>
            <w:tcW w:type="dxa" w:w="34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Depreciación automática por tipo de activo</w:t>
            </w:r>
          </w:p>
        </w:tc>
      </w:tr>
      <w:tr>
        <w:tc>
          <w:tcPr>
            <w:tcW w:type="dxa" w:w="28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Arial" w:cs="Arial" w:eastAsia="Arial" w:hAnsi="Arial"/>
                <w:color w:val="1E293B"/>
                <w:sz w:val="20"/>
                <w:szCs w:val="20"/>
              </w:rPr>
              <w:t xml:space="preserve">Arrendamientos</w:t>
            </w:r>
          </w:p>
        </w:tc>
        <w:tc>
          <w:tcPr>
            <w:tcW w:type="dxa" w:w="9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Arial" w:cs="Arial" w:eastAsia="Arial" w:hAnsi="Arial"/>
                <w:color w:val="1E293B"/>
                <w:sz w:val="20"/>
                <w:szCs w:val="20"/>
              </w:rPr>
              <w:t xml:space="preserve">NICSP 13</w:t>
            </w:r>
          </w:p>
        </w:tc>
        <w:tc>
          <w:tcPr>
            <w:tcW w:type="dxa" w:w="22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Arial" w:cs="Arial" w:eastAsia="Arial" w:hAnsi="Arial"/>
                <w:color w:val="1E293B"/>
                <w:sz w:val="20"/>
                <w:szCs w:val="20"/>
              </w:rPr>
              <w:t xml:space="preserve">Clasificación y registro de arrendamientos operativos y financieros</w:t>
            </w:r>
          </w:p>
        </w:tc>
        <w:tc>
          <w:tcPr>
            <w:tcW w:type="dxa" w:w="346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Arial" w:cs="Arial" w:eastAsia="Arial" w:hAnsi="Arial"/>
                <w:color w:val="1E293B"/>
                <w:sz w:val="20"/>
                <w:szCs w:val="20"/>
              </w:rPr>
              <w:t xml:space="preserve">Módulo de contratos de arrendamiento</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Ingresos de transacciones sin contraprestación</w:t>
            </w:r>
          </w:p>
        </w:tc>
        <w:tc>
          <w:tcPr>
            <w:tcW w:type="dxa" w:w="9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NICSP 23</w:t>
            </w:r>
          </w:p>
        </w:tc>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Impuestos, transferencias, donaciones</w:t>
            </w:r>
          </w:p>
        </w:tc>
        <w:tc>
          <w:tcPr>
            <w:tcW w:type="dxa" w:w="34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Motor de liquidación tributaria</w:t>
            </w:r>
          </w:p>
        </w:tc>
      </w:tr>
      <w:tr>
        <w:tc>
          <w:tcPr>
            <w:tcW w:type="dxa" w:w="28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Arial" w:cs="Arial" w:eastAsia="Arial" w:hAnsi="Arial"/>
                <w:color w:val="1E293B"/>
                <w:sz w:val="20"/>
                <w:szCs w:val="20"/>
              </w:rPr>
              <w:t xml:space="preserve">Provisiones y pasivos contingentes</w:t>
            </w:r>
          </w:p>
        </w:tc>
        <w:tc>
          <w:tcPr>
            <w:tcW w:type="dxa" w:w="9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Arial" w:cs="Arial" w:eastAsia="Arial" w:hAnsi="Arial"/>
                <w:color w:val="1E293B"/>
                <w:sz w:val="20"/>
                <w:szCs w:val="20"/>
              </w:rPr>
              <w:t xml:space="preserve">NICSP 19</w:t>
            </w:r>
          </w:p>
        </w:tc>
        <w:tc>
          <w:tcPr>
            <w:tcW w:type="dxa" w:w="22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Arial" w:cs="Arial" w:eastAsia="Arial" w:hAnsi="Arial"/>
                <w:color w:val="1E293B"/>
                <w:sz w:val="20"/>
                <w:szCs w:val="20"/>
              </w:rPr>
              <w:t xml:space="preserve">Demandas, litigios, garantías</w:t>
            </w:r>
          </w:p>
        </w:tc>
        <w:tc>
          <w:tcPr>
            <w:tcW w:type="dxa" w:w="346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Arial" w:cs="Arial" w:eastAsia="Arial" w:hAnsi="Arial"/>
                <w:color w:val="1E293B"/>
                <w:sz w:val="20"/>
                <w:szCs w:val="20"/>
              </w:rPr>
              <w:t xml:space="preserve">Registro de contingencias con probabilidad</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Combinaciones del sector público</w:t>
            </w:r>
          </w:p>
        </w:tc>
        <w:tc>
          <w:tcPr>
            <w:tcW w:type="dxa" w:w="9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NICSP 40</w:t>
            </w:r>
          </w:p>
        </w:tc>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Fusiones y adquisiciones entidades públicas</w:t>
            </w:r>
          </w:p>
        </w:tc>
        <w:tc>
          <w:tcPr>
            <w:tcW w:type="dxa" w:w="34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Módulo de consolidación</w:t>
            </w:r>
          </w:p>
        </w:tc>
      </w:tr>
    </w:tbl>
    <w:p>
      <w:pPr>
        <w:spacing w:after="0" w:before="80"/>
      </w:pPr>
      <w:r>
        <w:t xml:space="preserve"/>
      </w:r>
    </w:p>
    <w:p>
      <w:pPr>
        <w:pStyle w:val="Heading3"/>
        <w:spacing w:after="100" w:before="200"/>
      </w:pPr>
      <w:r>
        <w:rPr>
          <w:rFonts w:ascii="Arial" w:cs="Arial" w:eastAsia="Arial" w:hAnsi="Arial"/>
          <w:b/>
          <w:bCs/>
          <w:color w:val="1E293B"/>
          <w:sz w:val="24"/>
          <w:szCs w:val="24"/>
        </w:rPr>
        <w:t xml:space="preserve">2.3.1 Catálogo General de Cuentas (CGC) — Estructura PUC Público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2200"/>
        <w:gridCol w:w="6460"/>
      </w:tblGrid>
      <w:tr>
        <w:trPr>
          <w:tblHeader/>
        </w:trPr>
        <w:tc>
          <w:tcPr>
            <w:tcW w:type="dxa" w:w="700"/>
            <w:tcBorders>
              <w:top w:val="single" w:color="CBD5E1" w:sz="1"/>
              <w:left w:val="single" w:color="CBD5E1" w:sz="1"/>
              <w:bottom w:val="single" w:color="CBD5E1" w:sz="1"/>
              <w:right w:val="single" w:color="CBD5E1" w:sz="1"/>
            </w:tcBorders>
            <w:shd w:fill="1E3A5F"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Clase</w:t>
            </w:r>
          </w:p>
        </w:tc>
        <w:tc>
          <w:tcPr>
            <w:tcW w:type="dxa" w:w="2200"/>
            <w:tcBorders>
              <w:top w:val="single" w:color="CBD5E1" w:sz="1"/>
              <w:left w:val="single" w:color="CBD5E1" w:sz="1"/>
              <w:bottom w:val="single" w:color="CBD5E1" w:sz="1"/>
              <w:right w:val="single" w:color="CBD5E1" w:sz="1"/>
            </w:tcBorders>
            <w:shd w:fill="1E3A5F"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Nombre</w:t>
            </w:r>
          </w:p>
        </w:tc>
        <w:tc>
          <w:tcPr>
            <w:tcW w:type="dxa" w:w="6460"/>
            <w:tcBorders>
              <w:top w:val="single" w:color="CBD5E1" w:sz="1"/>
              <w:left w:val="single" w:color="CBD5E1" w:sz="1"/>
              <w:bottom w:val="single" w:color="CBD5E1" w:sz="1"/>
              <w:right w:val="single" w:color="CBD5E1" w:sz="1"/>
            </w:tcBorders>
            <w:shd w:fill="1E3A5F"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Ejemplos de cuentas clave para MerkaERP</w:t>
            </w:r>
          </w:p>
        </w:tc>
      </w:tr>
      <w:tr>
        <w:tc>
          <w:tcPr>
            <w:tcW w:type="dxa" w:w="7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1</w:t>
            </w:r>
          </w:p>
        </w:tc>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Activo</w:t>
            </w:r>
          </w:p>
        </w:tc>
        <w:tc>
          <w:tcPr>
            <w:tcW w:type="dxa" w:w="64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1110 Efectivo y equivalentes · 1415 Deudores por impuestos · 1640 PP&amp;E · 1920 Activos intangibles</w:t>
            </w:r>
          </w:p>
        </w:tc>
      </w:tr>
      <w:tr>
        <w:tc>
          <w:tcPr>
            <w:tcW w:type="dxa" w:w="7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Arial" w:cs="Arial" w:eastAsia="Arial" w:hAnsi="Arial"/>
                <w:color w:val="1E293B"/>
                <w:sz w:val="20"/>
                <w:szCs w:val="20"/>
              </w:rPr>
              <w:t xml:space="preserve">2</w:t>
            </w:r>
          </w:p>
        </w:tc>
        <w:tc>
          <w:tcPr>
            <w:tcW w:type="dxa" w:w="22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Arial" w:cs="Arial" w:eastAsia="Arial" w:hAnsi="Arial"/>
                <w:color w:val="1E293B"/>
                <w:sz w:val="20"/>
                <w:szCs w:val="20"/>
              </w:rPr>
              <w:t xml:space="preserve">Pasivo</w:t>
            </w:r>
          </w:p>
        </w:tc>
        <w:tc>
          <w:tcPr>
            <w:tcW w:type="dxa" w:w="646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Arial" w:cs="Arial" w:eastAsia="Arial" w:hAnsi="Arial"/>
                <w:color w:val="1E293B"/>
                <w:sz w:val="20"/>
                <w:szCs w:val="20"/>
              </w:rPr>
              <w:t xml:space="preserve">2401 Cuentas por pagar (contratistas) · 2410 Obligaciones fiscales · 2510 Beneficios a empleados</w:t>
            </w:r>
          </w:p>
        </w:tc>
      </w:tr>
      <w:tr>
        <w:tc>
          <w:tcPr>
            <w:tcW w:type="dxa" w:w="7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3</w:t>
            </w:r>
          </w:p>
        </w:tc>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Patrimonio</w:t>
            </w:r>
          </w:p>
        </w:tc>
        <w:tc>
          <w:tcPr>
            <w:tcW w:type="dxa" w:w="64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3105 Capital fiscal · 3115 Resultado del ejercicio · 3120 Impacto acumulado de reexpresión</w:t>
            </w:r>
          </w:p>
        </w:tc>
      </w:tr>
      <w:tr>
        <w:tc>
          <w:tcPr>
            <w:tcW w:type="dxa" w:w="7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Arial" w:cs="Arial" w:eastAsia="Arial" w:hAnsi="Arial"/>
                <w:color w:val="1E293B"/>
                <w:sz w:val="20"/>
                <w:szCs w:val="20"/>
              </w:rPr>
              <w:t xml:space="preserve">4</w:t>
            </w:r>
          </w:p>
        </w:tc>
        <w:tc>
          <w:tcPr>
            <w:tcW w:type="dxa" w:w="22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Arial" w:cs="Arial" w:eastAsia="Arial" w:hAnsi="Arial"/>
                <w:color w:val="1E293B"/>
                <w:sz w:val="20"/>
                <w:szCs w:val="20"/>
              </w:rPr>
              <w:t xml:space="preserve">Ingresos</w:t>
            </w:r>
          </w:p>
        </w:tc>
        <w:tc>
          <w:tcPr>
            <w:tcW w:type="dxa" w:w="646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Arial" w:cs="Arial" w:eastAsia="Arial" w:hAnsi="Arial"/>
                <w:color w:val="1E293B"/>
                <w:sz w:val="20"/>
                <w:szCs w:val="20"/>
              </w:rPr>
              <w:t xml:space="preserve">4111 Impuesto predial · 4115 ICA · 4401 Transferencias SGP · 4802 Otros ingresos</w:t>
            </w:r>
          </w:p>
        </w:tc>
      </w:tr>
      <w:tr>
        <w:tc>
          <w:tcPr>
            <w:tcW w:type="dxa" w:w="7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5</w:t>
            </w:r>
          </w:p>
        </w:tc>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Gastos</w:t>
            </w:r>
          </w:p>
        </w:tc>
        <w:tc>
          <w:tcPr>
            <w:tcW w:type="dxa" w:w="64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5101 Servicios de personal · 5111 Generales · 5120 Transferencias pagadas · 5310 Depreciación</w:t>
            </w:r>
          </w:p>
        </w:tc>
      </w:tr>
      <w:tr>
        <w:tc>
          <w:tcPr>
            <w:tcW w:type="dxa" w:w="7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Arial" w:cs="Arial" w:eastAsia="Arial" w:hAnsi="Arial"/>
                <w:color w:val="1E293B"/>
                <w:sz w:val="20"/>
                <w:szCs w:val="20"/>
              </w:rPr>
              <w:t xml:space="preserve">6</w:t>
            </w:r>
          </w:p>
        </w:tc>
        <w:tc>
          <w:tcPr>
            <w:tcW w:type="dxa" w:w="22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Arial" w:cs="Arial" w:eastAsia="Arial" w:hAnsi="Arial"/>
                <w:color w:val="1E293B"/>
                <w:sz w:val="20"/>
                <w:szCs w:val="20"/>
              </w:rPr>
              <w:t xml:space="preserve">Costo de ventas/servicios</w:t>
            </w:r>
          </w:p>
        </w:tc>
        <w:tc>
          <w:tcPr>
            <w:tcW w:type="dxa" w:w="646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Arial" w:cs="Arial" w:eastAsia="Arial" w:hAnsi="Arial"/>
                <w:color w:val="1E293B"/>
                <w:sz w:val="20"/>
                <w:szCs w:val="20"/>
              </w:rPr>
              <w:t xml:space="preserve">6101 Costo de producción de bienes · 6310 Costo de la transformación</w:t>
            </w:r>
          </w:p>
        </w:tc>
      </w:tr>
      <w:tr>
        <w:tc>
          <w:tcPr>
            <w:tcW w:type="dxa" w:w="7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8</w:t>
            </w:r>
          </w:p>
        </w:tc>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Cuentas de orden deudoras</w:t>
            </w:r>
          </w:p>
        </w:tc>
        <w:tc>
          <w:tcPr>
            <w:tcW w:type="dxa" w:w="64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8110 Derechos contingentes · 8390 Bienes y valores entregados en custodia</w:t>
            </w:r>
          </w:p>
        </w:tc>
      </w:tr>
      <w:tr>
        <w:tc>
          <w:tcPr>
            <w:tcW w:type="dxa" w:w="7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Arial" w:cs="Arial" w:eastAsia="Arial" w:hAnsi="Arial"/>
                <w:color w:val="1E293B"/>
                <w:sz w:val="20"/>
                <w:szCs w:val="20"/>
              </w:rPr>
              <w:t xml:space="preserve">9</w:t>
            </w:r>
          </w:p>
        </w:tc>
        <w:tc>
          <w:tcPr>
            <w:tcW w:type="dxa" w:w="22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Arial" w:cs="Arial" w:eastAsia="Arial" w:hAnsi="Arial"/>
                <w:color w:val="1E293B"/>
                <w:sz w:val="20"/>
                <w:szCs w:val="20"/>
              </w:rPr>
              <w:t xml:space="preserve">Cuentas de orden acreedoras</w:t>
            </w:r>
          </w:p>
        </w:tc>
        <w:tc>
          <w:tcPr>
            <w:tcW w:type="dxa" w:w="646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Arial" w:cs="Arial" w:eastAsia="Arial" w:hAnsi="Arial"/>
                <w:color w:val="1E293B"/>
                <w:sz w:val="20"/>
                <w:szCs w:val="20"/>
              </w:rPr>
              <w:t xml:space="preserve">9110 Responsabilidades contingentes · 9390 Bienes y valores recibidos en custodia</w:t>
            </w:r>
          </w:p>
        </w:tc>
      </w:tr>
    </w:tbl>
    <w:p>
      <w:pPr>
        <w:spacing w:after="0" w:before="80"/>
      </w:pPr>
      <w:r>
        <w:t xml:space="preserve"/>
      </w:r>
    </w:p>
    <w:p>
      <w:r>
        <w:br w:type="page"/>
      </w:r>
    </w:p>
    <w:p>
      <w:pPr>
        <w:pStyle w:val="Heading1"/>
        <w:pBdr>
          <w:bottom w:val="single" w:color="1E3A5F" w:sz="8" w:space="4"/>
        </w:pBdr>
        <w:spacing w:after="200" w:before="480"/>
      </w:pPr>
      <w:r>
        <w:rPr>
          <w:rFonts w:ascii="Arial" w:cs="Arial" w:eastAsia="Arial" w:hAnsi="Arial"/>
          <w:b/>
          <w:bCs/>
          <w:color w:val="1E3A5F"/>
          <w:sz w:val="38"/>
          <w:szCs w:val="38"/>
        </w:rPr>
        <w:t xml:space="preserve">Macro-Sistema 3 — Sistema de Rentas y Tributos</w:t>
      </w:r>
    </w:p>
    <w:p>
      <w:pPr>
        <w:spacing w:after="80" w:before="80"/>
      </w:pPr>
      <w:r>
        <w:rPr>
          <w:rFonts w:ascii="Arial" w:cs="Arial" w:eastAsia="Arial" w:hAnsi="Arial"/>
          <w:color w:val="1E293B"/>
          <w:sz w:val="22"/>
          <w:szCs w:val="22"/>
        </w:rPr>
        <w:t xml:space="preserve">Una entidad pública no vende productos: recauda impuestos. Este macro-sistema es el único en el país que le da a una alcaldía la herramienta para liquidar el predial de miles de ciudadanos, calcular intereses moratorios al día, aplicar acuerdos de pago y ejecutar cobro coactivo sin depender de sistemas externos.</w:t>
      </w:r>
    </w:p>
    <w:p>
      <w:pPr>
        <w:spacing w:after="0" w:before="80"/>
      </w:pPr>
      <w:r>
        <w:t xml:space="preserve"/>
      </w:r>
    </w:p>
    <w:p>
      <w:pPr>
        <w:pStyle w:val="Heading2"/>
        <w:spacing w:after="140" w:before="320"/>
      </w:pPr>
      <w:r>
        <w:rPr>
          <w:rFonts w:ascii="Arial" w:cs="Arial" w:eastAsia="Arial" w:hAnsi="Arial"/>
          <w:b/>
          <w:bCs/>
          <w:color w:val="1E3A5F"/>
          <w:sz w:val="28"/>
          <w:szCs w:val="28"/>
        </w:rPr>
        <w:t xml:space="preserve">3.1 Impuesto Predial Unificado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BD5E1" w:sz="1"/>
              <w:left w:val="single" w:color="CBD5E1" w:sz="1"/>
              <w:bottom w:val="single" w:color="CBD5E1" w:sz="1"/>
              <w:right w:val="single" w:color="CBD5E1" w:sz="1"/>
            </w:tcBorders>
            <w:shd w:fill="FEF3C7" w:val="clear"/>
            <w:tcMar>
              <w:top w:type="dxa" w:w="120"/>
              <w:left w:type="dxa" w:w="200"/>
              <w:bottom w:type="dxa" w:w="120"/>
              <w:right w:type="dxa" w:w="200"/>
            </w:tcMar>
          </w:tcPr>
          <w:p>
            <w:r>
              <w:rPr>
                <w:rFonts w:ascii="Arial" w:cs="Arial" w:eastAsia="Arial" w:hAnsi="Arial"/>
                <w:b/>
                <w:bCs/>
                <w:color w:val="B45309"/>
                <w:sz w:val="21"/>
                <w:szCs w:val="21"/>
              </w:rPr>
              <w:t xml:space="preserve">📋 Ley 44 de 1990 + Ley 1995 de 2019 (Catastro Multipropósito) + Decreto 1480 de 2025</w:t>
            </w:r>
          </w:p>
          <w:p>
            <w:pPr>
              <w:spacing w:after="0" w:before="40"/>
            </w:pPr>
            <w:r>
              <w:rPr>
                <w:rFonts w:ascii="Arial" w:cs="Arial" w:eastAsia="Arial" w:hAnsi="Arial"/>
                <w:color w:val="1E293B"/>
                <w:sz w:val="20"/>
                <w:szCs w:val="20"/>
              </w:rPr>
              <w:t xml:space="preserve">La Ley 44/1990 creó el Impuesto Predial Unificado y define: sujeto activo (municipio), sujeto pasivo (propietario/poseedor/usufructuario), base gravable (avalúo catastral IGAC) y tarifa (entre 1 y 16 por mil, fijada por Acuerdo Municipal). El Decreto 1480 de 2025 ordenó un reajuste del 3% en avalúos catastrales para 2026 de predios no actualizados en 2025.</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800"/>
        <w:gridCol w:w="3160"/>
      </w:tblGrid>
      <w:tr>
        <w:trPr>
          <w:tblHeader/>
        </w:trPr>
        <w:tc>
          <w:tcPr>
            <w:tcW w:type="dxa" w:w="2400"/>
            <w:tcBorders>
              <w:top w:val="single" w:color="CBD5E1" w:sz="1"/>
              <w:left w:val="single" w:color="CBD5E1" w:sz="1"/>
              <w:bottom w:val="single" w:color="CBD5E1" w:sz="1"/>
              <w:right w:val="single" w:color="CBD5E1" w:sz="1"/>
            </w:tcBorders>
            <w:shd w:fill="1E3A5F"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Función del módulo</w:t>
            </w:r>
          </w:p>
        </w:tc>
        <w:tc>
          <w:tcPr>
            <w:tcW w:type="dxa" w:w="3800"/>
            <w:tcBorders>
              <w:top w:val="single" w:color="CBD5E1" w:sz="1"/>
              <w:left w:val="single" w:color="CBD5E1" w:sz="1"/>
              <w:bottom w:val="single" w:color="CBD5E1" w:sz="1"/>
              <w:right w:val="single" w:color="CBD5E1" w:sz="1"/>
            </w:tcBorders>
            <w:shd w:fill="1E3A5F"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Descripción</w:t>
            </w:r>
          </w:p>
        </w:tc>
        <w:tc>
          <w:tcPr>
            <w:tcW w:type="dxa" w:w="3160"/>
            <w:tcBorders>
              <w:top w:val="single" w:color="CBD5E1" w:sz="1"/>
              <w:left w:val="single" w:color="CBD5E1" w:sz="1"/>
              <w:bottom w:val="single" w:color="CBD5E1" w:sz="1"/>
              <w:right w:val="single" w:color="CBD5E1" w:sz="1"/>
            </w:tcBorders>
            <w:shd w:fill="1E3A5F"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Normativa específica</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Carga del catastro IGAC</w:t>
            </w:r>
          </w:p>
        </w:tc>
        <w:tc>
          <w:tcPr>
            <w:tcW w:type="dxa" w:w="3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Importación masiva del archivo plano catastral con: número predial, área, avalúo, propietario, dirección, estrato, uso del suelo.</w:t>
            </w:r>
          </w:p>
        </w:tc>
        <w:tc>
          <w:tcPr>
            <w:tcW w:type="dxa" w:w="3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IGAC — Resolución 070/2011 formatos de interoperabilidad</w:t>
            </w:r>
          </w:p>
        </w:tc>
      </w:tr>
      <w:tr>
        <w:tc>
          <w:tcPr>
            <w:tcW w:type="dxa" w:w="24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Arial" w:cs="Arial" w:eastAsia="Arial" w:hAnsi="Arial"/>
                <w:color w:val="1E293B"/>
                <w:sz w:val="20"/>
                <w:szCs w:val="20"/>
              </w:rPr>
              <w:t xml:space="preserve">Liquidación masiva predial</w:t>
            </w:r>
          </w:p>
        </w:tc>
        <w:tc>
          <w:tcPr>
            <w:tcW w:type="dxa" w:w="38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Arial" w:cs="Arial" w:eastAsia="Arial" w:hAnsi="Arial"/>
                <w:color w:val="1E293B"/>
                <w:sz w:val="20"/>
                <w:szCs w:val="20"/>
              </w:rPr>
              <w:t xml:space="preserve">Cálculo automático del impuesto para TODOS los predios del municipio: Predial = Avalúo × Tarifa (por uso de suelo y estrato).</w:t>
            </w:r>
          </w:p>
        </w:tc>
        <w:tc>
          <w:tcPr>
            <w:tcW w:type="dxa" w:w="316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Arial" w:cs="Arial" w:eastAsia="Arial" w:hAnsi="Arial"/>
                <w:color w:val="1E293B"/>
                <w:sz w:val="20"/>
                <w:szCs w:val="20"/>
              </w:rPr>
              <w:t xml:space="preserve">Ley 44/1990 Arts. 4-7</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Topes al incremento</w:t>
            </w:r>
          </w:p>
        </w:tc>
        <w:tc>
          <w:tcPr>
            <w:tcW w:type="dxa" w:w="3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Validar que ningún predio aumente más del 50% respecto al año anterior (tope general). Estratos 1-2 hasta 135 SMMLV: tope = IPC. Predios rurales ≥100 ha: tope = 2×año anterior.</w:t>
            </w:r>
          </w:p>
        </w:tc>
        <w:tc>
          <w:tcPr>
            <w:tcW w:type="dxa" w:w="3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Ley 44/1990 Art. 6 + Ley 1995/2019 Art. 19</w:t>
            </w:r>
          </w:p>
        </w:tc>
      </w:tr>
      <w:tr>
        <w:tc>
          <w:tcPr>
            <w:tcW w:type="dxa" w:w="24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Arial" w:cs="Arial" w:eastAsia="Arial" w:hAnsi="Arial"/>
                <w:color w:val="1E293B"/>
                <w:sz w:val="20"/>
                <w:szCs w:val="20"/>
              </w:rPr>
              <w:t xml:space="preserve">Acuerdos de pago</w:t>
            </w:r>
          </w:p>
        </w:tc>
        <w:tc>
          <w:tcPr>
            <w:tcW w:type="dxa" w:w="38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Arial" w:cs="Arial" w:eastAsia="Arial" w:hAnsi="Arial"/>
                <w:color w:val="1E293B"/>
                <w:sz w:val="20"/>
                <w:szCs w:val="20"/>
              </w:rPr>
              <w:t xml:space="preserve">Cuotas para deudores morosos con abono a capital e intereses. Al firmar acuerdo, el contribuyente pierde el derecho a prescripción.</w:t>
            </w:r>
          </w:p>
        </w:tc>
        <w:tc>
          <w:tcPr>
            <w:tcW w:type="dxa" w:w="316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Arial" w:cs="Arial" w:eastAsia="Arial" w:hAnsi="Arial"/>
                <w:color w:val="1E293B"/>
                <w:sz w:val="20"/>
                <w:szCs w:val="20"/>
              </w:rPr>
              <w:t xml:space="preserve">ET Art. 814 — Aplica por remisión</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Descuento por pronto pago</w:t>
            </w:r>
          </w:p>
        </w:tc>
        <w:tc>
          <w:tcPr>
            <w:tcW w:type="dxa" w:w="3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Las alcaldías pueden ofrecer hasta 10% de descuento si se paga en el primer trimestre (según acuerdo municipal).</w:t>
            </w:r>
          </w:p>
        </w:tc>
        <w:tc>
          <w:tcPr>
            <w:tcW w:type="dxa" w:w="3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Autonomía tributaria Art. 287 C.P.</w:t>
            </w:r>
          </w:p>
        </w:tc>
      </w:tr>
      <w:tr>
        <w:tc>
          <w:tcPr>
            <w:tcW w:type="dxa" w:w="24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Arial" w:cs="Arial" w:eastAsia="Arial" w:hAnsi="Arial"/>
                <w:color w:val="1E293B"/>
                <w:sz w:val="20"/>
                <w:szCs w:val="20"/>
              </w:rPr>
              <w:t xml:space="preserve">Exenciones y exclusiones</w:t>
            </w:r>
          </w:p>
        </w:tc>
        <w:tc>
          <w:tcPr>
            <w:tcW w:type="dxa" w:w="38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Arial" w:cs="Arial" w:eastAsia="Arial" w:hAnsi="Arial"/>
                <w:color w:val="1E293B"/>
                <w:sz w:val="20"/>
                <w:szCs w:val="20"/>
              </w:rPr>
              <w:t xml:space="preserve">Predios de entidades del Estado, iglesias, hospitales públicos, predios con POT de protección ambiental (según acuerdo municipal).</w:t>
            </w:r>
          </w:p>
        </w:tc>
        <w:tc>
          <w:tcPr>
            <w:tcW w:type="dxa" w:w="316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Arial" w:cs="Arial" w:eastAsia="Arial" w:hAnsi="Arial"/>
                <w:color w:val="1E293B"/>
                <w:sz w:val="20"/>
                <w:szCs w:val="20"/>
              </w:rPr>
              <w:t xml:space="preserve">Ley 44/1990 + acuerdos locales</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Facturación masiva</w:t>
            </w:r>
          </w:p>
        </w:tc>
        <w:tc>
          <w:tcPr>
            <w:tcW w:type="dxa" w:w="3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Generación e impresión masiva de facturas prediales con código de barras para pago en bancos.</w:t>
            </w:r>
          </w:p>
        </w:tc>
        <w:tc>
          <w:tcPr>
            <w:tcW w:type="dxa" w:w="3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Resolución DIAN sobre factura electrónica (referencial)</w:t>
            </w:r>
          </w:p>
        </w:tc>
      </w:tr>
    </w:tbl>
    <w:p>
      <w:pPr>
        <w:spacing w:after="0" w:before="80"/>
      </w:pPr>
      <w:r>
        <w:t xml:space="preserve"/>
      </w:r>
    </w:p>
    <w:p>
      <w:pPr>
        <w:pStyle w:val="Heading2"/>
        <w:spacing w:after="140" w:before="320"/>
      </w:pPr>
      <w:r>
        <w:rPr>
          <w:rFonts w:ascii="Arial" w:cs="Arial" w:eastAsia="Arial" w:hAnsi="Arial"/>
          <w:b/>
          <w:bCs/>
          <w:color w:val="1E3A5F"/>
          <w:sz w:val="28"/>
          <w:szCs w:val="28"/>
        </w:rPr>
        <w:t xml:space="preserve">3.2 Motor de Intereses Moratorios — Cálculo Exacto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BD5E1" w:sz="1"/>
              <w:left w:val="single" w:color="CBD5E1" w:sz="1"/>
              <w:bottom w:val="single" w:color="CBD5E1" w:sz="1"/>
              <w:right w:val="single" w:color="CBD5E1" w:sz="1"/>
            </w:tcBorders>
            <w:shd w:fill="FEF3C7" w:val="clear"/>
            <w:tcMar>
              <w:top w:type="dxa" w:w="120"/>
              <w:left w:type="dxa" w:w="200"/>
              <w:bottom w:type="dxa" w:w="120"/>
              <w:right w:type="dxa" w:w="200"/>
            </w:tcMar>
          </w:tcPr>
          <w:p>
            <w:r>
              <w:rPr>
                <w:rFonts w:ascii="Arial" w:cs="Arial" w:eastAsia="Arial" w:hAnsi="Arial"/>
                <w:b/>
                <w:bCs/>
                <w:color w:val="B45309"/>
                <w:sz w:val="21"/>
                <w:szCs w:val="21"/>
              </w:rPr>
              <w:t xml:space="preserve">📋 Artículo 635 ET + Concepto Minhacienda 032629 de 2026</w:t>
            </w:r>
          </w:p>
          <w:p>
            <w:pPr>
              <w:spacing w:after="0" w:before="40"/>
            </w:pPr>
            <w:r>
              <w:rPr>
                <w:rFonts w:ascii="Arial" w:cs="Arial" w:eastAsia="Arial" w:hAnsi="Arial"/>
                <w:color w:val="1E293B"/>
                <w:sz w:val="20"/>
                <w:szCs w:val="20"/>
              </w:rPr>
              <w:t xml:space="preserve">Los intereses de mora por impuestos territoriales (predial, ICA, vehículos) se calculan con la MISMA fórmula del Estatuto Tributario Nacional. La tasa de mora es: Tasa de Usura (fijada mensualmente por la Superfinanciera) MENOS 2 puntos porcentuales. Para junio 2026: Usura = 28.79% EA → TIM = 26.79% EA.</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BD5E1" w:sz="1"/>
              <w:left w:val="single" w:color="CBD5E1" w:sz="1"/>
              <w:bottom w:val="single" w:color="CBD5E1" w:sz="1"/>
              <w:right w:val="single" w:color="CBD5E1" w:sz="1"/>
            </w:tcBorders>
            <w:shd w:fill="FEF3C7" w:val="clear"/>
            <w:tcMar>
              <w:top w:type="dxa" w:w="120"/>
              <w:left w:type="dxa" w:w="200"/>
              <w:bottom w:type="dxa" w:w="120"/>
              <w:right w:type="dxa" w:w="200"/>
            </w:tcMar>
          </w:tcPr>
          <w:p>
            <w:r>
              <w:rPr>
                <w:rFonts w:ascii="Arial" w:cs="Arial" w:eastAsia="Arial" w:hAnsi="Arial"/>
                <w:b/>
                <w:bCs/>
                <w:color w:val="B45309"/>
                <w:sz w:val="21"/>
                <w:szCs w:val="21"/>
              </w:rPr>
              <w:t xml:space="preserve">🔢 Fórmula exacta de intereses moratorios (Art. 590 ET por remisión)</w:t>
            </w:r>
          </w:p>
          <w:p>
            <w:pPr>
              <w:spacing w:after="0" w:before="40"/>
            </w:pPr>
            <w:r>
              <w:rPr>
                <w:rFonts w:ascii="Arial" w:cs="Arial" w:eastAsia="Arial" w:hAnsi="Arial"/>
                <w:color w:val="1E293B"/>
                <w:sz w:val="20"/>
                <w:szCs w:val="20"/>
              </w:rPr>
              <w:t xml:space="preserve">I = K × T × t</w:t>
            </w:r>
          </w:p>
          <w:p>
            <w:pPr>
              <w:spacing w:after="0" w:before="40"/>
            </w:pPr>
            <w:r>
              <w:rPr>
                <w:rFonts w:ascii="Arial" w:cs="Arial" w:eastAsia="Arial" w:hAnsi="Arial"/>
                <w:color w:val="1E293B"/>
                <w:sz w:val="20"/>
                <w:szCs w:val="20"/>
              </w:rPr>
              <w:t xml:space="preserve"/>
            </w:r>
          </w:p>
          <w:p>
            <w:pPr>
              <w:spacing w:after="0" w:before="40"/>
            </w:pPr>
            <w:r>
              <w:rPr>
                <w:rFonts w:ascii="Arial" w:cs="Arial" w:eastAsia="Arial" w:hAnsi="Arial"/>
                <w:color w:val="1E293B"/>
                <w:sz w:val="20"/>
                <w:szCs w:val="20"/>
              </w:rPr>
              <w:t xml:space="preserve">Donde:</w:t>
            </w:r>
          </w:p>
          <w:p>
            <w:pPr>
              <w:spacing w:after="0" w:before="40"/>
            </w:pPr>
            <w:r>
              <w:rPr>
                <w:rFonts w:ascii="Arial" w:cs="Arial" w:eastAsia="Arial" w:hAnsi="Arial"/>
                <w:color w:val="1E293B"/>
                <w:sz w:val="20"/>
                <w:szCs w:val="20"/>
              </w:rPr>
              <w:t xml:space="preserve">  K = Capital insoluto (saldo de impuesto no pagado)</w:t>
            </w:r>
          </w:p>
          <w:p>
            <w:pPr>
              <w:spacing w:after="0" w:before="40"/>
            </w:pPr>
            <w:r>
              <w:rPr>
                <w:rFonts w:ascii="Arial" w:cs="Arial" w:eastAsia="Arial" w:hAnsi="Arial"/>
                <w:color w:val="1E293B"/>
                <w:sz w:val="20"/>
                <w:szCs w:val="20"/>
              </w:rPr>
              <w:t xml:space="preserve">  T = Tasa diaria = TIM_anual ÷ 365 (o 366 en año bisiesto)</w:t>
            </w:r>
          </w:p>
          <w:p>
            <w:pPr>
              <w:spacing w:after="0" w:before="40"/>
            </w:pPr>
            <w:r>
              <w:rPr>
                <w:rFonts w:ascii="Arial" w:cs="Arial" w:eastAsia="Arial" w:hAnsi="Arial"/>
                <w:color w:val="1E293B"/>
                <w:sz w:val="20"/>
                <w:szCs w:val="20"/>
              </w:rPr>
              <w:t xml:space="preserve">  t = Número de días en mora</w:t>
            </w:r>
          </w:p>
          <w:p>
            <w:pPr>
              <w:spacing w:after="0" w:before="40"/>
            </w:pPr>
            <w:r>
              <w:rPr>
                <w:rFonts w:ascii="Arial" w:cs="Arial" w:eastAsia="Arial" w:hAnsi="Arial"/>
                <w:color w:val="1E293B"/>
                <w:sz w:val="20"/>
                <w:szCs w:val="20"/>
              </w:rPr>
              <w:t xml:space="preserve"/>
            </w:r>
          </w:p>
          <w:p>
            <w:pPr>
              <w:spacing w:after="0" w:before="40"/>
            </w:pPr>
            <w:r>
              <w:rPr>
                <w:rFonts w:ascii="Arial" w:cs="Arial" w:eastAsia="Arial" w:hAnsi="Arial"/>
                <w:color w:val="1E293B"/>
                <w:sz w:val="20"/>
                <w:szCs w:val="20"/>
              </w:rPr>
              <w:t xml:space="preserve">Ejemplo: Predial 2024 de $500.000 pagado con 180 días de mora en 2026:</w:t>
            </w:r>
          </w:p>
          <w:p>
            <w:pPr>
              <w:spacing w:after="0" w:before="40"/>
            </w:pPr>
            <w:r>
              <w:rPr>
                <w:rFonts w:ascii="Arial" w:cs="Arial" w:eastAsia="Arial" w:hAnsi="Arial"/>
                <w:color w:val="1E293B"/>
                <w:sz w:val="20"/>
                <w:szCs w:val="20"/>
              </w:rPr>
              <w:t xml:space="preserve">  TIM 2026 = 26.79% EA → Factor diario = 26.79% ÷ 365 = 0.07340%</w:t>
            </w:r>
          </w:p>
          <w:p>
            <w:pPr>
              <w:spacing w:after="0" w:before="40"/>
            </w:pPr>
            <w:r>
              <w:rPr>
                <w:rFonts w:ascii="Arial" w:cs="Arial" w:eastAsia="Arial" w:hAnsi="Arial"/>
                <w:color w:val="1E293B"/>
                <w:sz w:val="20"/>
                <w:szCs w:val="20"/>
              </w:rPr>
              <w:t xml:space="preserve">  I = $500.000 × 0.07340% × 180 días = $66.060 de intereses</w:t>
            </w:r>
          </w:p>
          <w:p>
            <w:pPr>
              <w:spacing w:after="0" w:before="40"/>
            </w:pPr>
            <w:r>
              <w:rPr>
                <w:rFonts w:ascii="Arial" w:cs="Arial" w:eastAsia="Arial" w:hAnsi="Arial"/>
                <w:color w:val="1E293B"/>
                <w:sz w:val="20"/>
                <w:szCs w:val="20"/>
              </w:rPr>
              <w:t xml:space="preserve">  Total a pagar = $500.000 + $66.060 = $566.060</w:t>
            </w:r>
          </w:p>
          <w:p>
            <w:pPr>
              <w:spacing w:after="0" w:before="40"/>
            </w:pPr>
            <w:r>
              <w:rPr>
                <w:rFonts w:ascii="Arial" w:cs="Arial" w:eastAsia="Arial" w:hAnsi="Arial"/>
                <w:color w:val="1E293B"/>
                <w:sz w:val="20"/>
                <w:szCs w:val="20"/>
              </w:rPr>
              <w:t xml:space="preserve"/>
            </w:r>
          </w:p>
          <w:p>
            <w:pPr>
              <w:spacing w:after="0" w:before="40"/>
            </w:pPr>
            <w:r>
              <w:rPr>
                <w:rFonts w:ascii="Arial" w:cs="Arial" w:eastAsia="Arial" w:hAnsi="Arial"/>
                <w:color w:val="1E293B"/>
                <w:sz w:val="20"/>
                <w:szCs w:val="20"/>
              </w:rPr>
              <w:t xml:space="preserve">El sistema debe actualizar la TIM automáticamente cada mes desde la Superfinanciera.</w:t>
            </w:r>
          </w:p>
          <w:p>
            <w:pPr>
              <w:spacing w:after="0" w:before="40"/>
            </w:pPr>
            <w:r>
              <w:rPr>
                <w:rFonts w:ascii="Arial" w:cs="Arial" w:eastAsia="Arial" w:hAnsi="Arial"/>
                <w:color w:val="1E293B"/>
                <w:sz w:val="20"/>
                <w:szCs w:val="20"/>
              </w:rPr>
              <w:t xml:space="preserve">La prescripción de la acción de cobro ocurre a los 5 años del mandamiento de pago (Art. 817 ET).</w:t>
            </w:r>
          </w:p>
        </w:tc>
      </w:tr>
    </w:tbl>
    <w:p>
      <w:pPr>
        <w:spacing w:after="0" w:before="80"/>
      </w:pPr>
      <w:r>
        <w:t xml:space="preserve"/>
      </w:r>
    </w:p>
    <w:p>
      <w:pPr>
        <w:pStyle w:val="Heading2"/>
        <w:spacing w:after="140" w:before="320"/>
      </w:pPr>
      <w:r>
        <w:rPr>
          <w:rFonts w:ascii="Arial" w:cs="Arial" w:eastAsia="Arial" w:hAnsi="Arial"/>
          <w:b/>
          <w:bCs/>
          <w:color w:val="1E3A5F"/>
          <w:sz w:val="28"/>
          <w:szCs w:val="28"/>
        </w:rPr>
        <w:t xml:space="preserve">3.3 ICA — Impuesto de Industria y Comercio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BD5E1" w:sz="1"/>
              <w:left w:val="single" w:color="CBD5E1" w:sz="1"/>
              <w:bottom w:val="single" w:color="CBD5E1" w:sz="1"/>
              <w:right w:val="single" w:color="CBD5E1" w:sz="1"/>
            </w:tcBorders>
            <w:shd w:fill="FEF3C7" w:val="clear"/>
            <w:tcMar>
              <w:top w:type="dxa" w:w="120"/>
              <w:left w:type="dxa" w:w="200"/>
              <w:bottom w:type="dxa" w:w="120"/>
              <w:right w:type="dxa" w:w="200"/>
            </w:tcMar>
          </w:tcPr>
          <w:p>
            <w:r>
              <w:rPr>
                <w:rFonts w:ascii="Arial" w:cs="Arial" w:eastAsia="Arial" w:hAnsi="Arial"/>
                <w:b/>
                <w:bCs/>
                <w:color w:val="B45309"/>
                <w:sz w:val="21"/>
                <w:szCs w:val="21"/>
              </w:rPr>
              <w:t xml:space="preserve">📋 Ley 14 de 1983 + Decreto 1333 de 1986 + Leyes locales</w:t>
            </w:r>
          </w:p>
          <w:p>
            <w:pPr>
              <w:spacing w:after="0" w:before="40"/>
            </w:pPr>
            <w:r>
              <w:rPr>
                <w:rFonts w:ascii="Arial" w:cs="Arial" w:eastAsia="Arial" w:hAnsi="Arial"/>
                <w:color w:val="1E293B"/>
                <w:sz w:val="20"/>
                <w:szCs w:val="20"/>
              </w:rPr>
              <w:t xml:space="preserve">El ICA grava el ejercicio de actividades industriales, comerciales y de servicios en el municipio. Base gravable: ingresos brutos del contribuyente originados en el municipio. Tarifas: entre 2 y 10 por mil para actividades industriales, 2 a 10 por mil para comerciales, 2 a 10 por mil para servicios (según acuerdo municipal).</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400"/>
        <w:gridCol w:w="2760"/>
      </w:tblGrid>
      <w:tr>
        <w:trPr>
          <w:tblHeader/>
        </w:trPr>
        <w:tc>
          <w:tcPr>
            <w:tcW w:type="dxa" w:w="2200"/>
            <w:tcBorders>
              <w:top w:val="single" w:color="CBD5E1" w:sz="1"/>
              <w:left w:val="single" w:color="CBD5E1" w:sz="1"/>
              <w:bottom w:val="single" w:color="CBD5E1" w:sz="1"/>
              <w:right w:val="single" w:color="CBD5E1" w:sz="1"/>
            </w:tcBorders>
            <w:shd w:fill="1E3A5F"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Función</w:t>
            </w:r>
          </w:p>
        </w:tc>
        <w:tc>
          <w:tcPr>
            <w:tcW w:type="dxa" w:w="4400"/>
            <w:tcBorders>
              <w:top w:val="single" w:color="CBD5E1" w:sz="1"/>
              <w:left w:val="single" w:color="CBD5E1" w:sz="1"/>
              <w:bottom w:val="single" w:color="CBD5E1" w:sz="1"/>
              <w:right w:val="single" w:color="CBD5E1" w:sz="1"/>
            </w:tcBorders>
            <w:shd w:fill="1E3A5F"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Descripción</w:t>
            </w:r>
          </w:p>
        </w:tc>
        <w:tc>
          <w:tcPr>
            <w:tcW w:type="dxa" w:w="2760"/>
            <w:tcBorders>
              <w:top w:val="single" w:color="CBD5E1" w:sz="1"/>
              <w:left w:val="single" w:color="CBD5E1" w:sz="1"/>
              <w:bottom w:val="single" w:color="CBD5E1" w:sz="1"/>
              <w:right w:val="single" w:color="CBD5E1" w:sz="1"/>
            </w:tcBorders>
            <w:shd w:fill="1E3A5F"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Dato técnico</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Censo de contribuyentes ICA</w:t>
            </w:r>
          </w:p>
        </w:tc>
        <w:tc>
          <w:tcPr>
            <w:tcW w:type="dxa" w:w="4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Registro de todos los establecimientos comerciales con actividad económica CIIU, ingresos declarados y NIT.</w:t>
            </w:r>
          </w:p>
        </w:tc>
        <w:tc>
          <w:tcPr>
            <w:tcW w:type="dxa" w:w="2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Integración con RUT DIAN para validación</w:t>
            </w:r>
          </w:p>
        </w:tc>
      </w:tr>
      <w:tr>
        <w:tc>
          <w:tcPr>
            <w:tcW w:type="dxa" w:w="22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Arial" w:cs="Arial" w:eastAsia="Arial" w:hAnsi="Arial"/>
                <w:color w:val="1E293B"/>
                <w:sz w:val="20"/>
                <w:szCs w:val="20"/>
              </w:rPr>
              <w:t xml:space="preserve">Declaración y liquidación ICA</w:t>
            </w:r>
          </w:p>
        </w:tc>
        <w:tc>
          <w:tcPr>
            <w:tcW w:type="dxa" w:w="44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Arial" w:cs="Arial" w:eastAsia="Arial" w:hAnsi="Arial"/>
                <w:color w:val="1E293B"/>
                <w:sz w:val="20"/>
                <w:szCs w:val="20"/>
              </w:rPr>
              <w:t xml:space="preserve">El contribuyente declara ingresos bimestrales. El sistema valida y liquida automáticamente ICA + complementario de avisos y tableros.</w:t>
            </w:r>
          </w:p>
        </w:tc>
        <w:tc>
          <w:tcPr>
            <w:tcW w:type="dxa" w:w="276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Arial" w:cs="Arial" w:eastAsia="Arial" w:hAnsi="Arial"/>
                <w:color w:val="1E293B"/>
                <w:sz w:val="20"/>
                <w:szCs w:val="20"/>
              </w:rPr>
              <w:t xml:space="preserve">Bimestral o anual según acuerdo municipal</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Fiscalización ICA</w:t>
            </w:r>
          </w:p>
        </w:tc>
        <w:tc>
          <w:tcPr>
            <w:tcW w:type="dxa" w:w="4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Cruce de información: declaraciones ICA vs. Ingresos reportados en renta a la DIAN (información exógena).</w:t>
            </w:r>
          </w:p>
        </w:tc>
        <w:tc>
          <w:tcPr>
            <w:tcW w:type="dxa" w:w="2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Art. 651-657 ET — información exógena</w:t>
            </w:r>
          </w:p>
        </w:tc>
      </w:tr>
      <w:tr>
        <w:tc>
          <w:tcPr>
            <w:tcW w:type="dxa" w:w="22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Arial" w:cs="Arial" w:eastAsia="Arial" w:hAnsi="Arial"/>
                <w:color w:val="1E293B"/>
                <w:sz w:val="20"/>
                <w:szCs w:val="20"/>
              </w:rPr>
              <w:t xml:space="preserve">Retención de ICA (ReteICA)</w:t>
            </w:r>
          </w:p>
        </w:tc>
        <w:tc>
          <w:tcPr>
            <w:tcW w:type="dxa" w:w="44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Arial" w:cs="Arial" w:eastAsia="Arial" w:hAnsi="Arial"/>
                <w:color w:val="1E293B"/>
                <w:sz w:val="20"/>
                <w:szCs w:val="20"/>
              </w:rPr>
              <w:t xml:space="preserve">Cuando una entidad pública paga a un proveedor, debe retener un porcentaje del ICA del municipio. Tarifa: varía por actividad.</w:t>
            </w:r>
          </w:p>
        </w:tc>
        <w:tc>
          <w:tcPr>
            <w:tcW w:type="dxa" w:w="276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Arial" w:cs="Arial" w:eastAsia="Arial" w:hAnsi="Arial"/>
                <w:color w:val="1E293B"/>
                <w:sz w:val="20"/>
                <w:szCs w:val="20"/>
              </w:rPr>
              <w:t xml:space="preserve">Regulada por acuerdo municipal</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Impuesto de avisos y tableros</w:t>
            </w:r>
          </w:p>
        </w:tc>
        <w:tc>
          <w:tcPr>
            <w:tcW w:type="dxa" w:w="4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15% sobre el valor del ICA. Se liquida automáticamente junto con el ICA.</w:t>
            </w:r>
          </w:p>
        </w:tc>
        <w:tc>
          <w:tcPr>
            <w:tcW w:type="dxa" w:w="2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Art. 37 Ley 14/1983</w:t>
            </w:r>
          </w:p>
        </w:tc>
      </w:tr>
    </w:tbl>
    <w:p>
      <w:pPr>
        <w:spacing w:after="0" w:before="80"/>
      </w:pPr>
      <w:r>
        <w:t xml:space="preserve"/>
      </w:r>
    </w:p>
    <w:p>
      <w:pPr>
        <w:pStyle w:val="Heading2"/>
        <w:spacing w:after="140" w:before="320"/>
      </w:pPr>
      <w:r>
        <w:rPr>
          <w:rFonts w:ascii="Arial" w:cs="Arial" w:eastAsia="Arial" w:hAnsi="Arial"/>
          <w:b/>
          <w:bCs/>
          <w:color w:val="1E3A5F"/>
          <w:sz w:val="28"/>
          <w:szCs w:val="28"/>
        </w:rPr>
        <w:t xml:space="preserve">3.4 Fiscalización y Cobro Coactivo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BD5E1" w:sz="1"/>
              <w:left w:val="single" w:color="CBD5E1" w:sz="1"/>
              <w:bottom w:val="single" w:color="CBD5E1" w:sz="1"/>
              <w:right w:val="single" w:color="CBD5E1" w:sz="1"/>
            </w:tcBorders>
            <w:shd w:fill="FEF3C7" w:val="clear"/>
            <w:tcMar>
              <w:top w:type="dxa" w:w="120"/>
              <w:left w:type="dxa" w:w="200"/>
              <w:bottom w:type="dxa" w:w="120"/>
              <w:right w:type="dxa" w:w="200"/>
            </w:tcMar>
          </w:tcPr>
          <w:p>
            <w:r>
              <w:rPr>
                <w:rFonts w:ascii="Arial" w:cs="Arial" w:eastAsia="Arial" w:hAnsi="Arial"/>
                <w:b/>
                <w:bCs/>
                <w:color w:val="B45309"/>
                <w:sz w:val="21"/>
                <w:szCs w:val="21"/>
              </w:rPr>
              <w:t xml:space="preserve">📋 Arts. 823-843 Estatuto Tributario + Arts. 99-107 Ley 1437/2011 (CPACA)</w:t>
            </w:r>
          </w:p>
          <w:p>
            <w:pPr>
              <w:spacing w:after="0" w:before="40"/>
            </w:pPr>
            <w:r>
              <w:rPr>
                <w:rFonts w:ascii="Arial" w:cs="Arial" w:eastAsia="Arial" w:hAnsi="Arial"/>
                <w:color w:val="1E293B"/>
                <w:sz w:val="20"/>
                <w:szCs w:val="20"/>
              </w:rPr>
              <w:t xml:space="preserve">El cobro coactivo es el procedimiento administrativo mediante el cual la entidad pública cobra sus deudas tributarias SIN necesidad de ir a un juez. El funcionario competente (jefe de rentas) tiene poderes de embargo, secuestro y remate equiparables a los de un juez civil de ejecución.</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1800"/>
        <w:gridCol w:w="2360"/>
      </w:tblGrid>
      <w:tr>
        <w:trPr>
          <w:tblHeader/>
        </w:trPr>
        <w:tc>
          <w:tcPr>
            <w:tcW w:type="dxa" w:w="2400"/>
            <w:tcBorders>
              <w:top w:val="single" w:color="CBD5E1" w:sz="1"/>
              <w:left w:val="single" w:color="CBD5E1" w:sz="1"/>
              <w:bottom w:val="single" w:color="CBD5E1" w:sz="1"/>
              <w:right w:val="single" w:color="CBD5E1" w:sz="1"/>
            </w:tcBorders>
            <w:shd w:fill="1E3A5F"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Etapa del cobro coactivo</w:t>
            </w:r>
          </w:p>
        </w:tc>
        <w:tc>
          <w:tcPr>
            <w:tcW w:type="dxa" w:w="2800"/>
            <w:tcBorders>
              <w:top w:val="single" w:color="CBD5E1" w:sz="1"/>
              <w:left w:val="single" w:color="CBD5E1" w:sz="1"/>
              <w:bottom w:val="single" w:color="CBD5E1" w:sz="1"/>
              <w:right w:val="single" w:color="CBD5E1" w:sz="1"/>
            </w:tcBorders>
            <w:shd w:fill="1E3A5F"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Acción del sistema</w:t>
            </w:r>
          </w:p>
        </w:tc>
        <w:tc>
          <w:tcPr>
            <w:tcW w:type="dxa" w:w="1800"/>
            <w:tcBorders>
              <w:top w:val="single" w:color="CBD5E1" w:sz="1"/>
              <w:left w:val="single" w:color="CBD5E1" w:sz="1"/>
              <w:bottom w:val="single" w:color="CBD5E1" w:sz="1"/>
              <w:right w:val="single" w:color="CBD5E1" w:sz="1"/>
            </w:tcBorders>
            <w:shd w:fill="1E3A5F"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Plazo legal</w:t>
            </w:r>
          </w:p>
        </w:tc>
        <w:tc>
          <w:tcPr>
            <w:tcW w:type="dxa" w:w="2360"/>
            <w:tcBorders>
              <w:top w:val="single" w:color="CBD5E1" w:sz="1"/>
              <w:left w:val="single" w:color="CBD5E1" w:sz="1"/>
              <w:bottom w:val="single" w:color="CBD5E1" w:sz="1"/>
              <w:right w:val="single" w:color="CBD5E1" w:sz="1"/>
            </w:tcBorders>
            <w:shd w:fill="1E3A5F"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Norma</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1. Mandamiento de pago</w:t>
            </w:r>
          </w:p>
        </w:tc>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Genera auto administrativo de cobro con capital e intereses. Notifica al deudor.</w:t>
            </w:r>
          </w:p>
        </w:tc>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10 días para comparecer</w:t>
            </w:r>
          </w:p>
        </w:tc>
        <w:tc>
          <w:tcPr>
            <w:tcW w:type="dxa" w:w="2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Art. 826 ET</w:t>
            </w:r>
          </w:p>
        </w:tc>
      </w:tr>
      <w:tr>
        <w:tc>
          <w:tcPr>
            <w:tcW w:type="dxa" w:w="24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Arial" w:cs="Arial" w:eastAsia="Arial" w:hAnsi="Arial"/>
                <w:color w:val="1E293B"/>
                <w:sz w:val="20"/>
                <w:szCs w:val="20"/>
              </w:rPr>
              <w:t xml:space="preserve">2. Período de oposición</w:t>
            </w:r>
          </w:p>
        </w:tc>
        <w:tc>
          <w:tcPr>
            <w:tcW w:type="dxa" w:w="28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Arial" w:cs="Arial" w:eastAsia="Arial" w:hAnsi="Arial"/>
                <w:color w:val="1E293B"/>
                <w:sz w:val="20"/>
                <w:szCs w:val="20"/>
              </w:rPr>
              <w:t xml:space="preserve">Registra excepciones del deudor: pago, prescripción, falta de ejecutoria.</w:t>
            </w:r>
          </w:p>
        </w:tc>
        <w:tc>
          <w:tcPr>
            <w:tcW w:type="dxa" w:w="18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Arial" w:cs="Arial" w:eastAsia="Arial" w:hAnsi="Arial"/>
                <w:color w:val="1E293B"/>
                <w:sz w:val="20"/>
                <w:szCs w:val="20"/>
              </w:rPr>
              <w:t xml:space="preserve">15 días desde notificación</w:t>
            </w:r>
          </w:p>
        </w:tc>
        <w:tc>
          <w:tcPr>
            <w:tcW w:type="dxa" w:w="236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Arial" w:cs="Arial" w:eastAsia="Arial" w:hAnsi="Arial"/>
                <w:color w:val="1E293B"/>
                <w:sz w:val="20"/>
                <w:szCs w:val="20"/>
              </w:rPr>
              <w:t xml:space="preserve">Art. 831 ET</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3. Medida cautelar — embargo</w:t>
            </w:r>
          </w:p>
        </w:tc>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Genera oficio de embargo a entidad financiera o Registro de Instrumentos Públicos.</w:t>
            </w:r>
          </w:p>
        </w:tc>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Inmediato si hay título ejecutivo firme</w:t>
            </w:r>
          </w:p>
        </w:tc>
        <w:tc>
          <w:tcPr>
            <w:tcW w:type="dxa" w:w="2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Art. 837 ET</w:t>
            </w:r>
          </w:p>
        </w:tc>
      </w:tr>
      <w:tr>
        <w:tc>
          <w:tcPr>
            <w:tcW w:type="dxa" w:w="24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Arial" w:cs="Arial" w:eastAsia="Arial" w:hAnsi="Arial"/>
                <w:color w:val="1E293B"/>
                <w:sz w:val="20"/>
                <w:szCs w:val="20"/>
              </w:rPr>
              <w:t xml:space="preserve">4. Secuestro de bienes</w:t>
            </w:r>
          </w:p>
        </w:tc>
        <w:tc>
          <w:tcPr>
            <w:tcW w:type="dxa" w:w="28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Arial" w:cs="Arial" w:eastAsia="Arial" w:hAnsi="Arial"/>
                <w:color w:val="1E293B"/>
                <w:sz w:val="20"/>
                <w:szCs w:val="20"/>
              </w:rPr>
              <w:t xml:space="preserve">Genera acta de secuestro para bienes muebles o inmuebles embargados.</w:t>
            </w:r>
          </w:p>
        </w:tc>
        <w:tc>
          <w:tcPr>
            <w:tcW w:type="dxa" w:w="18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Arial" w:cs="Arial" w:eastAsia="Arial" w:hAnsi="Arial"/>
                <w:color w:val="1E293B"/>
                <w:sz w:val="20"/>
                <w:szCs w:val="20"/>
              </w:rPr>
              <w:t xml:space="preserve">Después del embargo</w:t>
            </w:r>
          </w:p>
        </w:tc>
        <w:tc>
          <w:tcPr>
            <w:tcW w:type="dxa" w:w="236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Arial" w:cs="Arial" w:eastAsia="Arial" w:hAnsi="Arial"/>
                <w:color w:val="1E293B"/>
                <w:sz w:val="20"/>
                <w:szCs w:val="20"/>
              </w:rPr>
              <w:t xml:space="preserve">Art. 838 ET</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5. Avalúo y remate</w:t>
            </w:r>
          </w:p>
        </w:tc>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Registra avalúo pericial y programa pública subasta del bien embargado.</w:t>
            </w:r>
          </w:p>
        </w:tc>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30 días desde secuestro</w:t>
            </w:r>
          </w:p>
        </w:tc>
        <w:tc>
          <w:tcPr>
            <w:tcW w:type="dxa" w:w="2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Art. 840 ET</w:t>
            </w:r>
          </w:p>
        </w:tc>
      </w:tr>
      <w:tr>
        <w:tc>
          <w:tcPr>
            <w:tcW w:type="dxa" w:w="24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Arial" w:cs="Arial" w:eastAsia="Arial" w:hAnsi="Arial"/>
                <w:color w:val="1E293B"/>
                <w:sz w:val="20"/>
                <w:szCs w:val="20"/>
              </w:rPr>
              <w:t xml:space="preserve">6. Extinción de la obligación</w:t>
            </w:r>
          </w:p>
        </w:tc>
        <w:tc>
          <w:tcPr>
            <w:tcW w:type="dxa" w:w="28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Arial" w:cs="Arial" w:eastAsia="Arial" w:hAnsi="Arial"/>
                <w:color w:val="1E293B"/>
                <w:sz w:val="20"/>
                <w:szCs w:val="20"/>
              </w:rPr>
              <w:t xml:space="preserve">Registra el pago, el remate o la dación en pago. Cierra el proceso.</w:t>
            </w:r>
          </w:p>
        </w:tc>
        <w:tc>
          <w:tcPr>
            <w:tcW w:type="dxa" w:w="18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Arial" w:cs="Arial" w:eastAsia="Arial" w:hAnsi="Arial"/>
                <w:color w:val="1E293B"/>
                <w:sz w:val="20"/>
                <w:szCs w:val="20"/>
              </w:rPr>
              <w:t xml:space="preserve">Al completarse el recaudo</w:t>
            </w:r>
          </w:p>
        </w:tc>
        <w:tc>
          <w:tcPr>
            <w:tcW w:type="dxa" w:w="236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Arial" w:cs="Arial" w:eastAsia="Arial" w:hAnsi="Arial"/>
                <w:color w:val="1E293B"/>
                <w:sz w:val="20"/>
                <w:szCs w:val="20"/>
              </w:rPr>
              <w:t xml:space="preserve">Art. 835 ET</w:t>
            </w:r>
          </w:p>
        </w:tc>
      </w:tr>
    </w:tbl>
    <w:p>
      <w:pPr>
        <w:spacing w:after="0" w:before="80"/>
      </w:pPr>
      <w:r>
        <w:t xml:space="preserve"/>
      </w:r>
    </w:p>
    <w:p>
      <w:r>
        <w:br w:type="page"/>
      </w:r>
    </w:p>
    <w:p>
      <w:pPr>
        <w:pStyle w:val="Heading1"/>
        <w:pBdr>
          <w:bottom w:val="single" w:color="1E3A5F" w:sz="8" w:space="4"/>
        </w:pBdr>
        <w:spacing w:after="200" w:before="480"/>
      </w:pPr>
      <w:r>
        <w:rPr>
          <w:rFonts w:ascii="Arial" w:cs="Arial" w:eastAsia="Arial" w:hAnsi="Arial"/>
          <w:b/>
          <w:bCs/>
          <w:color w:val="1E3A5F"/>
          <w:sz w:val="38"/>
          <w:szCs w:val="38"/>
        </w:rPr>
        <w:t xml:space="preserve">Macro-Sistema 4 — Contratación Pública</w:t>
      </w:r>
    </w:p>
    <w:p>
      <w:pPr>
        <w:spacing w:after="80" w:before="80"/>
      </w:pPr>
      <w:r>
        <w:rPr>
          <w:rFonts w:ascii="Arial" w:cs="Arial" w:eastAsia="Arial" w:hAnsi="Arial"/>
          <w:color w:val="1E293B"/>
          <w:sz w:val="22"/>
          <w:szCs w:val="22"/>
        </w:rPr>
        <w:t xml:space="preserve">El Estado no compra libremente. Cada peso que gasta debe pasar por un proceso de selección reglado, publicarse en SECOP II, contar con CDP, suscribirse con pólizas de amparo y ejecutarse con supervisión. Omitir cualquier paso genera nulidad del contrato y responsabilidad del funcionario.</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BD5E1" w:sz="1"/>
              <w:left w:val="single" w:color="CBD5E1" w:sz="1"/>
              <w:bottom w:val="single" w:color="CBD5E1" w:sz="1"/>
              <w:right w:val="single" w:color="CBD5E1" w:sz="1"/>
            </w:tcBorders>
            <w:shd w:fill="FEF3C7" w:val="clear"/>
            <w:tcMar>
              <w:top w:type="dxa" w:w="120"/>
              <w:left w:type="dxa" w:w="200"/>
              <w:bottom w:type="dxa" w:w="120"/>
              <w:right w:type="dxa" w:w="200"/>
            </w:tcMar>
          </w:tcPr>
          <w:p>
            <w:r>
              <w:rPr>
                <w:rFonts w:ascii="Arial" w:cs="Arial" w:eastAsia="Arial" w:hAnsi="Arial"/>
                <w:b/>
                <w:bCs/>
                <w:color w:val="B45309"/>
                <w:sz w:val="21"/>
                <w:szCs w:val="21"/>
              </w:rPr>
              <w:t xml:space="preserve">📋 Ley 80 de 1993 + Ley 1150 de 2007 + Decreto 1082 de 2015</w:t>
            </w:r>
          </w:p>
          <w:p>
            <w:pPr>
              <w:spacing w:after="0" w:before="40"/>
            </w:pPr>
            <w:r>
              <w:rPr>
                <w:rFonts w:ascii="Arial" w:cs="Arial" w:eastAsia="Arial" w:hAnsi="Arial"/>
                <w:color w:val="1E293B"/>
                <w:sz w:val="20"/>
                <w:szCs w:val="20"/>
              </w:rPr>
              <w:t xml:space="preserve">La Ley 80/1993 es el Estatuto General de Contratación de la Administración Pública. La Ley 1150/2007 introdujo las modalidades de selección. El Decreto 1082/2015 (DUR sector administrativo planeación) compila toda la reglamentación contractual vigente. Adicionalmente, la Ley 1474/2011 (Estatuto Anticorrupción) reforzó los controles a la contratación.</w:t>
            </w:r>
          </w:p>
        </w:tc>
      </w:tr>
    </w:tbl>
    <w:p>
      <w:pPr>
        <w:spacing w:after="0" w:before="80"/>
      </w:pPr>
      <w:r>
        <w:t xml:space="preserve"/>
      </w:r>
    </w:p>
    <w:p>
      <w:pPr>
        <w:pStyle w:val="Heading2"/>
        <w:spacing w:after="140" w:before="320"/>
      </w:pPr>
      <w:r>
        <w:rPr>
          <w:rFonts w:ascii="Arial" w:cs="Arial" w:eastAsia="Arial" w:hAnsi="Arial"/>
          <w:b/>
          <w:bCs/>
          <w:color w:val="1E3A5F"/>
          <w:sz w:val="28"/>
          <w:szCs w:val="28"/>
        </w:rPr>
        <w:t xml:space="preserve">4.1 Modalidades de Selección del Contratista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000"/>
        <w:gridCol w:w="2200"/>
        <w:gridCol w:w="1960"/>
      </w:tblGrid>
      <w:tr>
        <w:trPr>
          <w:tblHeader/>
        </w:trPr>
        <w:tc>
          <w:tcPr>
            <w:tcW w:type="dxa" w:w="2200"/>
            <w:tcBorders>
              <w:top w:val="single" w:color="CBD5E1" w:sz="1"/>
              <w:left w:val="single" w:color="CBD5E1" w:sz="1"/>
              <w:bottom w:val="single" w:color="CBD5E1" w:sz="1"/>
              <w:right w:val="single" w:color="CBD5E1" w:sz="1"/>
            </w:tcBorders>
            <w:shd w:fill="1E3A5F"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Modalidad</w:t>
            </w:r>
          </w:p>
        </w:tc>
        <w:tc>
          <w:tcPr>
            <w:tcW w:type="dxa" w:w="3000"/>
            <w:tcBorders>
              <w:top w:val="single" w:color="CBD5E1" w:sz="1"/>
              <w:left w:val="single" w:color="CBD5E1" w:sz="1"/>
              <w:bottom w:val="single" w:color="CBD5E1" w:sz="1"/>
              <w:right w:val="single" w:color="CBD5E1" w:sz="1"/>
            </w:tcBorders>
            <w:shd w:fill="1E3A5F"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Cuándo aplica</w:t>
            </w:r>
          </w:p>
        </w:tc>
        <w:tc>
          <w:tcPr>
            <w:tcW w:type="dxa" w:w="2200"/>
            <w:tcBorders>
              <w:top w:val="single" w:color="CBD5E1" w:sz="1"/>
              <w:left w:val="single" w:color="CBD5E1" w:sz="1"/>
              <w:bottom w:val="single" w:color="CBD5E1" w:sz="1"/>
              <w:right w:val="single" w:color="CBD5E1" w:sz="1"/>
            </w:tcBorders>
            <w:shd w:fill="1E3A5F"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Umbrales 2026 aprox.</w:t>
            </w:r>
          </w:p>
        </w:tc>
        <w:tc>
          <w:tcPr>
            <w:tcW w:type="dxa" w:w="1960"/>
            <w:tcBorders>
              <w:top w:val="single" w:color="CBD5E1" w:sz="1"/>
              <w:left w:val="single" w:color="CBD5E1" w:sz="1"/>
              <w:bottom w:val="single" w:color="CBD5E1" w:sz="1"/>
              <w:right w:val="single" w:color="CBD5E1" w:sz="1"/>
            </w:tcBorders>
            <w:shd w:fill="1E3A5F"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Plazo mínimo</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Licitación Pública</w:t>
            </w:r>
          </w:p>
        </w:tc>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Contratos que superen la menor cuantía. Es la regla general.</w:t>
            </w:r>
          </w:p>
        </w:tc>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Según entidad (≥1.000 SMMLV aprox.)</w:t>
            </w:r>
          </w:p>
        </w:tc>
        <w:tc>
          <w:tcPr>
            <w:tcW w:type="dxa" w:w="1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30 días calendario para recibir ofertas</w:t>
            </w:r>
          </w:p>
        </w:tc>
      </w:tr>
      <w:tr>
        <w:tc>
          <w:tcPr>
            <w:tcW w:type="dxa" w:w="22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Arial" w:cs="Arial" w:eastAsia="Arial" w:hAnsi="Arial"/>
                <w:color w:val="1E293B"/>
                <w:sz w:val="20"/>
                <w:szCs w:val="20"/>
              </w:rPr>
              <w:t xml:space="preserve">Selección Abreviada — Menor Cuantía</w:t>
            </w:r>
          </w:p>
        </w:tc>
        <w:tc>
          <w:tcPr>
            <w:tcW w:type="dxa" w:w="30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Arial" w:cs="Arial" w:eastAsia="Arial" w:hAnsi="Arial"/>
                <w:color w:val="1E293B"/>
                <w:sz w:val="20"/>
                <w:szCs w:val="20"/>
              </w:rPr>
              <w:t xml:space="preserve">Contratos entre el 10% y el 100% de la menor cuantía.</w:t>
            </w:r>
          </w:p>
        </w:tc>
        <w:tc>
          <w:tcPr>
            <w:tcW w:type="dxa" w:w="22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Arial" w:cs="Arial" w:eastAsia="Arial" w:hAnsi="Arial"/>
                <w:color w:val="1E293B"/>
                <w:sz w:val="20"/>
                <w:szCs w:val="20"/>
              </w:rPr>
              <w:t xml:space="preserve">Varía por presupuesto de la entidad</w:t>
            </w:r>
          </w:p>
        </w:tc>
        <w:tc>
          <w:tcPr>
            <w:tcW w:type="dxa" w:w="196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Arial" w:cs="Arial" w:eastAsia="Arial" w:hAnsi="Arial"/>
                <w:color w:val="1E293B"/>
                <w:sz w:val="20"/>
                <w:szCs w:val="20"/>
              </w:rPr>
              <w:t xml:space="preserve">10 días hábiles</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Concurso de Méritos</w:t>
            </w:r>
          </w:p>
        </w:tc>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Exclusivo para consultoría: estudios, diseños, interventorías.</w:t>
            </w:r>
          </w:p>
        </w:tc>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Sin límite de cuantía</w:t>
            </w:r>
          </w:p>
        </w:tc>
        <w:tc>
          <w:tcPr>
            <w:tcW w:type="dxa" w:w="1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20 días calendario</w:t>
            </w:r>
          </w:p>
        </w:tc>
      </w:tr>
      <w:tr>
        <w:tc>
          <w:tcPr>
            <w:tcW w:type="dxa" w:w="22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Arial" w:cs="Arial" w:eastAsia="Arial" w:hAnsi="Arial"/>
                <w:color w:val="1E293B"/>
                <w:sz w:val="20"/>
                <w:szCs w:val="20"/>
              </w:rPr>
              <w:t xml:space="preserve">Mínima Cuantía</w:t>
            </w:r>
          </w:p>
        </w:tc>
        <w:tc>
          <w:tcPr>
            <w:tcW w:type="dxa" w:w="30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Arial" w:cs="Arial" w:eastAsia="Arial" w:hAnsi="Arial"/>
                <w:color w:val="1E293B"/>
                <w:sz w:val="20"/>
                <w:szCs w:val="20"/>
              </w:rPr>
              <w:t xml:space="preserve">Contratos de mínima cuantía (10% de la menor cuantía).</w:t>
            </w:r>
          </w:p>
        </w:tc>
        <w:tc>
          <w:tcPr>
            <w:tcW w:type="dxa" w:w="22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Arial" w:cs="Arial" w:eastAsia="Arial" w:hAnsi="Arial"/>
                <w:color w:val="1E293B"/>
                <w:sz w:val="20"/>
                <w:szCs w:val="20"/>
              </w:rPr>
              <w:t xml:space="preserve">≤280 SMMLV aprox.</w:t>
            </w:r>
          </w:p>
        </w:tc>
        <w:tc>
          <w:tcPr>
            <w:tcW w:type="dxa" w:w="196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Arial" w:cs="Arial" w:eastAsia="Arial" w:hAnsi="Arial"/>
                <w:color w:val="1E293B"/>
                <w:sz w:val="20"/>
                <w:szCs w:val="20"/>
              </w:rPr>
              <w:t xml:space="preserve">1 día hábil de oferta</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Contratación Directa</w:t>
            </w:r>
          </w:p>
        </w:tc>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Excepcional: urgencia manifiesta, contratos interadministrativos, empréstitos, artistas, etc.</w:t>
            </w:r>
          </w:p>
        </w:tc>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Sin límite si aplica causal legal</w:t>
            </w:r>
          </w:p>
        </w:tc>
        <w:tc>
          <w:tcPr>
            <w:tcW w:type="dxa" w:w="1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Sin término mínimo</w:t>
            </w:r>
          </w:p>
        </w:tc>
      </w:tr>
      <w:tr>
        <w:tc>
          <w:tcPr>
            <w:tcW w:type="dxa" w:w="22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Arial" w:cs="Arial" w:eastAsia="Arial" w:hAnsi="Arial"/>
                <w:color w:val="1E293B"/>
                <w:sz w:val="20"/>
                <w:szCs w:val="20"/>
              </w:rPr>
              <w:t xml:space="preserve">Acuerdos Marco CCE</w:t>
            </w:r>
          </w:p>
        </w:tc>
        <w:tc>
          <w:tcPr>
            <w:tcW w:type="dxa" w:w="30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Arial" w:cs="Arial" w:eastAsia="Arial" w:hAnsi="Arial"/>
                <w:color w:val="1E293B"/>
                <w:sz w:val="20"/>
                <w:szCs w:val="20"/>
              </w:rPr>
              <w:t xml:space="preserve">Compra de bienes y servicios de catálogo en la Tienda Virtual del Estado.</w:t>
            </w:r>
          </w:p>
        </w:tc>
        <w:tc>
          <w:tcPr>
            <w:tcW w:type="dxa" w:w="22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Arial" w:cs="Arial" w:eastAsia="Arial" w:hAnsi="Arial"/>
                <w:color w:val="1E293B"/>
                <w:sz w:val="20"/>
                <w:szCs w:val="20"/>
              </w:rPr>
              <w:t xml:space="preserve">Sin límite</w:t>
            </w:r>
          </w:p>
        </w:tc>
        <w:tc>
          <w:tcPr>
            <w:tcW w:type="dxa" w:w="196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Arial" w:cs="Arial" w:eastAsia="Arial" w:hAnsi="Arial"/>
                <w:color w:val="1E293B"/>
                <w:sz w:val="20"/>
                <w:szCs w:val="20"/>
              </w:rPr>
              <w:t xml:space="preserve">Inmediato</w:t>
            </w:r>
          </w:p>
        </w:tc>
      </w:tr>
    </w:tbl>
    <w:p>
      <w:pPr>
        <w:spacing w:after="0" w:before="80"/>
      </w:pPr>
      <w:r>
        <w:t xml:space="preserve"/>
      </w:r>
    </w:p>
    <w:p>
      <w:pPr>
        <w:pStyle w:val="Heading2"/>
        <w:spacing w:after="140" w:before="320"/>
      </w:pPr>
      <w:r>
        <w:rPr>
          <w:rFonts w:ascii="Arial" w:cs="Arial" w:eastAsia="Arial" w:hAnsi="Arial"/>
          <w:b/>
          <w:bCs/>
          <w:color w:val="1E3A5F"/>
          <w:sz w:val="28"/>
          <w:szCs w:val="28"/>
        </w:rPr>
        <w:t xml:space="preserve">4.2 Ciclo Contractual Completo</w:t>
      </w:r>
    </w:p>
    <w:p>
      <w:pPr>
        <w:pStyle w:val="Heading3"/>
        <w:spacing w:after="100" w:before="200"/>
      </w:pPr>
      <w:r>
        <w:rPr>
          <w:rFonts w:ascii="Arial" w:cs="Arial" w:eastAsia="Arial" w:hAnsi="Arial"/>
          <w:b/>
          <w:bCs/>
          <w:color w:val="1E293B"/>
          <w:sz w:val="24"/>
          <w:szCs w:val="24"/>
        </w:rPr>
        <w:t xml:space="preserve">Fase 1 — Precontractual (Estudios Previos)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400"/>
        <w:gridCol w:w="2760"/>
      </w:tblGrid>
      <w:tr>
        <w:trPr>
          <w:tblHeader/>
        </w:trPr>
        <w:tc>
          <w:tcPr>
            <w:tcW w:type="dxa" w:w="2200"/>
            <w:tcBorders>
              <w:top w:val="single" w:color="CBD5E1" w:sz="1"/>
              <w:left w:val="single" w:color="CBD5E1" w:sz="1"/>
              <w:bottom w:val="single" w:color="CBD5E1" w:sz="1"/>
              <w:right w:val="single" w:color="CBD5E1" w:sz="1"/>
            </w:tcBorders>
            <w:shd w:fill="1E3A5F"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Documento</w:t>
            </w:r>
          </w:p>
        </w:tc>
        <w:tc>
          <w:tcPr>
            <w:tcW w:type="dxa" w:w="4400"/>
            <w:tcBorders>
              <w:top w:val="single" w:color="CBD5E1" w:sz="1"/>
              <w:left w:val="single" w:color="CBD5E1" w:sz="1"/>
              <w:bottom w:val="single" w:color="CBD5E1" w:sz="1"/>
              <w:right w:val="single" w:color="CBD5E1" w:sz="1"/>
            </w:tcBorders>
            <w:shd w:fill="1E3A5F"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Contenido obligatorio</w:t>
            </w:r>
          </w:p>
        </w:tc>
        <w:tc>
          <w:tcPr>
            <w:tcW w:type="dxa" w:w="2760"/>
            <w:tcBorders>
              <w:top w:val="single" w:color="CBD5E1" w:sz="1"/>
              <w:left w:val="single" w:color="CBD5E1" w:sz="1"/>
              <w:bottom w:val="single" w:color="CBD5E1" w:sz="1"/>
              <w:right w:val="single" w:color="CBD5E1" w:sz="1"/>
            </w:tcBorders>
            <w:shd w:fill="1E3A5F"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Norma</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Estudios previos</w:t>
            </w:r>
          </w:p>
        </w:tc>
        <w:tc>
          <w:tcPr>
            <w:tcW w:type="dxa" w:w="4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Descripción de la necesidad, objeto del contrato, obligaciones, modalidad de selección, valor estimado, plazo, riesgo, garantías exigidas.</w:t>
            </w:r>
          </w:p>
        </w:tc>
        <w:tc>
          <w:tcPr>
            <w:tcW w:type="dxa" w:w="2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Art. 2.2.1.1.1.6.1 Decreto 1082/2015</w:t>
            </w:r>
          </w:p>
        </w:tc>
      </w:tr>
      <w:tr>
        <w:tc>
          <w:tcPr>
            <w:tcW w:type="dxa" w:w="22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Arial" w:cs="Arial" w:eastAsia="Arial" w:hAnsi="Arial"/>
                <w:color w:val="1E293B"/>
                <w:sz w:val="20"/>
                <w:szCs w:val="20"/>
              </w:rPr>
              <w:t xml:space="preserve">Análisis del sector</w:t>
            </w:r>
          </w:p>
        </w:tc>
        <w:tc>
          <w:tcPr>
            <w:tcW w:type="dxa" w:w="44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Arial" w:cs="Arial" w:eastAsia="Arial" w:hAnsi="Arial"/>
                <w:color w:val="1E293B"/>
                <w:sz w:val="20"/>
                <w:szCs w:val="20"/>
              </w:rPr>
              <w:t xml:space="preserve">Análisis de oferta y demanda, precios del mercado, experiencia habitual del sector.</w:t>
            </w:r>
          </w:p>
        </w:tc>
        <w:tc>
          <w:tcPr>
            <w:tcW w:type="dxa" w:w="276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Arial" w:cs="Arial" w:eastAsia="Arial" w:hAnsi="Arial"/>
                <w:color w:val="1E293B"/>
                <w:sz w:val="20"/>
                <w:szCs w:val="20"/>
              </w:rPr>
              <w:t xml:space="preserve">Art. 2.2.1.1.1.6.1 Decreto 1082/2015</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Matriz de riesgos</w:t>
            </w:r>
          </w:p>
        </w:tc>
        <w:tc>
          <w:tcPr>
            <w:tcW w:type="dxa" w:w="4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Identificación, estimación y asignación de riesgos previsibles del contrato.</w:t>
            </w:r>
          </w:p>
        </w:tc>
        <w:tc>
          <w:tcPr>
            <w:tcW w:type="dxa" w:w="2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Arts. 4-5 Ley 80/1993</w:t>
            </w:r>
          </w:p>
        </w:tc>
      </w:tr>
      <w:tr>
        <w:tc>
          <w:tcPr>
            <w:tcW w:type="dxa" w:w="22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Arial" w:cs="Arial" w:eastAsia="Arial" w:hAnsi="Arial"/>
                <w:color w:val="1E293B"/>
                <w:sz w:val="20"/>
                <w:szCs w:val="20"/>
              </w:rPr>
              <w:t xml:space="preserve">Certificado de Disponibilidad Presupuestal (CDP)</w:t>
            </w:r>
          </w:p>
        </w:tc>
        <w:tc>
          <w:tcPr>
            <w:tcW w:type="dxa" w:w="44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Arial" w:cs="Arial" w:eastAsia="Arial" w:hAnsi="Arial"/>
                <w:color w:val="1E293B"/>
                <w:sz w:val="20"/>
                <w:szCs w:val="20"/>
              </w:rPr>
              <w:t xml:space="preserve">Generado desde el módulo presupuestal. Número de CDP debe constar en el pliego.</w:t>
            </w:r>
          </w:p>
        </w:tc>
        <w:tc>
          <w:tcPr>
            <w:tcW w:type="dxa" w:w="276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Arial" w:cs="Arial" w:eastAsia="Arial" w:hAnsi="Arial"/>
                <w:color w:val="1E293B"/>
                <w:sz w:val="20"/>
                <w:szCs w:val="20"/>
              </w:rPr>
              <w:t xml:space="preserve">Art. 71 Decreto 111/1996</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Pliego de condiciones</w:t>
            </w:r>
          </w:p>
        </w:tc>
        <w:tc>
          <w:tcPr>
            <w:tcW w:type="dxa" w:w="4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Reglas del proceso: cronograma, requisitos habilitantes, criterios de evaluación.</w:t>
            </w:r>
          </w:p>
        </w:tc>
        <w:tc>
          <w:tcPr>
            <w:tcW w:type="dxa" w:w="2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Art. 30 Ley 80/1993</w:t>
            </w:r>
          </w:p>
        </w:tc>
      </w:tr>
    </w:tbl>
    <w:p>
      <w:pPr>
        <w:spacing w:after="0" w:before="80"/>
      </w:pPr>
      <w:r>
        <w:t xml:space="preserve"/>
      </w:r>
    </w:p>
    <w:p>
      <w:pPr>
        <w:pStyle w:val="Heading3"/>
        <w:spacing w:after="100" w:before="200"/>
      </w:pPr>
      <w:r>
        <w:rPr>
          <w:rFonts w:ascii="Arial" w:cs="Arial" w:eastAsia="Arial" w:hAnsi="Arial"/>
          <w:b/>
          <w:bCs/>
          <w:color w:val="1E293B"/>
          <w:sz w:val="24"/>
          <w:szCs w:val="24"/>
        </w:rPr>
        <w:t xml:space="preserve">Fase 2 — Contractual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200"/>
        <w:gridCol w:w="2760"/>
      </w:tblGrid>
      <w:tr>
        <w:trPr>
          <w:tblHeader/>
        </w:trPr>
        <w:tc>
          <w:tcPr>
            <w:tcW w:type="dxa" w:w="2400"/>
            <w:tcBorders>
              <w:top w:val="single" w:color="CBD5E1" w:sz="1"/>
              <w:left w:val="single" w:color="CBD5E1" w:sz="1"/>
              <w:bottom w:val="single" w:color="CBD5E1" w:sz="1"/>
              <w:right w:val="single" w:color="CBD5E1" w:sz="1"/>
            </w:tcBorders>
            <w:shd w:fill="1E3A5F"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Documento/Evento</w:t>
            </w:r>
          </w:p>
        </w:tc>
        <w:tc>
          <w:tcPr>
            <w:tcW w:type="dxa" w:w="4200"/>
            <w:tcBorders>
              <w:top w:val="single" w:color="CBD5E1" w:sz="1"/>
              <w:left w:val="single" w:color="CBD5E1" w:sz="1"/>
              <w:bottom w:val="single" w:color="CBD5E1" w:sz="1"/>
              <w:right w:val="single" w:color="CBD5E1" w:sz="1"/>
            </w:tcBorders>
            <w:shd w:fill="1E3A5F"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Función en el sistema</w:t>
            </w:r>
          </w:p>
        </w:tc>
        <w:tc>
          <w:tcPr>
            <w:tcW w:type="dxa" w:w="2760"/>
            <w:tcBorders>
              <w:top w:val="single" w:color="CBD5E1" w:sz="1"/>
              <w:left w:val="single" w:color="CBD5E1" w:sz="1"/>
              <w:bottom w:val="single" w:color="CBD5E1" w:sz="1"/>
              <w:right w:val="single" w:color="CBD5E1" w:sz="1"/>
            </w:tcBorders>
            <w:shd w:fill="1E3A5F"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Norma</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Registro Presupuestal (RP)</w:t>
            </w:r>
          </w:p>
        </w:tc>
        <w:tc>
          <w:tcPr>
            <w:tcW w:type="dxa" w:w="4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El sistema genera el RP automáticamente al registrar el contrato. Compromete los recursos del CDP.</w:t>
            </w:r>
          </w:p>
        </w:tc>
        <w:tc>
          <w:tcPr>
            <w:tcW w:type="dxa" w:w="2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Art. 41 Ley 80/1993</w:t>
            </w:r>
          </w:p>
        </w:tc>
      </w:tr>
      <w:tr>
        <w:tc>
          <w:tcPr>
            <w:tcW w:type="dxa" w:w="24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Arial" w:cs="Arial" w:eastAsia="Arial" w:hAnsi="Arial"/>
                <w:color w:val="1E293B"/>
                <w:sz w:val="20"/>
                <w:szCs w:val="20"/>
              </w:rPr>
              <w:t xml:space="preserve">Pólizas de amparo</w:t>
            </w:r>
          </w:p>
        </w:tc>
        <w:tc>
          <w:tcPr>
            <w:tcW w:type="dxa" w:w="42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Arial" w:cs="Arial" w:eastAsia="Arial" w:hAnsi="Arial"/>
                <w:color w:val="1E293B"/>
                <w:sz w:val="20"/>
                <w:szCs w:val="20"/>
              </w:rPr>
              <w:t xml:space="preserve">Registro de pólizas: seriedad de la oferta, cumplimiento, buen manejo del anticipo, salarios y prestaciones, responsabilidad civil extracontractual.</w:t>
            </w:r>
          </w:p>
        </w:tc>
        <w:tc>
          <w:tcPr>
            <w:tcW w:type="dxa" w:w="276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Arial" w:cs="Arial" w:eastAsia="Arial" w:hAnsi="Arial"/>
                <w:color w:val="1E293B"/>
                <w:sz w:val="20"/>
                <w:szCs w:val="20"/>
              </w:rPr>
              <w:t xml:space="preserve">Art. 7 Ley 80/1993</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Acta de inicio</w:t>
            </w:r>
          </w:p>
        </w:tc>
        <w:tc>
          <w:tcPr>
            <w:tcW w:type="dxa" w:w="4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Fecha desde la cual comienza a correr el plazo contractual. Hito para supervisión.</w:t>
            </w:r>
          </w:p>
        </w:tc>
        <w:tc>
          <w:tcPr>
            <w:tcW w:type="dxa" w:w="2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Cláusula contractual estándar</w:t>
            </w:r>
          </w:p>
        </w:tc>
      </w:tr>
      <w:tr>
        <w:tc>
          <w:tcPr>
            <w:tcW w:type="dxa" w:w="24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Arial" w:cs="Arial" w:eastAsia="Arial" w:hAnsi="Arial"/>
                <w:color w:val="1E293B"/>
                <w:sz w:val="20"/>
                <w:szCs w:val="20"/>
              </w:rPr>
              <w:t xml:space="preserve">Actas de avance/pago</w:t>
            </w:r>
          </w:p>
        </w:tc>
        <w:tc>
          <w:tcPr>
            <w:tcW w:type="dxa" w:w="42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Arial" w:cs="Arial" w:eastAsia="Arial" w:hAnsi="Arial"/>
                <w:color w:val="1E293B"/>
                <w:sz w:val="20"/>
                <w:szCs w:val="20"/>
              </w:rPr>
              <w:t xml:space="preserve">Registro de avance físico certificado por el supervisor/interventor. Base para generar obligación y orden de pago.</w:t>
            </w:r>
          </w:p>
        </w:tc>
        <w:tc>
          <w:tcPr>
            <w:tcW w:type="dxa" w:w="276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Arial" w:cs="Arial" w:eastAsia="Arial" w:hAnsi="Arial"/>
                <w:color w:val="1E293B"/>
                <w:sz w:val="20"/>
                <w:szCs w:val="20"/>
              </w:rPr>
              <w:t xml:space="preserve">Arts. 83-85 Ley 80/1993</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Adiciones y prórrogas</w:t>
            </w:r>
          </w:p>
        </w:tc>
        <w:tc>
          <w:tcPr>
            <w:tcW w:type="dxa" w:w="4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Modificaciones al contrato. Una sola adición en valor, máximo el 50% del valor inicial.</w:t>
            </w:r>
          </w:p>
        </w:tc>
        <w:tc>
          <w:tcPr>
            <w:tcW w:type="dxa" w:w="2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Art. 40 Ley 80/1993</w:t>
            </w:r>
          </w:p>
        </w:tc>
      </w:tr>
      <w:tr>
        <w:tc>
          <w:tcPr>
            <w:tcW w:type="dxa" w:w="24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Arial" w:cs="Arial" w:eastAsia="Arial" w:hAnsi="Arial"/>
                <w:color w:val="1E293B"/>
                <w:sz w:val="20"/>
                <w:szCs w:val="20"/>
              </w:rPr>
              <w:t xml:space="preserve">Suspensiones</w:t>
            </w:r>
          </w:p>
        </w:tc>
        <w:tc>
          <w:tcPr>
            <w:tcW w:type="dxa" w:w="42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Arial" w:cs="Arial" w:eastAsia="Arial" w:hAnsi="Arial"/>
                <w:color w:val="1E293B"/>
                <w:sz w:val="20"/>
                <w:szCs w:val="20"/>
              </w:rPr>
              <w:t xml:space="preserve">Suspensión del plazo contractual. Requiere acta suscrita por ambas partes.</w:t>
            </w:r>
          </w:p>
        </w:tc>
        <w:tc>
          <w:tcPr>
            <w:tcW w:type="dxa" w:w="276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Arial" w:cs="Arial" w:eastAsia="Arial" w:hAnsi="Arial"/>
                <w:color w:val="1E293B"/>
                <w:sz w:val="20"/>
                <w:szCs w:val="20"/>
              </w:rPr>
              <w:t xml:space="preserve">Doctrina Consejo de Estado</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Multas y sanciones</w:t>
            </w:r>
          </w:p>
        </w:tc>
        <w:tc>
          <w:tcPr>
            <w:tcW w:type="dxa" w:w="4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Aplicación de cláusula penal o multas por incumplimiento. Genera deducción en el pago.</w:t>
            </w:r>
          </w:p>
        </w:tc>
        <w:tc>
          <w:tcPr>
            <w:tcW w:type="dxa" w:w="2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Arts. 17-18 Ley 80/1993</w:t>
            </w:r>
          </w:p>
        </w:tc>
      </w:tr>
    </w:tbl>
    <w:p>
      <w:pPr>
        <w:spacing w:after="0" w:before="80"/>
      </w:pPr>
      <w:r>
        <w:t xml:space="preserve"/>
      </w:r>
    </w:p>
    <w:p>
      <w:pPr>
        <w:pStyle w:val="Heading3"/>
        <w:spacing w:after="100" w:before="200"/>
      </w:pPr>
      <w:r>
        <w:rPr>
          <w:rFonts w:ascii="Arial" w:cs="Arial" w:eastAsia="Arial" w:hAnsi="Arial"/>
          <w:b/>
          <w:bCs/>
          <w:color w:val="1E293B"/>
          <w:sz w:val="24"/>
          <w:szCs w:val="24"/>
        </w:rPr>
        <w:t xml:space="preserve">Fase 3 — Postcontractual (Liquidación)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400"/>
        <w:gridCol w:w="2560"/>
      </w:tblGrid>
      <w:tr>
        <w:trPr>
          <w:tblHeader/>
        </w:trPr>
        <w:tc>
          <w:tcPr>
            <w:tcW w:type="dxa" w:w="2400"/>
            <w:tcBorders>
              <w:top w:val="single" w:color="CBD5E1" w:sz="1"/>
              <w:left w:val="single" w:color="CBD5E1" w:sz="1"/>
              <w:bottom w:val="single" w:color="CBD5E1" w:sz="1"/>
              <w:right w:val="single" w:color="CBD5E1" w:sz="1"/>
            </w:tcBorders>
            <w:shd w:fill="1E3A5F"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Evento</w:t>
            </w:r>
          </w:p>
        </w:tc>
        <w:tc>
          <w:tcPr>
            <w:tcW w:type="dxa" w:w="4400"/>
            <w:tcBorders>
              <w:top w:val="single" w:color="CBD5E1" w:sz="1"/>
              <w:left w:val="single" w:color="CBD5E1" w:sz="1"/>
              <w:bottom w:val="single" w:color="CBD5E1" w:sz="1"/>
              <w:right w:val="single" w:color="CBD5E1" w:sz="1"/>
            </w:tcBorders>
            <w:shd w:fill="1E3A5F"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Descripción</w:t>
            </w:r>
          </w:p>
        </w:tc>
        <w:tc>
          <w:tcPr>
            <w:tcW w:type="dxa" w:w="2560"/>
            <w:tcBorders>
              <w:top w:val="single" w:color="CBD5E1" w:sz="1"/>
              <w:left w:val="single" w:color="CBD5E1" w:sz="1"/>
              <w:bottom w:val="single" w:color="CBD5E1" w:sz="1"/>
              <w:right w:val="single" w:color="CBD5E1" w:sz="1"/>
            </w:tcBorders>
            <w:shd w:fill="1E3A5F"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Plazo legal</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Liquidación bilateral</w:t>
            </w:r>
          </w:p>
        </w:tc>
        <w:tc>
          <w:tcPr>
            <w:tcW w:type="dxa" w:w="4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Acuerdo entre las partes sobre el estado final del contrato: pagos, saldos, obligaciones pendientes.</w:t>
            </w:r>
          </w:p>
        </w:tc>
        <w:tc>
          <w:tcPr>
            <w:tcW w:type="dxa" w:w="2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4 meses después de vencimiento o terminación</w:t>
            </w:r>
          </w:p>
        </w:tc>
      </w:tr>
      <w:tr>
        <w:tc>
          <w:tcPr>
            <w:tcW w:type="dxa" w:w="24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Arial" w:cs="Arial" w:eastAsia="Arial" w:hAnsi="Arial"/>
                <w:color w:val="1E293B"/>
                <w:sz w:val="20"/>
                <w:szCs w:val="20"/>
              </w:rPr>
              <w:t xml:space="preserve">Liquidación unilateral</w:t>
            </w:r>
          </w:p>
        </w:tc>
        <w:tc>
          <w:tcPr>
            <w:tcW w:type="dxa" w:w="44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Arial" w:cs="Arial" w:eastAsia="Arial" w:hAnsi="Arial"/>
                <w:color w:val="1E293B"/>
                <w:sz w:val="20"/>
                <w:szCs w:val="20"/>
              </w:rPr>
              <w:t xml:space="preserve">El contratista no firma. La entidad liquida unilateralmente mediante acto administrativo motivado.</w:t>
            </w:r>
          </w:p>
        </w:tc>
        <w:tc>
          <w:tcPr>
            <w:tcW w:type="dxa" w:w="256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Arial" w:cs="Arial" w:eastAsia="Arial" w:hAnsi="Arial"/>
                <w:color w:val="1E293B"/>
                <w:sz w:val="20"/>
                <w:szCs w:val="20"/>
              </w:rPr>
              <w:t xml:space="preserve">2 meses después del plazo bilateral</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Balance final</w:t>
            </w:r>
          </w:p>
        </w:tc>
        <w:tc>
          <w:tcPr>
            <w:tcW w:type="dxa" w:w="4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El sistema verifica: ¿Se ejecutó el 100% del RP? Si hay saldo sin ejecutar, libera el presupuesto.</w:t>
            </w:r>
          </w:p>
        </w:tc>
        <w:tc>
          <w:tcPr>
            <w:tcW w:type="dxa" w:w="2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Al momento de la liquidación</w:t>
            </w:r>
          </w:p>
        </w:tc>
      </w:tr>
      <w:tr>
        <w:tc>
          <w:tcPr>
            <w:tcW w:type="dxa" w:w="24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Arial" w:cs="Arial" w:eastAsia="Arial" w:hAnsi="Arial"/>
                <w:color w:val="1E293B"/>
                <w:sz w:val="20"/>
                <w:szCs w:val="20"/>
              </w:rPr>
              <w:t xml:space="preserve">Archivo del expediente</w:t>
            </w:r>
          </w:p>
        </w:tc>
        <w:tc>
          <w:tcPr>
            <w:tcW w:type="dxa" w:w="44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Arial" w:cs="Arial" w:eastAsia="Arial" w:hAnsi="Arial"/>
                <w:color w:val="1E293B"/>
                <w:sz w:val="20"/>
                <w:szCs w:val="20"/>
              </w:rPr>
              <w:t xml:space="preserve">Toda la documentación contractual se archiva en el expediente digital del proceso en SECOP II.</w:t>
            </w:r>
          </w:p>
        </w:tc>
        <w:tc>
          <w:tcPr>
            <w:tcW w:type="dxa" w:w="256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Arial" w:cs="Arial" w:eastAsia="Arial" w:hAnsi="Arial"/>
                <w:color w:val="1E293B"/>
                <w:sz w:val="20"/>
                <w:szCs w:val="20"/>
              </w:rPr>
              <w:t xml:space="preserve">Inmediato — Acuerdo AGN 002/2014</w:t>
            </w:r>
          </w:p>
        </w:tc>
      </w:tr>
    </w:tbl>
    <w:p>
      <w:pPr>
        <w:spacing w:after="0" w:before="80"/>
      </w:pPr>
      <w:r>
        <w:t xml:space="preserve"/>
      </w:r>
    </w:p>
    <w:p>
      <w:pPr>
        <w:pStyle w:val="Heading2"/>
        <w:spacing w:after="140" w:before="320"/>
      </w:pPr>
      <w:r>
        <w:rPr>
          <w:rFonts w:ascii="Arial" w:cs="Arial" w:eastAsia="Arial" w:hAnsi="Arial"/>
          <w:b/>
          <w:bCs/>
          <w:color w:val="1E3A5F"/>
          <w:sz w:val="28"/>
          <w:szCs w:val="28"/>
        </w:rPr>
        <w:t xml:space="preserve">4.3 Interoperabilidad con SECOP II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BD5E1" w:sz="1"/>
              <w:left w:val="single" w:color="CBD5E1" w:sz="1"/>
              <w:bottom w:val="single" w:color="CBD5E1" w:sz="1"/>
              <w:right w:val="single" w:color="CBD5E1" w:sz="1"/>
            </w:tcBorders>
            <w:shd w:fill="FEF3C7" w:val="clear"/>
            <w:tcMar>
              <w:top w:type="dxa" w:w="120"/>
              <w:left w:type="dxa" w:w="200"/>
              <w:bottom w:type="dxa" w:w="120"/>
              <w:right w:type="dxa" w:w="200"/>
            </w:tcMar>
          </w:tcPr>
          <w:p>
            <w:r>
              <w:rPr>
                <w:rFonts w:ascii="Arial" w:cs="Arial" w:eastAsia="Arial" w:hAnsi="Arial"/>
                <w:b/>
                <w:bCs/>
                <w:color w:val="B45309"/>
                <w:sz w:val="21"/>
                <w:szCs w:val="21"/>
              </w:rPr>
              <w:t xml:space="preserve">📋 X-Road — Plataforma de interoperabilidad SECOP II + Circular CCE Única 2022</w:t>
            </w:r>
          </w:p>
          <w:p>
            <w:pPr>
              <w:spacing w:after="0" w:before="40"/>
            </w:pPr>
            <w:r>
              <w:rPr>
                <w:rFonts w:ascii="Arial" w:cs="Arial" w:eastAsia="Arial" w:hAnsi="Arial"/>
                <w:color w:val="1E293B"/>
                <w:sz w:val="20"/>
                <w:szCs w:val="20"/>
              </w:rPr>
              <w:t xml:space="preserve">El SECOP II permite interoperabilidad con otros sistemas a través de la plataforma X-Road. MerkaERP debe publicar en SECOP II (no duplicar información) toda la documentación precontractual, contractual y postcontractual. La Circular Única 2022 de CCE establece que los documentos electrónicos del SECOP II tienen valor probatorio pleno.</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800"/>
        <w:gridCol w:w="3000"/>
        <w:gridCol w:w="2060"/>
      </w:tblGrid>
      <w:tr>
        <w:trPr>
          <w:tblHeader/>
        </w:trPr>
        <w:tc>
          <w:tcPr>
            <w:tcW w:type="dxa" w:w="2500"/>
            <w:tcBorders>
              <w:top w:val="single" w:color="CBD5E1" w:sz="1"/>
              <w:left w:val="single" w:color="CBD5E1" w:sz="1"/>
              <w:bottom w:val="single" w:color="CBD5E1" w:sz="1"/>
              <w:right w:val="single" w:color="CBD5E1" w:sz="1"/>
            </w:tcBorders>
            <w:shd w:fill="1E3A5F"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Flujo de integración</w:t>
            </w:r>
          </w:p>
        </w:tc>
        <w:tc>
          <w:tcPr>
            <w:tcW w:type="dxa" w:w="1800"/>
            <w:tcBorders>
              <w:top w:val="single" w:color="CBD5E1" w:sz="1"/>
              <w:left w:val="single" w:color="CBD5E1" w:sz="1"/>
              <w:bottom w:val="single" w:color="CBD5E1" w:sz="1"/>
              <w:right w:val="single" w:color="CBD5E1" w:sz="1"/>
            </w:tcBorders>
            <w:shd w:fill="1E3A5F"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Dirección</w:t>
            </w:r>
          </w:p>
        </w:tc>
        <w:tc>
          <w:tcPr>
            <w:tcW w:type="dxa" w:w="3000"/>
            <w:tcBorders>
              <w:top w:val="single" w:color="CBD5E1" w:sz="1"/>
              <w:left w:val="single" w:color="CBD5E1" w:sz="1"/>
              <w:bottom w:val="single" w:color="CBD5E1" w:sz="1"/>
              <w:right w:val="single" w:color="CBD5E1" w:sz="1"/>
            </w:tcBorders>
            <w:shd w:fill="1E3A5F"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Datos sincronizados</w:t>
            </w:r>
          </w:p>
        </w:tc>
        <w:tc>
          <w:tcPr>
            <w:tcW w:type="dxa" w:w="2060"/>
            <w:tcBorders>
              <w:top w:val="single" w:color="CBD5E1" w:sz="1"/>
              <w:left w:val="single" w:color="CBD5E1" w:sz="1"/>
              <w:bottom w:val="single" w:color="CBD5E1" w:sz="1"/>
              <w:right w:val="single" w:color="CBD5E1" w:sz="1"/>
            </w:tcBorders>
            <w:shd w:fill="1E3A5F"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Método</w:t>
            </w:r>
          </w:p>
        </w:tc>
      </w:tr>
      <w:tr>
        <w:tc>
          <w:tcPr>
            <w:tcW w:type="dxa" w:w="2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Publicación proceso</w:t>
            </w:r>
          </w:p>
        </w:tc>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MerkaERP → SECOP II</w:t>
            </w:r>
          </w:p>
        </w:tc>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Estudios previos, pliego, aviso de convocatoria, adendas</w:t>
            </w:r>
          </w:p>
        </w:tc>
        <w:tc>
          <w:tcPr>
            <w:tcW w:type="dxa" w:w="20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API REST X-Road</w:t>
            </w:r>
          </w:p>
        </w:tc>
      </w:tr>
      <w:tr>
        <w:tc>
          <w:tcPr>
            <w:tcW w:type="dxa" w:w="25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Arial" w:cs="Arial" w:eastAsia="Arial" w:hAnsi="Arial"/>
                <w:color w:val="1E293B"/>
                <w:sz w:val="20"/>
                <w:szCs w:val="20"/>
              </w:rPr>
              <w:t xml:space="preserve">Recepción de ofertas</w:t>
            </w:r>
          </w:p>
        </w:tc>
        <w:tc>
          <w:tcPr>
            <w:tcW w:type="dxa" w:w="18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Arial" w:cs="Arial" w:eastAsia="Arial" w:hAnsi="Arial"/>
                <w:color w:val="1E293B"/>
                <w:sz w:val="20"/>
                <w:szCs w:val="20"/>
              </w:rPr>
              <w:t xml:space="preserve">SECOP II → MerkaERP</w:t>
            </w:r>
          </w:p>
        </w:tc>
        <w:tc>
          <w:tcPr>
            <w:tcW w:type="dxa" w:w="30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Arial" w:cs="Arial" w:eastAsia="Arial" w:hAnsi="Arial"/>
                <w:color w:val="1E293B"/>
                <w:sz w:val="20"/>
                <w:szCs w:val="20"/>
              </w:rPr>
              <w:t xml:space="preserve">Ofertas de proponentes, habilitación técnica y jurídica</w:t>
            </w:r>
          </w:p>
        </w:tc>
        <w:tc>
          <w:tcPr>
            <w:tcW w:type="dxa" w:w="206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Arial" w:cs="Arial" w:eastAsia="Arial" w:hAnsi="Arial"/>
                <w:color w:val="1E293B"/>
                <w:sz w:val="20"/>
                <w:szCs w:val="20"/>
              </w:rPr>
              <w:t xml:space="preserve">Webhook SECOP II</w:t>
            </w:r>
          </w:p>
        </w:tc>
      </w:tr>
      <w:tr>
        <w:tc>
          <w:tcPr>
            <w:tcW w:type="dxa" w:w="2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Publicación contrato</w:t>
            </w:r>
          </w:p>
        </w:tc>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MerkaERP → SECOP II</w:t>
            </w:r>
          </w:p>
        </w:tc>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Contrato suscrito, RP, pólizas, actas de inicio</w:t>
            </w:r>
          </w:p>
        </w:tc>
        <w:tc>
          <w:tcPr>
            <w:tcW w:type="dxa" w:w="20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API REST</w:t>
            </w:r>
          </w:p>
        </w:tc>
      </w:tr>
      <w:tr>
        <w:tc>
          <w:tcPr>
            <w:tcW w:type="dxa" w:w="25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Arial" w:cs="Arial" w:eastAsia="Arial" w:hAnsi="Arial"/>
                <w:color w:val="1E293B"/>
                <w:sz w:val="20"/>
                <w:szCs w:val="20"/>
              </w:rPr>
              <w:t xml:space="preserve">Seguimiento ejecución</w:t>
            </w:r>
          </w:p>
        </w:tc>
        <w:tc>
          <w:tcPr>
            <w:tcW w:type="dxa" w:w="18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Arial" w:cs="Arial" w:eastAsia="Arial" w:hAnsi="Arial"/>
                <w:color w:val="1E293B"/>
                <w:sz w:val="20"/>
                <w:szCs w:val="20"/>
              </w:rPr>
              <w:t xml:space="preserve">MerkaERP → SECOP II</w:t>
            </w:r>
          </w:p>
        </w:tc>
        <w:tc>
          <w:tcPr>
            <w:tcW w:type="dxa" w:w="30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Arial" w:cs="Arial" w:eastAsia="Arial" w:hAnsi="Arial"/>
                <w:color w:val="1E293B"/>
                <w:sz w:val="20"/>
                <w:szCs w:val="20"/>
              </w:rPr>
              <w:t xml:space="preserve">Actas de avance, pagos realizados, adiciones</w:t>
            </w:r>
          </w:p>
        </w:tc>
        <w:tc>
          <w:tcPr>
            <w:tcW w:type="dxa" w:w="206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Arial" w:cs="Arial" w:eastAsia="Arial" w:hAnsi="Arial"/>
                <w:color w:val="1E293B"/>
                <w:sz w:val="20"/>
                <w:szCs w:val="20"/>
              </w:rPr>
              <w:t xml:space="preserve">API REST</w:t>
            </w:r>
          </w:p>
        </w:tc>
      </w:tr>
      <w:tr>
        <w:tc>
          <w:tcPr>
            <w:tcW w:type="dxa" w:w="2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Publicación liquidación</w:t>
            </w:r>
          </w:p>
        </w:tc>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MerkaERP → SECOP II</w:t>
            </w:r>
          </w:p>
        </w:tc>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Acta de liquidación, balance final</w:t>
            </w:r>
          </w:p>
        </w:tc>
        <w:tc>
          <w:tcPr>
            <w:tcW w:type="dxa" w:w="20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API REST</w:t>
            </w:r>
          </w:p>
        </w:tc>
      </w:tr>
    </w:tbl>
    <w:p>
      <w:pPr>
        <w:spacing w:after="0" w:before="80"/>
      </w:pPr>
      <w:r>
        <w:t xml:space="preserve"/>
      </w:r>
    </w:p>
    <w:p>
      <w:r>
        <w:br w:type="page"/>
      </w:r>
    </w:p>
    <w:p>
      <w:pPr>
        <w:pStyle w:val="Heading1"/>
        <w:pBdr>
          <w:bottom w:val="single" w:color="1E3A5F" w:sz="8" w:space="4"/>
        </w:pBdr>
        <w:spacing w:after="200" w:before="480"/>
      </w:pPr>
      <w:r>
        <w:rPr>
          <w:rFonts w:ascii="Arial" w:cs="Arial" w:eastAsia="Arial" w:hAnsi="Arial"/>
          <w:b/>
          <w:bCs/>
          <w:color w:val="1E3A5F"/>
          <w:sz w:val="38"/>
          <w:szCs w:val="38"/>
        </w:rPr>
        <w:t xml:space="preserve">Macro-Sistema 5 — Nómina y Recursos Humanos Públicos</w:t>
      </w:r>
    </w:p>
    <w:p>
      <w:pPr>
        <w:spacing w:after="80" w:before="80"/>
      </w:pPr>
      <w:r>
        <w:rPr>
          <w:rFonts w:ascii="Arial" w:cs="Arial" w:eastAsia="Arial" w:hAnsi="Arial"/>
          <w:color w:val="1E293B"/>
          <w:sz w:val="22"/>
          <w:szCs w:val="22"/>
        </w:rPr>
        <w:t xml:space="preserve">La nómina del sector público es la más compleja del ordenamiento jurídico colombiano. Existen al menos seis regímenes salariales diferentes que pueden coexistir en una misma entidad, y los incrementos salariales se aprueban retroactivamente, generando reliquidaciones masivas.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BD5E1" w:sz="1"/>
              <w:left w:val="single" w:color="CBD5E1" w:sz="1"/>
              <w:bottom w:val="single" w:color="CBD5E1" w:sz="1"/>
              <w:right w:val="single" w:color="CBD5E1" w:sz="1"/>
            </w:tcBorders>
            <w:shd w:fill="FEF3C7" w:val="clear"/>
            <w:tcMar>
              <w:top w:type="dxa" w:w="120"/>
              <w:left w:type="dxa" w:w="200"/>
              <w:bottom w:type="dxa" w:w="120"/>
              <w:right w:type="dxa" w:w="200"/>
            </w:tcMar>
          </w:tcPr>
          <w:p>
            <w:r>
              <w:rPr>
                <w:rFonts w:ascii="Arial" w:cs="Arial" w:eastAsia="Arial" w:hAnsi="Arial"/>
                <w:b/>
                <w:bCs/>
                <w:color w:val="B45309"/>
                <w:sz w:val="21"/>
                <w:szCs w:val="21"/>
              </w:rPr>
              <w:t xml:space="preserve">📋 Decreto 1042 de 1978 + Ley 4 de 1992 + Ley 909 de 2004 + Decretos anuales de salarios</w:t>
            </w:r>
          </w:p>
          <w:p>
            <w:pPr>
              <w:spacing w:after="0" w:before="40"/>
            </w:pPr>
            <w:r>
              <w:rPr>
                <w:rFonts w:ascii="Arial" w:cs="Arial" w:eastAsia="Arial" w:hAnsi="Arial"/>
                <w:color w:val="1E293B"/>
                <w:sz w:val="20"/>
                <w:szCs w:val="20"/>
              </w:rPr>
              <w:t xml:space="preserve">El Decreto 1042/1978 es el Estatuto de Personal para empleados públicos de la Rama Ejecutiva del orden nacional (aplicable por remisión en territoriales). Define los factores salariales: asignación básica, gastos de representación, prima técnica, prima de servicios, prima de navidad, prima de vacaciones, subsidio de alimentación, viáticos. La Ley 4/1992 autoriza al Gobierno fijar el régimen salarial. La Ley 909/2004 regula la carrera administrativa.</w:t>
            </w:r>
          </w:p>
        </w:tc>
      </w:tr>
    </w:tbl>
    <w:p>
      <w:pPr>
        <w:spacing w:after="0" w:before="80"/>
      </w:pPr>
      <w:r>
        <w:t xml:space="preserve"/>
      </w:r>
    </w:p>
    <w:p>
      <w:pPr>
        <w:pStyle w:val="Heading2"/>
        <w:spacing w:after="140" w:before="320"/>
      </w:pPr>
      <w:r>
        <w:rPr>
          <w:rFonts w:ascii="Arial" w:cs="Arial" w:eastAsia="Arial" w:hAnsi="Arial"/>
          <w:b/>
          <w:bCs/>
          <w:color w:val="1E3A5F"/>
          <w:sz w:val="28"/>
          <w:szCs w:val="28"/>
        </w:rPr>
        <w:t xml:space="preserve">5.1 Regímenes Salariales que Debe Manejar el Sistema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4160"/>
      </w:tblGrid>
      <w:tr>
        <w:trPr>
          <w:tblHeader/>
        </w:trPr>
        <w:tc>
          <w:tcPr>
            <w:tcW w:type="dxa" w:w="2400"/>
            <w:tcBorders>
              <w:top w:val="single" w:color="CBD5E1" w:sz="1"/>
              <w:left w:val="single" w:color="CBD5E1" w:sz="1"/>
              <w:bottom w:val="single" w:color="CBD5E1" w:sz="1"/>
              <w:right w:val="single" w:color="CBD5E1" w:sz="1"/>
            </w:tcBorders>
            <w:shd w:fill="1E3A5F"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Régimen</w:t>
            </w:r>
          </w:p>
        </w:tc>
        <w:tc>
          <w:tcPr>
            <w:tcW w:type="dxa" w:w="2800"/>
            <w:tcBorders>
              <w:top w:val="single" w:color="CBD5E1" w:sz="1"/>
              <w:left w:val="single" w:color="CBD5E1" w:sz="1"/>
              <w:bottom w:val="single" w:color="CBD5E1" w:sz="1"/>
              <w:right w:val="single" w:color="CBD5E1" w:sz="1"/>
            </w:tcBorders>
            <w:shd w:fill="1E3A5F"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Marco normativo</w:t>
            </w:r>
          </w:p>
        </w:tc>
        <w:tc>
          <w:tcPr>
            <w:tcW w:type="dxa" w:w="4160"/>
            <w:tcBorders>
              <w:top w:val="single" w:color="CBD5E1" w:sz="1"/>
              <w:left w:val="single" w:color="CBD5E1" w:sz="1"/>
              <w:bottom w:val="single" w:color="CBD5E1" w:sz="1"/>
              <w:right w:val="single" w:color="CBD5E1" w:sz="1"/>
            </w:tcBorders>
            <w:shd w:fill="1E3A5F"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Particularidades para el sistema</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Carrera Administrativa General</w:t>
            </w:r>
          </w:p>
        </w:tc>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Ley 909/2004, Decreto 1083/2015</w:t>
            </w:r>
          </w:p>
        </w:tc>
        <w:tc>
          <w:tcPr>
            <w:tcW w:type="dxa" w:w="4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Escalafón por nivel/grado. Prima de antigüedad (quinquenios) cada 5 años de servicio.</w:t>
            </w:r>
          </w:p>
        </w:tc>
      </w:tr>
      <w:tr>
        <w:tc>
          <w:tcPr>
            <w:tcW w:type="dxa" w:w="24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Arial" w:cs="Arial" w:eastAsia="Arial" w:hAnsi="Arial"/>
                <w:color w:val="1E293B"/>
                <w:sz w:val="20"/>
                <w:szCs w:val="20"/>
              </w:rPr>
              <w:t xml:space="preserve">Libre Nombramiento y Remoción</w:t>
            </w:r>
          </w:p>
        </w:tc>
        <w:tc>
          <w:tcPr>
            <w:tcW w:type="dxa" w:w="28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Arial" w:cs="Arial" w:eastAsia="Arial" w:hAnsi="Arial"/>
                <w:color w:val="1E293B"/>
                <w:sz w:val="20"/>
                <w:szCs w:val="20"/>
              </w:rPr>
              <w:t xml:space="preserve">Art. 5 Ley 909/2004</w:t>
            </w:r>
          </w:p>
        </w:tc>
        <w:tc>
          <w:tcPr>
            <w:tcW w:type="dxa" w:w="416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Arial" w:cs="Arial" w:eastAsia="Arial" w:hAnsi="Arial"/>
                <w:color w:val="1E293B"/>
                <w:sz w:val="20"/>
                <w:szCs w:val="20"/>
              </w:rPr>
              <w:t xml:space="preserve">Sin derechos de carrera. Gastos de representación por grado del cargo.</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Trabajadores Oficiales</w:t>
            </w:r>
          </w:p>
        </w:tc>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CST (Código Sustantivo Trabajo)</w:t>
            </w:r>
          </w:p>
        </w:tc>
        <w:tc>
          <w:tcPr>
            <w:tcW w:type="dxa" w:w="4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Auxilio de cesantía retroactivo (no Ley 50). Sin prima de servicios del D.1042.</w:t>
            </w:r>
          </w:p>
        </w:tc>
      </w:tr>
      <w:tr>
        <w:tc>
          <w:tcPr>
            <w:tcW w:type="dxa" w:w="24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Arial" w:cs="Arial" w:eastAsia="Arial" w:hAnsi="Arial"/>
                <w:color w:val="1E293B"/>
                <w:sz w:val="20"/>
                <w:szCs w:val="20"/>
              </w:rPr>
              <w:t xml:space="preserve">Régimen docente territorial</w:t>
            </w:r>
          </w:p>
        </w:tc>
        <w:tc>
          <w:tcPr>
            <w:tcW w:type="dxa" w:w="28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Arial" w:cs="Arial" w:eastAsia="Arial" w:hAnsi="Arial"/>
                <w:color w:val="1E293B"/>
                <w:sz w:val="20"/>
                <w:szCs w:val="20"/>
              </w:rPr>
              <w:t xml:space="preserve">Decreto 2277/1979, Decreto 1278/2002</w:t>
            </w:r>
          </w:p>
        </w:tc>
        <w:tc>
          <w:tcPr>
            <w:tcW w:type="dxa" w:w="416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Arial" w:cs="Arial" w:eastAsia="Arial" w:hAnsi="Arial"/>
                <w:color w:val="1E293B"/>
                <w:sz w:val="20"/>
                <w:szCs w:val="20"/>
              </w:rPr>
              <w:t xml:space="preserve">Escalafón docente independiente. Asignación básica por grado y título. Primaria, básica, media.</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Régimen de salud (hospitales)</w:t>
            </w:r>
          </w:p>
        </w:tc>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Decreto 1750/2003, Ley 647/2001</w:t>
            </w:r>
          </w:p>
        </w:tc>
        <w:tc>
          <w:tcPr>
            <w:tcW w:type="dxa" w:w="4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Empleados convertidos a trabajadores oficiales. Convención colectiva puede primar.</w:t>
            </w:r>
          </w:p>
        </w:tc>
      </w:tr>
      <w:tr>
        <w:tc>
          <w:tcPr>
            <w:tcW w:type="dxa" w:w="24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Arial" w:cs="Arial" w:eastAsia="Arial" w:hAnsi="Arial"/>
                <w:color w:val="1E293B"/>
                <w:sz w:val="20"/>
                <w:szCs w:val="20"/>
              </w:rPr>
              <w:t xml:space="preserve">Régimen especial Fiscalía/Rama Judicial</w:t>
            </w:r>
          </w:p>
        </w:tc>
        <w:tc>
          <w:tcPr>
            <w:tcW w:type="dxa" w:w="28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Arial" w:cs="Arial" w:eastAsia="Arial" w:hAnsi="Arial"/>
                <w:color w:val="1E293B"/>
                <w:sz w:val="20"/>
                <w:szCs w:val="20"/>
              </w:rPr>
              <w:t xml:space="preserve">Ley 270/1996, Acuerdo CSJ</w:t>
            </w:r>
          </w:p>
        </w:tc>
        <w:tc>
          <w:tcPr>
            <w:tcW w:type="dxa" w:w="416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Arial" w:cs="Arial" w:eastAsia="Arial" w:hAnsi="Arial"/>
                <w:color w:val="1E293B"/>
                <w:sz w:val="20"/>
                <w:szCs w:val="20"/>
              </w:rPr>
              <w:t xml:space="preserve">Solo aplica si el módulo se vende a esas entidades. Factores salariales diferentes.</w:t>
            </w:r>
          </w:p>
        </w:tc>
      </w:tr>
    </w:tbl>
    <w:p>
      <w:pPr>
        <w:spacing w:after="0" w:before="80"/>
      </w:pPr>
      <w:r>
        <w:t xml:space="preserve"/>
      </w:r>
    </w:p>
    <w:p>
      <w:pPr>
        <w:pStyle w:val="Heading2"/>
        <w:spacing w:after="140" w:before="320"/>
      </w:pPr>
      <w:r>
        <w:rPr>
          <w:rFonts w:ascii="Arial" w:cs="Arial" w:eastAsia="Arial" w:hAnsi="Arial"/>
          <w:b/>
          <w:bCs/>
          <w:color w:val="1E3A5F"/>
          <w:sz w:val="28"/>
          <w:szCs w:val="28"/>
        </w:rPr>
        <w:t xml:space="preserve">5.2 Factores Salariales y Prestacionales — Detalle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1500"/>
        <w:gridCol w:w="2460"/>
      </w:tblGrid>
      <w:tr>
        <w:trPr>
          <w:tblHeader/>
        </w:trPr>
        <w:tc>
          <w:tcPr>
            <w:tcW w:type="dxa" w:w="2400"/>
            <w:tcBorders>
              <w:top w:val="single" w:color="CBD5E1" w:sz="1"/>
              <w:left w:val="single" w:color="CBD5E1" w:sz="1"/>
              <w:bottom w:val="single" w:color="CBD5E1" w:sz="1"/>
              <w:right w:val="single" w:color="CBD5E1" w:sz="1"/>
            </w:tcBorders>
            <w:shd w:fill="1E3A5F"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Factor</w:t>
            </w:r>
          </w:p>
        </w:tc>
        <w:tc>
          <w:tcPr>
            <w:tcW w:type="dxa" w:w="3000"/>
            <w:tcBorders>
              <w:top w:val="single" w:color="CBD5E1" w:sz="1"/>
              <w:left w:val="single" w:color="CBD5E1" w:sz="1"/>
              <w:bottom w:val="single" w:color="CBD5E1" w:sz="1"/>
              <w:right w:val="single" w:color="CBD5E1" w:sz="1"/>
            </w:tcBorders>
            <w:shd w:fill="1E3A5F"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Base de liquidación</w:t>
            </w:r>
          </w:p>
        </w:tc>
        <w:tc>
          <w:tcPr>
            <w:tcW w:type="dxa" w:w="1500"/>
            <w:tcBorders>
              <w:top w:val="single" w:color="CBD5E1" w:sz="1"/>
              <w:left w:val="single" w:color="CBD5E1" w:sz="1"/>
              <w:bottom w:val="single" w:color="CBD5E1" w:sz="1"/>
              <w:right w:val="single" w:color="CBD5E1" w:sz="1"/>
            </w:tcBorders>
            <w:shd w:fill="1E3A5F"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¿Factor salarial?</w:t>
            </w:r>
          </w:p>
        </w:tc>
        <w:tc>
          <w:tcPr>
            <w:tcW w:type="dxa" w:w="2460"/>
            <w:tcBorders>
              <w:top w:val="single" w:color="CBD5E1" w:sz="1"/>
              <w:left w:val="single" w:color="CBD5E1" w:sz="1"/>
              <w:bottom w:val="single" w:color="CBD5E1" w:sz="1"/>
              <w:right w:val="single" w:color="CBD5E1" w:sz="1"/>
            </w:tcBorders>
            <w:shd w:fill="1E3A5F"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Norma</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Asignación básica mensual</w:t>
            </w:r>
          </w:p>
        </w:tc>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Decreto anual de salarios</w:t>
            </w:r>
          </w:p>
        </w:tc>
        <w:tc>
          <w:tcPr>
            <w:tcW w:type="dxa" w:w="1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Sí</w:t>
            </w:r>
          </w:p>
        </w:tc>
        <w:tc>
          <w:tcPr>
            <w:tcW w:type="dxa" w:w="24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Art. 42 D.1042/1978</w:t>
            </w:r>
          </w:p>
        </w:tc>
      </w:tr>
      <w:tr>
        <w:tc>
          <w:tcPr>
            <w:tcW w:type="dxa" w:w="24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Arial" w:cs="Arial" w:eastAsia="Arial" w:hAnsi="Arial"/>
                <w:color w:val="1E293B"/>
                <w:sz w:val="20"/>
                <w:szCs w:val="20"/>
              </w:rPr>
              <w:t xml:space="preserve">Gastos de representación</w:t>
            </w:r>
          </w:p>
        </w:tc>
        <w:tc>
          <w:tcPr>
            <w:tcW w:type="dxa" w:w="30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Arial" w:cs="Arial" w:eastAsia="Arial" w:hAnsi="Arial"/>
                <w:color w:val="1E293B"/>
                <w:sz w:val="20"/>
                <w:szCs w:val="20"/>
              </w:rPr>
              <w:t xml:space="preserve">% de la asignación básica según nivel del cargo</w:t>
            </w:r>
          </w:p>
        </w:tc>
        <w:tc>
          <w:tcPr>
            <w:tcW w:type="dxa" w:w="15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Arial" w:cs="Arial" w:eastAsia="Arial" w:hAnsi="Arial"/>
                <w:color w:val="1E293B"/>
                <w:sz w:val="20"/>
                <w:szCs w:val="20"/>
              </w:rPr>
              <w:t xml:space="preserve">Sí (para algunos cargos)</w:t>
            </w:r>
          </w:p>
        </w:tc>
        <w:tc>
          <w:tcPr>
            <w:tcW w:type="dxa" w:w="246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Arial" w:cs="Arial" w:eastAsia="Arial" w:hAnsi="Arial"/>
                <w:color w:val="1E293B"/>
                <w:sz w:val="20"/>
                <w:szCs w:val="20"/>
              </w:rPr>
              <w:t xml:space="preserve">Art. 48 D.1042/1978</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Prima técnica</w:t>
            </w:r>
          </w:p>
        </w:tc>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Hasta 50% asignación básica. Por título posgrado + experiencia</w:t>
            </w:r>
          </w:p>
        </w:tc>
        <w:tc>
          <w:tcPr>
            <w:tcW w:type="dxa" w:w="1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Sí</w:t>
            </w:r>
          </w:p>
        </w:tc>
        <w:tc>
          <w:tcPr>
            <w:tcW w:type="dxa" w:w="24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Decreto 1661/1991</w:t>
            </w:r>
          </w:p>
        </w:tc>
      </w:tr>
      <w:tr>
        <w:tc>
          <w:tcPr>
            <w:tcW w:type="dxa" w:w="24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Arial" w:cs="Arial" w:eastAsia="Arial" w:hAnsi="Arial"/>
                <w:color w:val="1E293B"/>
                <w:sz w:val="20"/>
                <w:szCs w:val="20"/>
              </w:rPr>
              <w:t xml:space="preserve">Prima de servicios</w:t>
            </w:r>
          </w:p>
        </w:tc>
        <w:tc>
          <w:tcPr>
            <w:tcW w:type="dxa" w:w="30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Arial" w:cs="Arial" w:eastAsia="Arial" w:hAnsi="Arial"/>
                <w:color w:val="1E293B"/>
                <w:sz w:val="20"/>
                <w:szCs w:val="20"/>
              </w:rPr>
              <w:t xml:space="preserve">Promedio de factores salariales × 15 días. Se paga en junio y diciembre.</w:t>
            </w:r>
          </w:p>
        </w:tc>
        <w:tc>
          <w:tcPr>
            <w:tcW w:type="dxa" w:w="15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Arial" w:cs="Arial" w:eastAsia="Arial" w:hAnsi="Arial"/>
                <w:color w:val="1E293B"/>
                <w:sz w:val="20"/>
                <w:szCs w:val="20"/>
              </w:rPr>
              <w:t xml:space="preserve">No (prestación)</w:t>
            </w:r>
          </w:p>
        </w:tc>
        <w:tc>
          <w:tcPr>
            <w:tcW w:type="dxa" w:w="246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Arial" w:cs="Arial" w:eastAsia="Arial" w:hAnsi="Arial"/>
                <w:color w:val="1E293B"/>
                <w:sz w:val="20"/>
                <w:szCs w:val="20"/>
              </w:rPr>
              <w:t xml:space="preserve">Art. 58 D.1042/1978</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Prima de navidad</w:t>
            </w:r>
          </w:p>
        </w:tc>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1 mes de salario pagado en la segunda quincena de diciembre.</w:t>
            </w:r>
          </w:p>
        </w:tc>
        <w:tc>
          <w:tcPr>
            <w:tcW w:type="dxa" w:w="1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No (prestación)</w:t>
            </w:r>
          </w:p>
        </w:tc>
        <w:tc>
          <w:tcPr>
            <w:tcW w:type="dxa" w:w="24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Art. 61 D.1042/1978</w:t>
            </w:r>
          </w:p>
        </w:tc>
      </w:tr>
      <w:tr>
        <w:tc>
          <w:tcPr>
            <w:tcW w:type="dxa" w:w="24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Arial" w:cs="Arial" w:eastAsia="Arial" w:hAnsi="Arial"/>
                <w:color w:val="1E293B"/>
                <w:sz w:val="20"/>
                <w:szCs w:val="20"/>
              </w:rPr>
              <w:t xml:space="preserve">Prima de vacaciones</w:t>
            </w:r>
          </w:p>
        </w:tc>
        <w:tc>
          <w:tcPr>
            <w:tcW w:type="dxa" w:w="30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Arial" w:cs="Arial" w:eastAsia="Arial" w:hAnsi="Arial"/>
                <w:color w:val="1E293B"/>
                <w:sz w:val="20"/>
                <w:szCs w:val="20"/>
              </w:rPr>
              <w:t xml:space="preserve">15 días de asignación básica al iniciar vacaciones.</w:t>
            </w:r>
          </w:p>
        </w:tc>
        <w:tc>
          <w:tcPr>
            <w:tcW w:type="dxa" w:w="15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Arial" w:cs="Arial" w:eastAsia="Arial" w:hAnsi="Arial"/>
                <w:color w:val="1E293B"/>
                <w:sz w:val="20"/>
                <w:szCs w:val="20"/>
              </w:rPr>
              <w:t xml:space="preserve">No (prestación)</w:t>
            </w:r>
          </w:p>
        </w:tc>
        <w:tc>
          <w:tcPr>
            <w:tcW w:type="dxa" w:w="246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Arial" w:cs="Arial" w:eastAsia="Arial" w:hAnsi="Arial"/>
                <w:color w:val="1E293B"/>
                <w:sz w:val="20"/>
                <w:szCs w:val="20"/>
              </w:rPr>
              <w:t xml:space="preserve">Art. 60 D.1042/1978</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Subsidio de alimentación</w:t>
            </w:r>
          </w:p>
        </w:tc>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Valor fijo mensual. No es factor salarial.</w:t>
            </w:r>
          </w:p>
        </w:tc>
        <w:tc>
          <w:tcPr>
            <w:tcW w:type="dxa" w:w="1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No</w:t>
            </w:r>
          </w:p>
        </w:tc>
        <w:tc>
          <w:tcPr>
            <w:tcW w:type="dxa" w:w="24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Art. 49 D.1042/1978</w:t>
            </w:r>
          </w:p>
        </w:tc>
      </w:tr>
      <w:tr>
        <w:tc>
          <w:tcPr>
            <w:tcW w:type="dxa" w:w="24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Arial" w:cs="Arial" w:eastAsia="Arial" w:hAnsi="Arial"/>
                <w:color w:val="1E293B"/>
                <w:sz w:val="20"/>
                <w:szCs w:val="20"/>
              </w:rPr>
              <w:t xml:space="preserve">Cesantías</w:t>
            </w:r>
          </w:p>
        </w:tc>
        <w:tc>
          <w:tcPr>
            <w:tcW w:type="dxa" w:w="30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Arial" w:cs="Arial" w:eastAsia="Arial" w:hAnsi="Arial"/>
                <w:color w:val="1E293B"/>
                <w:sz w:val="20"/>
                <w:szCs w:val="20"/>
              </w:rPr>
              <w:t xml:space="preserve">Un mes de salario por año de servicio (régimen anualidad).</w:t>
            </w:r>
          </w:p>
        </w:tc>
        <w:tc>
          <w:tcPr>
            <w:tcW w:type="dxa" w:w="15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Arial" w:cs="Arial" w:eastAsia="Arial" w:hAnsi="Arial"/>
                <w:color w:val="1E293B"/>
                <w:sz w:val="20"/>
                <w:szCs w:val="20"/>
              </w:rPr>
              <w:t xml:space="preserve">No (prestación)</w:t>
            </w:r>
          </w:p>
        </w:tc>
        <w:tc>
          <w:tcPr>
            <w:tcW w:type="dxa" w:w="246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Arial" w:cs="Arial" w:eastAsia="Arial" w:hAnsi="Arial"/>
                <w:color w:val="1E293B"/>
                <w:sz w:val="20"/>
                <w:szCs w:val="20"/>
              </w:rPr>
              <w:t xml:space="preserve">Ley 344/1996 Art. 98</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Quinquenios (prima de antigüedad)</w:t>
            </w:r>
          </w:p>
        </w:tc>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Incremento del 5% de la asignación básica por cada 5 años de servicio continuo.</w:t>
            </w:r>
          </w:p>
        </w:tc>
        <w:tc>
          <w:tcPr>
            <w:tcW w:type="dxa" w:w="1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Sí (si así lo define la entidad)</w:t>
            </w:r>
          </w:p>
        </w:tc>
        <w:tc>
          <w:tcPr>
            <w:tcW w:type="dxa" w:w="24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Según convención o acuerdo</w:t>
            </w:r>
          </w:p>
        </w:tc>
      </w:tr>
      <w:tr>
        <w:tc>
          <w:tcPr>
            <w:tcW w:type="dxa" w:w="24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Arial" w:cs="Arial" w:eastAsia="Arial" w:hAnsi="Arial"/>
                <w:color w:val="1E293B"/>
                <w:sz w:val="20"/>
                <w:szCs w:val="20"/>
              </w:rPr>
              <w:t xml:space="preserve">Viáticos</w:t>
            </w:r>
          </w:p>
        </w:tc>
        <w:tc>
          <w:tcPr>
            <w:tcW w:type="dxa" w:w="30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Arial" w:cs="Arial" w:eastAsia="Arial" w:hAnsi="Arial"/>
                <w:color w:val="1E293B"/>
                <w:sz w:val="20"/>
                <w:szCs w:val="20"/>
              </w:rPr>
              <w:t xml:space="preserve">Factor salarial SOLO si se perciben &gt;180 días/año en comisión.</w:t>
            </w:r>
          </w:p>
        </w:tc>
        <w:tc>
          <w:tcPr>
            <w:tcW w:type="dxa" w:w="15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Arial" w:cs="Arial" w:eastAsia="Arial" w:hAnsi="Arial"/>
                <w:color w:val="1E293B"/>
                <w:sz w:val="20"/>
                <w:szCs w:val="20"/>
              </w:rPr>
              <w:t xml:space="preserve">Condicional</w:t>
            </w:r>
          </w:p>
        </w:tc>
        <w:tc>
          <w:tcPr>
            <w:tcW w:type="dxa" w:w="246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Arial" w:cs="Arial" w:eastAsia="Arial" w:hAnsi="Arial"/>
                <w:color w:val="1E293B"/>
                <w:sz w:val="20"/>
                <w:szCs w:val="20"/>
              </w:rPr>
              <w:t xml:space="preserve">Art. 45 lit. i) D.1045/1978</w:t>
            </w:r>
          </w:p>
        </w:tc>
      </w:tr>
    </w:tbl>
    <w:p>
      <w:pPr>
        <w:spacing w:after="0" w:before="80"/>
      </w:pPr>
      <w:r>
        <w:t xml:space="preserve"/>
      </w:r>
    </w:p>
    <w:p>
      <w:pPr>
        <w:pStyle w:val="Heading2"/>
        <w:spacing w:after="140" w:before="320"/>
      </w:pPr>
      <w:r>
        <w:rPr>
          <w:rFonts w:ascii="Arial" w:cs="Arial" w:eastAsia="Arial" w:hAnsi="Arial"/>
          <w:b/>
          <w:bCs/>
          <w:color w:val="1E3A5F"/>
          <w:sz w:val="28"/>
          <w:szCs w:val="28"/>
        </w:rPr>
        <w:t xml:space="preserve">5.3 Retroactividad Salarial — El Caso Más Complejo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BD5E1" w:sz="1"/>
              <w:left w:val="single" w:color="CBD5E1" w:sz="1"/>
              <w:bottom w:val="single" w:color="CBD5E1" w:sz="1"/>
              <w:right w:val="single" w:color="CBD5E1" w:sz="1"/>
            </w:tcBorders>
            <w:shd w:fill="FEF3C7" w:val="clear"/>
            <w:tcMar>
              <w:top w:type="dxa" w:w="120"/>
              <w:left w:type="dxa" w:w="200"/>
              <w:bottom w:type="dxa" w:w="120"/>
              <w:right w:type="dxa" w:w="200"/>
            </w:tcMar>
          </w:tcPr>
          <w:p>
            <w:r>
              <w:rPr>
                <w:rFonts w:ascii="Arial" w:cs="Arial" w:eastAsia="Arial" w:hAnsi="Arial"/>
                <w:b/>
                <w:bCs/>
                <w:color w:val="B45309"/>
                <w:sz w:val="21"/>
                <w:szCs w:val="21"/>
              </w:rPr>
              <w:t xml:space="preserve">⚠️ Retroactividad salarial 2026 — Impacto en nómina</w:t>
            </w:r>
          </w:p>
          <w:p>
            <w:pPr>
              <w:spacing w:after="0" w:before="40"/>
            </w:pPr>
            <w:r>
              <w:rPr>
                <w:rFonts w:ascii="Arial" w:cs="Arial" w:eastAsia="Arial" w:hAnsi="Arial"/>
                <w:color w:val="1E293B"/>
                <w:sz w:val="20"/>
                <w:szCs w:val="20"/>
              </w:rPr>
              <w:t xml:space="preserve">El Gobierno Nacional expidió decreto de incremento salarial del 7% para 2026, con efecto retroactivo desde enero del mismo año,</w:t>
            </w:r>
          </w:p>
          <w:p>
            <w:pPr>
              <w:spacing w:after="0" w:before="40"/>
            </w:pPr>
            <w:r>
              <w:rPr>
                <w:rFonts w:ascii="Arial" w:cs="Arial" w:eastAsia="Arial" w:hAnsi="Arial"/>
                <w:color w:val="1E293B"/>
                <w:sz w:val="20"/>
                <w:szCs w:val="20"/>
              </w:rPr>
              <w:t xml:space="preserve">a ser pagado en la nómina de noviembre 2026. Esto genera:</w:t>
            </w:r>
          </w:p>
          <w:p>
            <w:pPr>
              <w:spacing w:after="0" w:before="40"/>
            </w:pPr>
            <w:r>
              <w:rPr>
                <w:rFonts w:ascii="Arial" w:cs="Arial" w:eastAsia="Arial" w:hAnsi="Arial"/>
                <w:color w:val="1E293B"/>
                <w:sz w:val="20"/>
                <w:szCs w:val="20"/>
              </w:rPr>
              <w:t xml:space="preserve"/>
            </w:r>
          </w:p>
          <w:p>
            <w:pPr>
              <w:spacing w:after="0" w:before="40"/>
            </w:pPr>
            <w:r>
              <w:rPr>
                <w:rFonts w:ascii="Arial" w:cs="Arial" w:eastAsia="Arial" w:hAnsi="Arial"/>
                <w:color w:val="1E293B"/>
                <w:sz w:val="20"/>
                <w:szCs w:val="20"/>
              </w:rPr>
              <w:t xml:space="preserve">1. RELIQUIDACIÓN de toda la nómina desde enero: asignación básica × 7% × meses transcurridos.</w:t>
            </w:r>
          </w:p>
          <w:p>
            <w:pPr>
              <w:spacing w:after="0" w:before="40"/>
            </w:pPr>
            <w:r>
              <w:rPr>
                <w:rFonts w:ascii="Arial" w:cs="Arial" w:eastAsia="Arial" w:hAnsi="Arial"/>
                <w:color w:val="1E293B"/>
                <w:sz w:val="20"/>
                <w:szCs w:val="20"/>
              </w:rPr>
              <w:t xml:space="preserve">2. RELIQUIDACIÓN de cesantías: el aumento afecta el factor base de liquidación.</w:t>
            </w:r>
          </w:p>
          <w:p>
            <w:pPr>
              <w:spacing w:after="0" w:before="40"/>
            </w:pPr>
            <w:r>
              <w:rPr>
                <w:rFonts w:ascii="Arial" w:cs="Arial" w:eastAsia="Arial" w:hAnsi="Arial"/>
                <w:color w:val="1E293B"/>
                <w:sz w:val="20"/>
                <w:szCs w:val="20"/>
              </w:rPr>
              <w:t xml:space="preserve">   → Plazo para girar diferencia a fondos de cesantías: 2 meses desde el pago del retroactivo.</w:t>
            </w:r>
          </w:p>
          <w:p>
            <w:pPr>
              <w:spacing w:after="0" w:before="40"/>
            </w:pPr>
            <w:r>
              <w:rPr>
                <w:rFonts w:ascii="Arial" w:cs="Arial" w:eastAsia="Arial" w:hAnsi="Arial"/>
                <w:color w:val="1E293B"/>
                <w:sz w:val="20"/>
                <w:szCs w:val="20"/>
              </w:rPr>
              <w:t xml:space="preserve">   → Incumplimiento genera intereses de mora (Decreto 312/2026 Art. 59).</w:t>
            </w:r>
          </w:p>
          <w:p>
            <w:pPr>
              <w:spacing w:after="0" w:before="40"/>
            </w:pPr>
            <w:r>
              <w:rPr>
                <w:rFonts w:ascii="Arial" w:cs="Arial" w:eastAsia="Arial" w:hAnsi="Arial"/>
                <w:color w:val="1E293B"/>
                <w:sz w:val="20"/>
                <w:szCs w:val="20"/>
              </w:rPr>
              <w:t xml:space="preserve">3. RELIQUIDACIÓN de prima de servicios de junio: si el incremento aplica desde enero,</w:t>
            </w:r>
          </w:p>
          <w:p>
            <w:pPr>
              <w:spacing w:after="0" w:before="40"/>
            </w:pPr>
            <w:r>
              <w:rPr>
                <w:rFonts w:ascii="Arial" w:cs="Arial" w:eastAsia="Arial" w:hAnsi="Arial"/>
                <w:color w:val="1E293B"/>
                <w:sz w:val="20"/>
                <w:szCs w:val="20"/>
              </w:rPr>
              <w:t xml:space="preserve">   la prima de junio se reliquida con el nuevo salario.</w:t>
            </w:r>
          </w:p>
          <w:p>
            <w:pPr>
              <w:spacing w:after="0" w:before="40"/>
            </w:pPr>
            <w:r>
              <w:rPr>
                <w:rFonts w:ascii="Arial" w:cs="Arial" w:eastAsia="Arial" w:hAnsi="Arial"/>
                <w:color w:val="1E293B"/>
                <w:sz w:val="20"/>
                <w:szCs w:val="20"/>
              </w:rPr>
              <w:t xml:space="preserve">4. ASIENTO CONTABLE: Db: Gasto nómina / Cr: Nóminas por pagar.</w:t>
            </w:r>
          </w:p>
          <w:p>
            <w:pPr>
              <w:spacing w:after="0" w:before="40"/>
            </w:pPr>
            <w:r>
              <w:rPr>
                <w:rFonts w:ascii="Arial" w:cs="Arial" w:eastAsia="Arial" w:hAnsi="Arial"/>
                <w:color w:val="1E293B"/>
                <w:sz w:val="20"/>
                <w:szCs w:val="20"/>
              </w:rPr>
              <w:t xml:space="preserve">   El retroactivo genera una obligación presupuestal adicional que requiere CDP si no estaba previsto.</w:t>
            </w:r>
          </w:p>
        </w:tc>
      </w:tr>
    </w:tbl>
    <w:p>
      <w:pPr>
        <w:spacing w:after="0" w:before="80"/>
      </w:pPr>
      <w:r>
        <w:t xml:space="preserve"/>
      </w:r>
    </w:p>
    <w:p>
      <w:pPr>
        <w:pStyle w:val="Heading2"/>
        <w:spacing w:after="140" w:before="320"/>
      </w:pPr>
      <w:r>
        <w:rPr>
          <w:rFonts w:ascii="Arial" w:cs="Arial" w:eastAsia="Arial" w:hAnsi="Arial"/>
          <w:b/>
          <w:bCs/>
          <w:color w:val="1E3A5F"/>
          <w:sz w:val="28"/>
          <w:szCs w:val="28"/>
        </w:rPr>
        <w:t xml:space="preserve">5.4 PILA Sector Público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1500"/>
        <w:gridCol w:w="1500"/>
        <w:gridCol w:w="1960"/>
      </w:tblGrid>
      <w:tr>
        <w:trPr>
          <w:tblHeader/>
        </w:trPr>
        <w:tc>
          <w:tcPr>
            <w:tcW w:type="dxa" w:w="2000"/>
            <w:tcBorders>
              <w:top w:val="single" w:color="CBD5E1" w:sz="1"/>
              <w:left w:val="single" w:color="CBD5E1" w:sz="1"/>
              <w:bottom w:val="single" w:color="CBD5E1" w:sz="1"/>
              <w:right w:val="single" w:color="CBD5E1" w:sz="1"/>
            </w:tcBorders>
            <w:shd w:fill="1E3A5F"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Aporte</w:t>
            </w:r>
          </w:p>
        </w:tc>
        <w:tc>
          <w:tcPr>
            <w:tcW w:type="dxa" w:w="2400"/>
            <w:tcBorders>
              <w:top w:val="single" w:color="CBD5E1" w:sz="1"/>
              <w:left w:val="single" w:color="CBD5E1" w:sz="1"/>
              <w:bottom w:val="single" w:color="CBD5E1" w:sz="1"/>
              <w:right w:val="single" w:color="CBD5E1" w:sz="1"/>
            </w:tcBorders>
            <w:shd w:fill="1E3A5F"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Base de cotización</w:t>
            </w:r>
          </w:p>
        </w:tc>
        <w:tc>
          <w:tcPr>
            <w:tcW w:type="dxa" w:w="1500"/>
            <w:tcBorders>
              <w:top w:val="single" w:color="CBD5E1" w:sz="1"/>
              <w:left w:val="single" w:color="CBD5E1" w:sz="1"/>
              <w:bottom w:val="single" w:color="CBD5E1" w:sz="1"/>
              <w:right w:val="single" w:color="CBD5E1" w:sz="1"/>
            </w:tcBorders>
            <w:shd w:fill="1E3A5F"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Tarifa empleador</w:t>
            </w:r>
          </w:p>
        </w:tc>
        <w:tc>
          <w:tcPr>
            <w:tcW w:type="dxa" w:w="1500"/>
            <w:tcBorders>
              <w:top w:val="single" w:color="CBD5E1" w:sz="1"/>
              <w:left w:val="single" w:color="CBD5E1" w:sz="1"/>
              <w:bottom w:val="single" w:color="CBD5E1" w:sz="1"/>
              <w:right w:val="single" w:color="CBD5E1" w:sz="1"/>
            </w:tcBorders>
            <w:shd w:fill="1E3A5F"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Tarifa empleado</w:t>
            </w:r>
          </w:p>
        </w:tc>
        <w:tc>
          <w:tcPr>
            <w:tcW w:type="dxa" w:w="1960"/>
            <w:tcBorders>
              <w:top w:val="single" w:color="CBD5E1" w:sz="1"/>
              <w:left w:val="single" w:color="CBD5E1" w:sz="1"/>
              <w:bottom w:val="single" w:color="CBD5E1" w:sz="1"/>
              <w:right w:val="single" w:color="CBD5E1" w:sz="1"/>
            </w:tcBorders>
            <w:shd w:fill="1E3A5F"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Destinatario</w:t>
            </w:r>
          </w:p>
        </w:tc>
      </w:tr>
      <w:tr>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Salud</w:t>
            </w:r>
          </w:p>
        </w:tc>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Ingresos base de cotización (IBC)</w:t>
            </w:r>
          </w:p>
        </w:tc>
        <w:tc>
          <w:tcPr>
            <w:tcW w:type="dxa" w:w="1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8.5%</w:t>
            </w:r>
          </w:p>
        </w:tc>
        <w:tc>
          <w:tcPr>
            <w:tcW w:type="dxa" w:w="1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4%</w:t>
            </w:r>
          </w:p>
        </w:tc>
        <w:tc>
          <w:tcPr>
            <w:tcW w:type="dxa" w:w="1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EPS del servidor público</w:t>
            </w:r>
          </w:p>
        </w:tc>
      </w:tr>
      <w:tr>
        <w:tc>
          <w:tcPr>
            <w:tcW w:type="dxa" w:w="20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Arial" w:cs="Arial" w:eastAsia="Arial" w:hAnsi="Arial"/>
                <w:color w:val="1E293B"/>
                <w:sz w:val="20"/>
                <w:szCs w:val="20"/>
              </w:rPr>
              <w:t xml:space="preserve">Pensión (Colpensiones)</w:t>
            </w:r>
          </w:p>
        </w:tc>
        <w:tc>
          <w:tcPr>
            <w:tcW w:type="dxa" w:w="24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Arial" w:cs="Arial" w:eastAsia="Arial" w:hAnsi="Arial"/>
                <w:color w:val="1E293B"/>
                <w:sz w:val="20"/>
                <w:szCs w:val="20"/>
              </w:rPr>
              <w:t xml:space="preserve">IBC</w:t>
            </w:r>
          </w:p>
        </w:tc>
        <w:tc>
          <w:tcPr>
            <w:tcW w:type="dxa" w:w="15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Arial" w:cs="Arial" w:eastAsia="Arial" w:hAnsi="Arial"/>
                <w:color w:val="1E293B"/>
                <w:sz w:val="20"/>
                <w:szCs w:val="20"/>
              </w:rPr>
              <w:t xml:space="preserve">12%</w:t>
            </w:r>
          </w:p>
        </w:tc>
        <w:tc>
          <w:tcPr>
            <w:tcW w:type="dxa" w:w="15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Arial" w:cs="Arial" w:eastAsia="Arial" w:hAnsi="Arial"/>
                <w:color w:val="1E293B"/>
                <w:sz w:val="20"/>
                <w:szCs w:val="20"/>
              </w:rPr>
              <w:t xml:space="preserve">4%</w:t>
            </w:r>
          </w:p>
        </w:tc>
        <w:tc>
          <w:tcPr>
            <w:tcW w:type="dxa" w:w="196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Arial" w:cs="Arial" w:eastAsia="Arial" w:hAnsi="Arial"/>
                <w:color w:val="1E293B"/>
                <w:sz w:val="20"/>
                <w:szCs w:val="20"/>
              </w:rPr>
              <w:t xml:space="preserve">Colpensiones (mayoría servidores)</w:t>
            </w:r>
          </w:p>
        </w:tc>
      </w:tr>
      <w:tr>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Pensión (Fondo Privado)</w:t>
            </w:r>
          </w:p>
        </w:tc>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IBC</w:t>
            </w:r>
          </w:p>
        </w:tc>
        <w:tc>
          <w:tcPr>
            <w:tcW w:type="dxa" w:w="1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12%</w:t>
            </w:r>
          </w:p>
        </w:tc>
        <w:tc>
          <w:tcPr>
            <w:tcW w:type="dxa" w:w="1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4%</w:t>
            </w:r>
          </w:p>
        </w:tc>
        <w:tc>
          <w:tcPr>
            <w:tcW w:type="dxa" w:w="1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AFP elegida por el servidor</w:t>
            </w:r>
          </w:p>
        </w:tc>
      </w:tr>
      <w:tr>
        <w:tc>
          <w:tcPr>
            <w:tcW w:type="dxa" w:w="20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Arial" w:cs="Arial" w:eastAsia="Arial" w:hAnsi="Arial"/>
                <w:color w:val="1E293B"/>
                <w:sz w:val="20"/>
                <w:szCs w:val="20"/>
              </w:rPr>
              <w:t xml:space="preserve">ARL (Riesgos Laborales)</w:t>
            </w:r>
          </w:p>
        </w:tc>
        <w:tc>
          <w:tcPr>
            <w:tcW w:type="dxa" w:w="24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Arial" w:cs="Arial" w:eastAsia="Arial" w:hAnsi="Arial"/>
                <w:color w:val="1E293B"/>
                <w:sz w:val="20"/>
                <w:szCs w:val="20"/>
              </w:rPr>
              <w:t xml:space="preserve">IBC</w:t>
            </w:r>
          </w:p>
        </w:tc>
        <w:tc>
          <w:tcPr>
            <w:tcW w:type="dxa" w:w="15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Arial" w:cs="Arial" w:eastAsia="Arial" w:hAnsi="Arial"/>
                <w:color w:val="1E293B"/>
                <w:sz w:val="20"/>
                <w:szCs w:val="20"/>
              </w:rPr>
              <w:t xml:space="preserve">Según clase riesgo (0.348% a 8.7%)</w:t>
            </w:r>
          </w:p>
        </w:tc>
        <w:tc>
          <w:tcPr>
            <w:tcW w:type="dxa" w:w="15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Arial" w:cs="Arial" w:eastAsia="Arial" w:hAnsi="Arial"/>
                <w:color w:val="1E293B"/>
                <w:sz w:val="20"/>
                <w:szCs w:val="20"/>
              </w:rPr>
              <w:t xml:space="preserve">0%</w:t>
            </w:r>
          </w:p>
        </w:tc>
        <w:tc>
          <w:tcPr>
            <w:tcW w:type="dxa" w:w="196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Arial" w:cs="Arial" w:eastAsia="Arial" w:hAnsi="Arial"/>
                <w:color w:val="1E293B"/>
                <w:sz w:val="20"/>
                <w:szCs w:val="20"/>
              </w:rPr>
              <w:t xml:space="preserve">ARL contratada</w:t>
            </w:r>
          </w:p>
        </w:tc>
      </w:tr>
      <w:tr>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Caja de Compensación</w:t>
            </w:r>
          </w:p>
        </w:tc>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Nómina mensual</w:t>
            </w:r>
          </w:p>
        </w:tc>
        <w:tc>
          <w:tcPr>
            <w:tcW w:type="dxa" w:w="1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4%</w:t>
            </w:r>
          </w:p>
        </w:tc>
        <w:tc>
          <w:tcPr>
            <w:tcW w:type="dxa" w:w="1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0%</w:t>
            </w:r>
          </w:p>
        </w:tc>
        <w:tc>
          <w:tcPr>
            <w:tcW w:type="dxa" w:w="1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Caja compensación familiar</w:t>
            </w:r>
          </w:p>
        </w:tc>
      </w:tr>
      <w:tr>
        <w:tc>
          <w:tcPr>
            <w:tcW w:type="dxa" w:w="20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Arial" w:cs="Arial" w:eastAsia="Arial" w:hAnsi="Arial"/>
                <w:color w:val="1E293B"/>
                <w:sz w:val="20"/>
                <w:szCs w:val="20"/>
              </w:rPr>
              <w:t xml:space="preserve">ICBF</w:t>
            </w:r>
          </w:p>
        </w:tc>
        <w:tc>
          <w:tcPr>
            <w:tcW w:type="dxa" w:w="24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Arial" w:cs="Arial" w:eastAsia="Arial" w:hAnsi="Arial"/>
                <w:color w:val="1E293B"/>
                <w:sz w:val="20"/>
                <w:szCs w:val="20"/>
              </w:rPr>
              <w:t xml:space="preserve">Nómina mensual</w:t>
            </w:r>
          </w:p>
        </w:tc>
        <w:tc>
          <w:tcPr>
            <w:tcW w:type="dxa" w:w="15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Arial" w:cs="Arial" w:eastAsia="Arial" w:hAnsi="Arial"/>
                <w:color w:val="1E293B"/>
                <w:sz w:val="20"/>
                <w:szCs w:val="20"/>
              </w:rPr>
              <w:t xml:space="preserve">3%</w:t>
            </w:r>
          </w:p>
        </w:tc>
        <w:tc>
          <w:tcPr>
            <w:tcW w:type="dxa" w:w="15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Arial" w:cs="Arial" w:eastAsia="Arial" w:hAnsi="Arial"/>
                <w:color w:val="1E293B"/>
                <w:sz w:val="20"/>
                <w:szCs w:val="20"/>
              </w:rPr>
              <w:t xml:space="preserve">0%</w:t>
            </w:r>
          </w:p>
        </w:tc>
        <w:tc>
          <w:tcPr>
            <w:tcW w:type="dxa" w:w="196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Arial" w:cs="Arial" w:eastAsia="Arial" w:hAnsi="Arial"/>
                <w:color w:val="1E293B"/>
                <w:sz w:val="20"/>
                <w:szCs w:val="20"/>
              </w:rPr>
              <w:t xml:space="preserve">ICBF (si salarios &lt; 10 SMMLV: exonerado desde 2013)</w:t>
            </w:r>
          </w:p>
        </w:tc>
      </w:tr>
      <w:tr>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SENA</w:t>
            </w:r>
          </w:p>
        </w:tc>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Nómina mensual</w:t>
            </w:r>
          </w:p>
        </w:tc>
        <w:tc>
          <w:tcPr>
            <w:tcW w:type="dxa" w:w="1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2%</w:t>
            </w:r>
          </w:p>
        </w:tc>
        <w:tc>
          <w:tcPr>
            <w:tcW w:type="dxa" w:w="1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0%</w:t>
            </w:r>
          </w:p>
        </w:tc>
        <w:tc>
          <w:tcPr>
            <w:tcW w:type="dxa" w:w="1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SENA (misma exoneración)</w:t>
            </w:r>
          </w:p>
        </w:tc>
      </w:tr>
    </w:tbl>
    <w:p>
      <w:pPr>
        <w:spacing w:after="0" w:before="80"/>
      </w:pPr>
      <w:r>
        <w:t xml:space="preserve"/>
      </w:r>
    </w:p>
    <w:p>
      <w:r>
        <w:br w:type="page"/>
      </w:r>
    </w:p>
    <w:p>
      <w:pPr>
        <w:pStyle w:val="Heading1"/>
        <w:pBdr>
          <w:bottom w:val="single" w:color="1E3A5F" w:sz="8" w:space="4"/>
        </w:pBdr>
        <w:spacing w:after="200" w:before="480"/>
      </w:pPr>
      <w:r>
        <w:rPr>
          <w:rFonts w:ascii="Arial" w:cs="Arial" w:eastAsia="Arial" w:hAnsi="Arial"/>
          <w:b/>
          <w:bCs/>
          <w:color w:val="1E3A5F"/>
          <w:sz w:val="38"/>
          <w:szCs w:val="38"/>
        </w:rPr>
        <w:t xml:space="preserve">Macro-Sistema 6 — Almacén, Inventarios y Activos del Estado</w:t>
      </w:r>
    </w:p>
    <w:p>
      <w:pPr>
        <w:spacing w:after="80" w:before="80"/>
      </w:pPr>
      <w:r>
        <w:rPr>
          <w:rFonts w:ascii="Arial" w:cs="Arial" w:eastAsia="Arial" w:hAnsi="Arial"/>
          <w:color w:val="1E293B"/>
          <w:sz w:val="22"/>
          <w:szCs w:val="22"/>
        </w:rPr>
        <w:t xml:space="preserve">Los bienes del Estado no son mercancía: son patrimonio público. Su gestión está regulada por la CGN bajo NICSP 17 (Propiedades, Planta y Equipo) y la distinción jurídica entre tipos de bienes es tan importante como su valoración contable.</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BD5E1" w:sz="1"/>
              <w:left w:val="single" w:color="CBD5E1" w:sz="1"/>
              <w:bottom w:val="single" w:color="CBD5E1" w:sz="1"/>
              <w:right w:val="single" w:color="CBD5E1" w:sz="1"/>
            </w:tcBorders>
            <w:shd w:fill="FEF3C7" w:val="clear"/>
            <w:tcMar>
              <w:top w:type="dxa" w:w="120"/>
              <w:left w:type="dxa" w:w="200"/>
              <w:bottom w:type="dxa" w:w="120"/>
              <w:right w:type="dxa" w:w="200"/>
            </w:tcMar>
          </w:tcPr>
          <w:p>
            <w:r>
              <w:rPr>
                <w:rFonts w:ascii="Arial" w:cs="Arial" w:eastAsia="Arial" w:hAnsi="Arial"/>
                <w:b/>
                <w:bCs/>
                <w:color w:val="B45309"/>
                <w:sz w:val="21"/>
                <w:szCs w:val="21"/>
              </w:rPr>
              <w:t xml:space="preserve">📋 NICSP 17 — Propiedades, Planta y Equipo + Procedimiento CGN Activos No Corrientes</w:t>
            </w:r>
          </w:p>
          <w:p>
            <w:pPr>
              <w:spacing w:after="0" w:before="40"/>
            </w:pPr>
            <w:r>
              <w:rPr>
                <w:rFonts w:ascii="Arial" w:cs="Arial" w:eastAsia="Arial" w:hAnsi="Arial"/>
                <w:color w:val="1E293B"/>
                <w:sz w:val="20"/>
                <w:szCs w:val="20"/>
              </w:rPr>
              <w:t xml:space="preserve">La NICSP 17 (adoptada por la Res. 533/2015 CGN) regula el reconocimiento, medición posterior y depreciación de los activos fijos del Estado. La CGN publicó procedimientos contables específicos para: bienes de uso público, bienes fiscales, bienes recibidos en dación en pago, bienes en depósito y activos intangibles.</w:t>
            </w:r>
          </w:p>
        </w:tc>
      </w:tr>
    </w:tbl>
    <w:p>
      <w:pPr>
        <w:spacing w:after="0" w:before="80"/>
      </w:pPr>
      <w:r>
        <w:t xml:space="preserve"/>
      </w:r>
    </w:p>
    <w:p>
      <w:pPr>
        <w:pStyle w:val="Heading2"/>
        <w:spacing w:after="140" w:before="320"/>
      </w:pPr>
      <w:r>
        <w:rPr>
          <w:rFonts w:ascii="Arial" w:cs="Arial" w:eastAsia="Arial" w:hAnsi="Arial"/>
          <w:b/>
          <w:bCs/>
          <w:color w:val="1E3A5F"/>
          <w:sz w:val="28"/>
          <w:szCs w:val="28"/>
        </w:rPr>
        <w:t xml:space="preserve">6.1 Clasificación de Bienes del Estado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600"/>
        <w:gridCol w:w="2800"/>
        <w:gridCol w:w="1960"/>
      </w:tblGrid>
      <w:tr>
        <w:trPr>
          <w:tblHeader/>
        </w:trPr>
        <w:tc>
          <w:tcPr>
            <w:tcW w:type="dxa" w:w="2000"/>
            <w:tcBorders>
              <w:top w:val="single" w:color="CBD5E1" w:sz="1"/>
              <w:left w:val="single" w:color="CBD5E1" w:sz="1"/>
              <w:bottom w:val="single" w:color="CBD5E1" w:sz="1"/>
              <w:right w:val="single" w:color="CBD5E1" w:sz="1"/>
            </w:tcBorders>
            <w:shd w:fill="1E3A5F"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Tipo de bien</w:t>
            </w:r>
          </w:p>
        </w:tc>
        <w:tc>
          <w:tcPr>
            <w:tcW w:type="dxa" w:w="2600"/>
            <w:tcBorders>
              <w:top w:val="single" w:color="CBD5E1" w:sz="1"/>
              <w:left w:val="single" w:color="CBD5E1" w:sz="1"/>
              <w:bottom w:val="single" w:color="CBD5E1" w:sz="1"/>
              <w:right w:val="single" w:color="CBD5E1" w:sz="1"/>
            </w:tcBorders>
            <w:shd w:fill="1E3A5F"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Definición</w:t>
            </w:r>
          </w:p>
        </w:tc>
        <w:tc>
          <w:tcPr>
            <w:tcW w:type="dxa" w:w="2800"/>
            <w:tcBorders>
              <w:top w:val="single" w:color="CBD5E1" w:sz="1"/>
              <w:left w:val="single" w:color="CBD5E1" w:sz="1"/>
              <w:bottom w:val="single" w:color="CBD5E1" w:sz="1"/>
              <w:right w:val="single" w:color="CBD5E1" w:sz="1"/>
            </w:tcBorders>
            <w:shd w:fill="1E3A5F"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Ejemplos</w:t>
            </w:r>
          </w:p>
        </w:tc>
        <w:tc>
          <w:tcPr>
            <w:tcW w:type="dxa" w:w="1960"/>
            <w:tcBorders>
              <w:top w:val="single" w:color="CBD5E1" w:sz="1"/>
              <w:left w:val="single" w:color="CBD5E1" w:sz="1"/>
              <w:bottom w:val="single" w:color="CBD5E1" w:sz="1"/>
              <w:right w:val="single" w:color="CBD5E1" w:sz="1"/>
            </w:tcBorders>
            <w:shd w:fill="1E3A5F"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Cuenta CGC</w:t>
            </w:r>
          </w:p>
        </w:tc>
      </w:tr>
      <w:tr>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Bienes de uso público</w:t>
            </w:r>
          </w:p>
        </w:tc>
        <w:tc>
          <w:tcPr>
            <w:tcW w:type="dxa" w:w="2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Destinados al uso común de todos los ciudadanos. No son susceptibles de apropiación privada.</w:t>
            </w:r>
          </w:p>
        </w:tc>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Calles, parques, playas, ríos navegables, plazas públicas</w:t>
            </w:r>
          </w:p>
        </w:tc>
        <w:tc>
          <w:tcPr>
            <w:tcW w:type="dxa" w:w="1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1640 - Bienes de uso público</w:t>
            </w:r>
          </w:p>
        </w:tc>
      </w:tr>
      <w:tr>
        <w:tc>
          <w:tcPr>
            <w:tcW w:type="dxa" w:w="20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Arial" w:cs="Arial" w:eastAsia="Arial" w:hAnsi="Arial"/>
                <w:color w:val="1E293B"/>
                <w:sz w:val="20"/>
                <w:szCs w:val="20"/>
              </w:rPr>
              <w:t xml:space="preserve">Bienes fiscales</w:t>
            </w:r>
          </w:p>
        </w:tc>
        <w:tc>
          <w:tcPr>
            <w:tcW w:type="dxa" w:w="26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Arial" w:cs="Arial" w:eastAsia="Arial" w:hAnsi="Arial"/>
                <w:color w:val="1E293B"/>
                <w:sz w:val="20"/>
                <w:szCs w:val="20"/>
              </w:rPr>
              <w:t xml:space="preserve">De propiedad de la entidad pero NO al servicio del público general. Uso institucional.</w:t>
            </w:r>
          </w:p>
        </w:tc>
        <w:tc>
          <w:tcPr>
            <w:tcW w:type="dxa" w:w="28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Arial" w:cs="Arial" w:eastAsia="Arial" w:hAnsi="Arial"/>
                <w:color w:val="1E293B"/>
                <w:sz w:val="20"/>
                <w:szCs w:val="20"/>
              </w:rPr>
              <w:t xml:space="preserve">Edificios de la alcaldía, computadores, vehículos oficiales, muebles y enseres</w:t>
            </w:r>
          </w:p>
        </w:tc>
        <w:tc>
          <w:tcPr>
            <w:tcW w:type="dxa" w:w="196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Arial" w:cs="Arial" w:eastAsia="Arial" w:hAnsi="Arial"/>
                <w:color w:val="1E293B"/>
                <w:sz w:val="20"/>
                <w:szCs w:val="20"/>
              </w:rPr>
              <w:t xml:space="preserve">1635 - Propiedades, planta y equipo</w:t>
            </w:r>
          </w:p>
        </w:tc>
      </w:tr>
      <w:tr>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Bienes de beneficio y uso público</w:t>
            </w:r>
          </w:p>
        </w:tc>
        <w:tc>
          <w:tcPr>
            <w:tcW w:type="dxa" w:w="2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Infraestructura operada por la entidad para prestar servicios públicos.</w:t>
            </w:r>
          </w:p>
        </w:tc>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Acueductos, alcantarillados, alumbrado público, vías concesionadas</w:t>
            </w:r>
          </w:p>
        </w:tc>
        <w:tc>
          <w:tcPr>
            <w:tcW w:type="dxa" w:w="1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1640 - Bienes de uso público</w:t>
            </w:r>
          </w:p>
        </w:tc>
      </w:tr>
      <w:tr>
        <w:tc>
          <w:tcPr>
            <w:tcW w:type="dxa" w:w="20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Arial" w:cs="Arial" w:eastAsia="Arial" w:hAnsi="Arial"/>
                <w:color w:val="1E293B"/>
                <w:sz w:val="20"/>
                <w:szCs w:val="20"/>
              </w:rPr>
              <w:t xml:space="preserve">Recursos naturales</w:t>
            </w:r>
          </w:p>
        </w:tc>
        <w:tc>
          <w:tcPr>
            <w:tcW w:type="dxa" w:w="26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Arial" w:cs="Arial" w:eastAsia="Arial" w:hAnsi="Arial"/>
                <w:color w:val="1E293B"/>
                <w:sz w:val="20"/>
                <w:szCs w:val="20"/>
              </w:rPr>
              <w:t xml:space="preserve">Bienes naturales bajo la soberanía del Estado.</w:t>
            </w:r>
          </w:p>
        </w:tc>
        <w:tc>
          <w:tcPr>
            <w:tcW w:type="dxa" w:w="28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Arial" w:cs="Arial" w:eastAsia="Arial" w:hAnsi="Arial"/>
                <w:color w:val="1E293B"/>
                <w:sz w:val="20"/>
                <w:szCs w:val="20"/>
              </w:rPr>
              <w:t xml:space="preserve">Subsuelo, espectro electromagnético, recursos hídricos</w:t>
            </w:r>
          </w:p>
        </w:tc>
        <w:tc>
          <w:tcPr>
            <w:tcW w:type="dxa" w:w="196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Arial" w:cs="Arial" w:eastAsia="Arial" w:hAnsi="Arial"/>
                <w:color w:val="1E293B"/>
                <w:sz w:val="20"/>
                <w:szCs w:val="20"/>
              </w:rPr>
              <w:t xml:space="preserve">1650 - Recursos naturales y del ambiente</w:t>
            </w:r>
          </w:p>
        </w:tc>
      </w:tr>
      <w:tr>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Activos intangibles</w:t>
            </w:r>
          </w:p>
        </w:tc>
        <w:tc>
          <w:tcPr>
            <w:tcW w:type="dxa" w:w="2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Derechos sin forma física: software, licencias, marcas, derechos de autor.</w:t>
            </w:r>
          </w:p>
        </w:tc>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Sistemas de información, licencias de software, patentes</w:t>
            </w:r>
          </w:p>
        </w:tc>
        <w:tc>
          <w:tcPr>
            <w:tcW w:type="dxa" w:w="1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1920 - Activos intangibles</w:t>
            </w:r>
          </w:p>
        </w:tc>
      </w:tr>
    </w:tbl>
    <w:p>
      <w:pPr>
        <w:spacing w:after="0" w:before="80"/>
      </w:pPr>
      <w:r>
        <w:t xml:space="preserve"/>
      </w:r>
    </w:p>
    <w:p>
      <w:pPr>
        <w:pStyle w:val="Heading2"/>
        <w:spacing w:after="140" w:before="320"/>
      </w:pPr>
      <w:r>
        <w:rPr>
          <w:rFonts w:ascii="Arial" w:cs="Arial" w:eastAsia="Arial" w:hAnsi="Arial"/>
          <w:b/>
          <w:bCs/>
          <w:color w:val="1E3A5F"/>
          <w:sz w:val="28"/>
          <w:szCs w:val="28"/>
        </w:rPr>
        <w:t xml:space="preserve">6.2 Depreciación NICSP 17 — Tasas por Tipo de Bien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BD5E1" w:sz="1"/>
              <w:left w:val="single" w:color="CBD5E1" w:sz="1"/>
              <w:bottom w:val="single" w:color="CBD5E1" w:sz="1"/>
              <w:right w:val="single" w:color="CBD5E1" w:sz="1"/>
            </w:tcBorders>
            <w:shd w:fill="FEF3C7" w:val="clear"/>
            <w:tcMar>
              <w:top w:type="dxa" w:w="120"/>
              <w:left w:type="dxa" w:w="200"/>
              <w:bottom w:type="dxa" w:w="120"/>
              <w:right w:type="dxa" w:w="200"/>
            </w:tcMar>
          </w:tcPr>
          <w:p>
            <w:r>
              <w:rPr>
                <w:rFonts w:ascii="Arial" w:cs="Arial" w:eastAsia="Arial" w:hAnsi="Arial"/>
                <w:b/>
                <w:bCs/>
                <w:color w:val="B45309"/>
                <w:sz w:val="21"/>
                <w:szCs w:val="21"/>
              </w:rPr>
              <w:t xml:space="preserve">📋 Procedimiento CGN — Depreciación de Propiedades, Planta y Equipo (Entidades de Gobierno)</w:t>
            </w:r>
          </w:p>
          <w:p>
            <w:pPr>
              <w:spacing w:after="0" w:before="40"/>
            </w:pPr>
            <w:r>
              <w:rPr>
                <w:rFonts w:ascii="Arial" w:cs="Arial" w:eastAsia="Arial" w:hAnsi="Arial"/>
                <w:color w:val="1E293B"/>
                <w:sz w:val="20"/>
                <w:szCs w:val="20"/>
              </w:rPr>
              <w:t xml:space="preserve">La CGN establece que la depreciación debe calcularse usando el método de línea recta, sobre la vida útil estimada de cada activo. La entidad debe revelar en notas las vidas útiles usadas. Los bienes de uso público generalmente NO se deprecian si tienen vida útil indefinida.</w:t>
            </w:r>
          </w:p>
        </w:tc>
      </w:tr>
    </w:tbl>
    <w:p>
      <w:pPr>
        <w:spacing w:after="0" w:before="80"/>
      </w:pPr>
      <w:r>
        <w:t xml:space="preserve"/>
      </w:r>
    </w:p>
    <w:tbl>
      <w:tblPr>
        <w:tblW w:type="dxa" w:w="1036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2000"/>
        <w:gridCol w:w="1600"/>
        <w:gridCol w:w="2760"/>
      </w:tblGrid>
      <w:tr>
        <w:trPr>
          <w:tblHeader/>
        </w:trPr>
        <w:tc>
          <w:tcPr>
            <w:tcW w:type="dxa" w:w="2400"/>
            <w:tcBorders>
              <w:top w:val="single" w:color="CBD5E1" w:sz="1"/>
              <w:left w:val="single" w:color="CBD5E1" w:sz="1"/>
              <w:bottom w:val="single" w:color="CBD5E1" w:sz="1"/>
              <w:right w:val="single" w:color="CBD5E1" w:sz="1"/>
            </w:tcBorders>
            <w:shd w:fill="1E3A5F"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Tipo de activo</w:t>
            </w:r>
          </w:p>
        </w:tc>
        <w:tc>
          <w:tcPr>
            <w:tcW w:type="dxa" w:w="1600"/>
            <w:tcBorders>
              <w:top w:val="single" w:color="CBD5E1" w:sz="1"/>
              <w:left w:val="single" w:color="CBD5E1" w:sz="1"/>
              <w:bottom w:val="single" w:color="CBD5E1" w:sz="1"/>
              <w:right w:val="single" w:color="CBD5E1" w:sz="1"/>
            </w:tcBorders>
            <w:shd w:fill="1E3A5F"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Vida útil (años)</w:t>
            </w:r>
          </w:p>
        </w:tc>
        <w:tc>
          <w:tcPr>
            <w:tcW w:type="dxa" w:w="2000"/>
            <w:tcBorders>
              <w:top w:val="single" w:color="CBD5E1" w:sz="1"/>
              <w:left w:val="single" w:color="CBD5E1" w:sz="1"/>
              <w:bottom w:val="single" w:color="CBD5E1" w:sz="1"/>
              <w:right w:val="single" w:color="CBD5E1" w:sz="1"/>
            </w:tcBorders>
            <w:shd w:fill="1E3A5F"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Tasa depreciación anual</w:t>
            </w:r>
          </w:p>
        </w:tc>
        <w:tc>
          <w:tcPr>
            <w:tcW w:type="dxa" w:w="1600"/>
            <w:tcBorders>
              <w:top w:val="single" w:color="CBD5E1" w:sz="1"/>
              <w:left w:val="single" w:color="CBD5E1" w:sz="1"/>
              <w:bottom w:val="single" w:color="CBD5E1" w:sz="1"/>
              <w:right w:val="single" w:color="CBD5E1" w:sz="1"/>
            </w:tcBorders>
            <w:shd w:fill="1E3A5F"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Valor residual</w:t>
            </w:r>
          </w:p>
        </w:tc>
        <w:tc>
          <w:tcPr>
            <w:tcW w:type="dxa" w:w="2760"/>
            <w:tcBorders>
              <w:top w:val="single" w:color="CBD5E1" w:sz="1"/>
              <w:left w:val="single" w:color="CBD5E1" w:sz="1"/>
              <w:bottom w:val="single" w:color="CBD5E1" w:sz="1"/>
              <w:right w:val="single" w:color="CBD5E1" w:sz="1"/>
            </w:tcBorders>
            <w:shd w:fill="1E3A5F"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Cuenta CGC depreciación</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Edificaciones</w:t>
            </w:r>
          </w:p>
        </w:tc>
        <w:tc>
          <w:tcPr>
            <w:tcW w:type="dxa" w:w="1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50-80</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1.25% - 2%</w:t>
            </w:r>
          </w:p>
        </w:tc>
        <w:tc>
          <w:tcPr>
            <w:tcW w:type="dxa" w:w="1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0-10%</w:t>
            </w:r>
          </w:p>
        </w:tc>
        <w:tc>
          <w:tcPr>
            <w:tcW w:type="dxa" w:w="2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1635 CR: Depreciación acumulada</w:t>
            </w:r>
          </w:p>
        </w:tc>
      </w:tr>
      <w:tr>
        <w:tc>
          <w:tcPr>
            <w:tcW w:type="dxa" w:w="24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Arial" w:cs="Arial" w:eastAsia="Arial" w:hAnsi="Arial"/>
                <w:color w:val="1E293B"/>
                <w:sz w:val="20"/>
                <w:szCs w:val="20"/>
              </w:rPr>
              <w:t xml:space="preserve">Maquinaria y equipo</w:t>
            </w:r>
          </w:p>
        </w:tc>
        <w:tc>
          <w:tcPr>
            <w:tcW w:type="dxa" w:w="16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Arial" w:cs="Arial" w:eastAsia="Arial" w:hAnsi="Arial"/>
                <w:color w:val="1E293B"/>
                <w:sz w:val="20"/>
                <w:szCs w:val="20"/>
              </w:rPr>
              <w:t xml:space="preserve">10-20</w:t>
            </w:r>
          </w:p>
        </w:tc>
        <w:tc>
          <w:tcPr>
            <w:tcW w:type="dxa" w:w="20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Arial" w:cs="Arial" w:eastAsia="Arial" w:hAnsi="Arial"/>
                <w:color w:val="1E293B"/>
                <w:sz w:val="20"/>
                <w:szCs w:val="20"/>
              </w:rPr>
              <w:t xml:space="preserve">5% - 10%</w:t>
            </w:r>
          </w:p>
        </w:tc>
        <w:tc>
          <w:tcPr>
            <w:tcW w:type="dxa" w:w="16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Arial" w:cs="Arial" w:eastAsia="Arial" w:hAnsi="Arial"/>
                <w:color w:val="1E293B"/>
                <w:sz w:val="20"/>
                <w:szCs w:val="20"/>
              </w:rPr>
              <w:t xml:space="preserve">0-5%</w:t>
            </w:r>
          </w:p>
        </w:tc>
        <w:tc>
          <w:tcPr>
            <w:tcW w:type="dxa" w:w="276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Arial" w:cs="Arial" w:eastAsia="Arial" w:hAnsi="Arial"/>
                <w:color w:val="1E293B"/>
                <w:sz w:val="20"/>
                <w:szCs w:val="20"/>
              </w:rPr>
              <w:t xml:space="preserve">1635 CR: Depreciación acumulada</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Equipo de cómputo</w:t>
            </w:r>
          </w:p>
        </w:tc>
        <w:tc>
          <w:tcPr>
            <w:tcW w:type="dxa" w:w="1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5</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20%</w:t>
            </w:r>
          </w:p>
        </w:tc>
        <w:tc>
          <w:tcPr>
            <w:tcW w:type="dxa" w:w="1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0%</w:t>
            </w:r>
          </w:p>
        </w:tc>
        <w:tc>
          <w:tcPr>
            <w:tcW w:type="dxa" w:w="2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1635 CR: Depreciación acumulada</w:t>
            </w:r>
          </w:p>
        </w:tc>
      </w:tr>
      <w:tr>
        <w:tc>
          <w:tcPr>
            <w:tcW w:type="dxa" w:w="24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Arial" w:cs="Arial" w:eastAsia="Arial" w:hAnsi="Arial"/>
                <w:color w:val="1E293B"/>
                <w:sz w:val="20"/>
                <w:szCs w:val="20"/>
              </w:rPr>
              <w:t xml:space="preserve">Vehículos</w:t>
            </w:r>
          </w:p>
        </w:tc>
        <w:tc>
          <w:tcPr>
            <w:tcW w:type="dxa" w:w="16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Arial" w:cs="Arial" w:eastAsia="Arial" w:hAnsi="Arial"/>
                <w:color w:val="1E293B"/>
                <w:sz w:val="20"/>
                <w:szCs w:val="20"/>
              </w:rPr>
              <w:t xml:space="preserve">5-10</w:t>
            </w:r>
          </w:p>
        </w:tc>
        <w:tc>
          <w:tcPr>
            <w:tcW w:type="dxa" w:w="20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Arial" w:cs="Arial" w:eastAsia="Arial" w:hAnsi="Arial"/>
                <w:color w:val="1E293B"/>
                <w:sz w:val="20"/>
                <w:szCs w:val="20"/>
              </w:rPr>
              <w:t xml:space="preserve">10% - 20%</w:t>
            </w:r>
          </w:p>
        </w:tc>
        <w:tc>
          <w:tcPr>
            <w:tcW w:type="dxa" w:w="16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Arial" w:cs="Arial" w:eastAsia="Arial" w:hAnsi="Arial"/>
                <w:color w:val="1E293B"/>
                <w:sz w:val="20"/>
                <w:szCs w:val="20"/>
              </w:rPr>
              <w:t xml:space="preserve">0-10%</w:t>
            </w:r>
          </w:p>
        </w:tc>
        <w:tc>
          <w:tcPr>
            <w:tcW w:type="dxa" w:w="276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Arial" w:cs="Arial" w:eastAsia="Arial" w:hAnsi="Arial"/>
                <w:color w:val="1E293B"/>
                <w:sz w:val="20"/>
                <w:szCs w:val="20"/>
              </w:rPr>
              <w:t xml:space="preserve">1635 CR: Depreciación acumulada</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Muebles y enseres</w:t>
            </w:r>
          </w:p>
        </w:tc>
        <w:tc>
          <w:tcPr>
            <w:tcW w:type="dxa" w:w="1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10</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10%</w:t>
            </w:r>
          </w:p>
        </w:tc>
        <w:tc>
          <w:tcPr>
            <w:tcW w:type="dxa" w:w="1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0%</w:t>
            </w:r>
          </w:p>
        </w:tc>
        <w:tc>
          <w:tcPr>
            <w:tcW w:type="dxa" w:w="2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1635 CR: Depreciación acumulada</w:t>
            </w:r>
          </w:p>
        </w:tc>
      </w:tr>
      <w:tr>
        <w:tc>
          <w:tcPr>
            <w:tcW w:type="dxa" w:w="24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Arial" w:cs="Arial" w:eastAsia="Arial" w:hAnsi="Arial"/>
                <w:color w:val="1E293B"/>
                <w:sz w:val="20"/>
                <w:szCs w:val="20"/>
              </w:rPr>
              <w:t xml:space="preserve">Software (intangible)</w:t>
            </w:r>
          </w:p>
        </w:tc>
        <w:tc>
          <w:tcPr>
            <w:tcW w:type="dxa" w:w="16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Arial" w:cs="Arial" w:eastAsia="Arial" w:hAnsi="Arial"/>
                <w:color w:val="1E293B"/>
                <w:sz w:val="20"/>
                <w:szCs w:val="20"/>
              </w:rPr>
              <w:t xml:space="preserve">3-5</w:t>
            </w:r>
          </w:p>
        </w:tc>
        <w:tc>
          <w:tcPr>
            <w:tcW w:type="dxa" w:w="20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Arial" w:cs="Arial" w:eastAsia="Arial" w:hAnsi="Arial"/>
                <w:color w:val="1E293B"/>
                <w:sz w:val="20"/>
                <w:szCs w:val="20"/>
              </w:rPr>
              <w:t xml:space="preserve">20% - 33%</w:t>
            </w:r>
          </w:p>
        </w:tc>
        <w:tc>
          <w:tcPr>
            <w:tcW w:type="dxa" w:w="16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Arial" w:cs="Arial" w:eastAsia="Arial" w:hAnsi="Arial"/>
                <w:color w:val="1E293B"/>
                <w:sz w:val="20"/>
                <w:szCs w:val="20"/>
              </w:rPr>
              <w:t xml:space="preserve">0%</w:t>
            </w:r>
          </w:p>
        </w:tc>
        <w:tc>
          <w:tcPr>
            <w:tcW w:type="dxa" w:w="276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Arial" w:cs="Arial" w:eastAsia="Arial" w:hAnsi="Arial"/>
                <w:color w:val="1E293B"/>
                <w:sz w:val="20"/>
                <w:szCs w:val="20"/>
              </w:rPr>
              <w:t xml:space="preserve">1920 CR: Amortización acumulada</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Bienes de uso público (vías)</w:t>
            </w:r>
          </w:p>
        </w:tc>
        <w:tc>
          <w:tcPr>
            <w:tcW w:type="dxa" w:w="1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Indefinida o 50-100</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0% o 1%</w:t>
            </w:r>
          </w:p>
        </w:tc>
        <w:tc>
          <w:tcPr>
            <w:tcW w:type="dxa" w:w="1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S/A</w:t>
            </w:r>
          </w:p>
        </w:tc>
        <w:tc>
          <w:tcPr>
            <w:tcW w:type="dxa" w:w="2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Sujeto a deterioro NICSP</w:t>
            </w:r>
          </w:p>
        </w:tc>
      </w:tr>
    </w:tbl>
    <w:p>
      <w:pPr>
        <w:spacing w:after="0" w:before="80"/>
      </w:pPr>
      <w:r>
        <w:t xml:space="preserve"/>
      </w:r>
    </w:p>
    <w:p>
      <w:pPr>
        <w:pStyle w:val="Heading2"/>
        <w:spacing w:after="140" w:before="320"/>
      </w:pPr>
      <w:r>
        <w:rPr>
          <w:rFonts w:ascii="Arial" w:cs="Arial" w:eastAsia="Arial" w:hAnsi="Arial"/>
          <w:b/>
          <w:bCs/>
          <w:color w:val="1E3A5F"/>
          <w:sz w:val="28"/>
          <w:szCs w:val="28"/>
        </w:rPr>
        <w:t xml:space="preserve">6.3 Actas de Responsabilidad y Trazabilidad de Bienes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800"/>
        <w:gridCol w:w="3160"/>
      </w:tblGrid>
      <w:tr>
        <w:trPr>
          <w:tblHeader/>
        </w:trPr>
        <w:tc>
          <w:tcPr>
            <w:tcW w:type="dxa" w:w="2400"/>
            <w:tcBorders>
              <w:top w:val="single" w:color="CBD5E1" w:sz="1"/>
              <w:left w:val="single" w:color="CBD5E1" w:sz="1"/>
              <w:bottom w:val="single" w:color="CBD5E1" w:sz="1"/>
              <w:right w:val="single" w:color="CBD5E1" w:sz="1"/>
            </w:tcBorders>
            <w:shd w:fill="1E3A5F"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Función</w:t>
            </w:r>
          </w:p>
        </w:tc>
        <w:tc>
          <w:tcPr>
            <w:tcW w:type="dxa" w:w="3800"/>
            <w:tcBorders>
              <w:top w:val="single" w:color="CBD5E1" w:sz="1"/>
              <w:left w:val="single" w:color="CBD5E1" w:sz="1"/>
              <w:bottom w:val="single" w:color="CBD5E1" w:sz="1"/>
              <w:right w:val="single" w:color="CBD5E1" w:sz="1"/>
            </w:tcBorders>
            <w:shd w:fill="1E3A5F"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Descripción</w:t>
            </w:r>
          </w:p>
        </w:tc>
        <w:tc>
          <w:tcPr>
            <w:tcW w:type="dxa" w:w="3160"/>
            <w:tcBorders>
              <w:top w:val="single" w:color="CBD5E1" w:sz="1"/>
              <w:left w:val="single" w:color="CBD5E1" w:sz="1"/>
              <w:bottom w:val="single" w:color="CBD5E1" w:sz="1"/>
              <w:right w:val="single" w:color="CBD5E1" w:sz="1"/>
            </w:tcBorders>
            <w:shd w:fill="1E3A5F"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Genera documento</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Asignación de bien a funcionario</w:t>
            </w:r>
          </w:p>
        </w:tc>
        <w:tc>
          <w:tcPr>
            <w:tcW w:type="dxa" w:w="3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Al entregar un computador, vehículo o equipo a un servidor público, el sistema genera un Acta de Responsabilidad firmada digitalmente.</w:t>
            </w:r>
          </w:p>
        </w:tc>
        <w:tc>
          <w:tcPr>
            <w:tcW w:type="dxa" w:w="3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Acta de entrega y responsabilidad</w:t>
            </w:r>
          </w:p>
        </w:tc>
      </w:tr>
      <w:tr>
        <w:tc>
          <w:tcPr>
            <w:tcW w:type="dxa" w:w="24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Arial" w:cs="Arial" w:eastAsia="Arial" w:hAnsi="Arial"/>
                <w:color w:val="1E293B"/>
                <w:sz w:val="20"/>
                <w:szCs w:val="20"/>
              </w:rPr>
              <w:t xml:space="preserve">Traslado entre dependencias</w:t>
            </w:r>
          </w:p>
        </w:tc>
        <w:tc>
          <w:tcPr>
            <w:tcW w:type="dxa" w:w="38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Arial" w:cs="Arial" w:eastAsia="Arial" w:hAnsi="Arial"/>
                <w:color w:val="1E293B"/>
                <w:sz w:val="20"/>
                <w:szCs w:val="20"/>
              </w:rPr>
              <w:t xml:space="preserve">Movimiento de un bien de una unidad a otra. Requiere acta firmada por el funcionario saliente y entrante.</w:t>
            </w:r>
          </w:p>
        </w:tc>
        <w:tc>
          <w:tcPr>
            <w:tcW w:type="dxa" w:w="316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Arial" w:cs="Arial" w:eastAsia="Arial" w:hAnsi="Arial"/>
                <w:color w:val="1E293B"/>
                <w:sz w:val="20"/>
                <w:szCs w:val="20"/>
              </w:rPr>
              <w:t xml:space="preserve">Acta de traslado</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Baja por obsolescencia</w:t>
            </w:r>
          </w:p>
        </w:tc>
        <w:tc>
          <w:tcPr>
            <w:tcW w:type="dxa" w:w="3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Cuando un bien llega al final de su vida útil o está en mal estado. Requiere concepto técnico y acto administrativo.</w:t>
            </w:r>
          </w:p>
        </w:tc>
        <w:tc>
          <w:tcPr>
            <w:tcW w:type="dxa" w:w="3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Resolución de baja + Acta de baja</w:t>
            </w:r>
          </w:p>
        </w:tc>
      </w:tr>
      <w:tr>
        <w:tc>
          <w:tcPr>
            <w:tcW w:type="dxa" w:w="24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Arial" w:cs="Arial" w:eastAsia="Arial" w:hAnsi="Arial"/>
                <w:color w:val="1E293B"/>
                <w:sz w:val="20"/>
                <w:szCs w:val="20"/>
              </w:rPr>
              <w:t xml:space="preserve">Baja por hurto o pérdida</w:t>
            </w:r>
          </w:p>
        </w:tc>
        <w:tc>
          <w:tcPr>
            <w:tcW w:type="dxa" w:w="38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Arial" w:cs="Arial" w:eastAsia="Arial" w:hAnsi="Arial"/>
                <w:color w:val="1E293B"/>
                <w:sz w:val="20"/>
                <w:szCs w:val="20"/>
              </w:rPr>
              <w:t xml:space="preserve">Requiere denuncia penal y proceso de responsabilidad fiscal. El bien sale de inventario pero entra en la cuenta de deudores.</w:t>
            </w:r>
          </w:p>
        </w:tc>
        <w:tc>
          <w:tcPr>
            <w:tcW w:type="dxa" w:w="316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Arial" w:cs="Arial" w:eastAsia="Arial" w:hAnsi="Arial"/>
                <w:color w:val="1E293B"/>
                <w:sz w:val="20"/>
                <w:szCs w:val="20"/>
              </w:rPr>
              <w:t xml:space="preserve">Denuncia + Acta de pérdida + Deudor CGN</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Dación en pago</w:t>
            </w:r>
          </w:p>
        </w:tc>
        <w:tc>
          <w:tcPr>
            <w:tcW w:type="dxa" w:w="3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Un tercero paga su deuda con bienes. Requiere avalúo y acto administrativo de aceptación.</w:t>
            </w:r>
          </w:p>
        </w:tc>
        <w:tc>
          <w:tcPr>
            <w:tcW w:type="dxa" w:w="3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Resolución de aceptación + ingreso al inventario</w:t>
            </w:r>
          </w:p>
        </w:tc>
      </w:tr>
    </w:tbl>
    <w:p>
      <w:pPr>
        <w:spacing w:after="0" w:before="80"/>
      </w:pPr>
      <w:r>
        <w:t xml:space="preserve"/>
      </w:r>
    </w:p>
    <w:p>
      <w:r>
        <w:br w:type="page"/>
      </w:r>
    </w:p>
    <w:p>
      <w:pPr>
        <w:pStyle w:val="Heading1"/>
        <w:pBdr>
          <w:bottom w:val="single" w:color="1E3A5F" w:sz="8" w:space="4"/>
        </w:pBdr>
        <w:spacing w:after="200" w:before="480"/>
      </w:pPr>
      <w:r>
        <w:rPr>
          <w:rFonts w:ascii="Arial" w:cs="Arial" w:eastAsia="Arial" w:hAnsi="Arial"/>
          <w:b/>
          <w:bCs/>
          <w:color w:val="1E3A5F"/>
          <w:sz w:val="38"/>
          <w:szCs w:val="38"/>
        </w:rPr>
        <w:t xml:space="preserve">Macro-Sistema 7 — Trazabilidad, Seguridad y Rendición de Cuentas</w:t>
      </w:r>
    </w:p>
    <w:p>
      <w:pPr>
        <w:spacing w:after="80" w:before="80"/>
      </w:pPr>
      <w:r>
        <w:rPr>
          <w:rFonts w:ascii="Arial" w:cs="Arial" w:eastAsia="Arial" w:hAnsi="Arial"/>
          <w:color w:val="1E293B"/>
          <w:sz w:val="22"/>
          <w:szCs w:val="22"/>
        </w:rPr>
        <w:t xml:space="preserve">Este macro-sistema es transversal a todos los anteriores. En el sector público colombiano, borrar un registro es potencialmente un delito de peculado por apropiación o falsedad ideológica en documento público. El sistema debe ser un testigo fiel e inalterable de toda la gestión.</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BD5E1" w:sz="1"/>
              <w:left w:val="single" w:color="CBD5E1" w:sz="1"/>
              <w:bottom w:val="single" w:color="CBD5E1" w:sz="1"/>
              <w:right w:val="single" w:color="CBD5E1" w:sz="1"/>
            </w:tcBorders>
            <w:shd w:fill="FEF3C7" w:val="clear"/>
            <w:tcMar>
              <w:top w:type="dxa" w:w="120"/>
              <w:left w:type="dxa" w:w="200"/>
              <w:bottom w:type="dxa" w:w="120"/>
              <w:right w:type="dxa" w:w="200"/>
            </w:tcMar>
          </w:tcPr>
          <w:p>
            <w:r>
              <w:rPr>
                <w:rFonts w:ascii="Arial" w:cs="Arial" w:eastAsia="Arial" w:hAnsi="Arial"/>
                <w:b/>
                <w:bCs/>
                <w:color w:val="B45309"/>
                <w:sz w:val="21"/>
                <w:szCs w:val="21"/>
              </w:rPr>
              <w:t xml:space="preserve">📋 Ley 87 de 1993 — Control Interno + Ley 1474 de 2011 — Estatuto Anticorrupción + Circular CGN 001/2024</w:t>
            </w:r>
          </w:p>
          <w:p>
            <w:pPr>
              <w:spacing w:after="0" w:before="40"/>
            </w:pPr>
            <w:r>
              <w:rPr>
                <w:rFonts w:ascii="Arial" w:cs="Arial" w:eastAsia="Arial" w:hAnsi="Arial"/>
                <w:color w:val="1E293B"/>
                <w:sz w:val="20"/>
                <w:szCs w:val="20"/>
              </w:rPr>
              <w:t xml:space="preserve">La Ley 87/1993 obligó a todas las entidades públicas a implementar sistemas de control interno. La Ley 1474/2011 (Estatuto Anticorrupción) reforzó los controles y penalizó conductas de corrupción. La Circular CGN 001/2024 instruyó a entidades sobre el cierre contable y la importancia de la trazabilidad de la información para los reportes a CHIP.</w:t>
            </w:r>
          </w:p>
        </w:tc>
      </w:tr>
    </w:tbl>
    <w:p>
      <w:pPr>
        <w:spacing w:after="0" w:before="80"/>
      </w:pPr>
      <w:r>
        <w:t xml:space="preserve"/>
      </w:r>
    </w:p>
    <w:p>
      <w:pPr>
        <w:pStyle w:val="Heading2"/>
        <w:spacing w:after="140" w:before="320"/>
      </w:pPr>
      <w:r>
        <w:rPr>
          <w:rFonts w:ascii="Arial" w:cs="Arial" w:eastAsia="Arial" w:hAnsi="Arial"/>
          <w:b/>
          <w:bCs/>
          <w:color w:val="1E3A5F"/>
          <w:sz w:val="28"/>
          <w:szCs w:val="28"/>
        </w:rPr>
        <w:t xml:space="preserve">7.1 Auditoría Forense en Base de Datos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BD5E1" w:sz="1"/>
              <w:left w:val="single" w:color="CBD5E1" w:sz="1"/>
              <w:bottom w:val="single" w:color="CBD5E1" w:sz="1"/>
              <w:right w:val="single" w:color="CBD5E1" w:sz="1"/>
            </w:tcBorders>
            <w:shd w:fill="FEE2E2" w:val="clear"/>
            <w:tcMar>
              <w:top w:type="dxa" w:w="120"/>
              <w:left w:type="dxa" w:w="200"/>
              <w:bottom w:type="dxa" w:w="120"/>
              <w:right w:type="dxa" w:w="200"/>
            </w:tcMar>
          </w:tcPr>
          <w:p>
            <w:r>
              <w:rPr>
                <w:rFonts w:ascii="Arial" w:cs="Arial" w:eastAsia="Arial" w:hAnsi="Arial"/>
                <w:b/>
                <w:bCs/>
                <w:color w:val="991B1B"/>
                <w:sz w:val="21"/>
                <w:szCs w:val="21"/>
              </w:rPr>
              <w:t xml:space="preserve">🔒 Principio de irreversibilidad del registro público</w:t>
            </w:r>
          </w:p>
          <w:p>
            <w:pPr>
              <w:spacing w:after="0" w:before="40"/>
            </w:pPr>
            <w:r>
              <w:rPr>
                <w:rFonts w:ascii="Arial" w:cs="Arial" w:eastAsia="Arial" w:hAnsi="Arial"/>
                <w:color w:val="1E293B"/>
                <w:sz w:val="20"/>
                <w:szCs w:val="20"/>
              </w:rPr>
              <w:t xml:space="preserve">En el sector público, un registro contable NO SE BORRA. Se ANULA con un asiento de reversa.</w:t>
            </w:r>
          </w:p>
          <w:p>
            <w:pPr>
              <w:spacing w:after="0" w:before="40"/>
            </w:pPr>
            <w:r>
              <w:rPr>
                <w:rFonts w:ascii="Arial" w:cs="Arial" w:eastAsia="Arial" w:hAnsi="Arial"/>
                <w:color w:val="1E293B"/>
                <w:sz w:val="20"/>
                <w:szCs w:val="20"/>
              </w:rPr>
              <w:t xml:space="preserve">Un registro de nómina NO SE ELIMINA. Se corrige con un ajuste documentado.</w:t>
            </w:r>
          </w:p>
          <w:p>
            <w:pPr>
              <w:spacing w:after="0" w:before="40"/>
            </w:pPr>
            <w:r>
              <w:rPr>
                <w:rFonts w:ascii="Arial" w:cs="Arial" w:eastAsia="Arial" w:hAnsi="Arial"/>
                <w:color w:val="1E293B"/>
                <w:sz w:val="20"/>
                <w:szCs w:val="20"/>
              </w:rPr>
              <w:t xml:space="preserve">Todo intento de modificar datos históricos debe quedar registrado con: usuario, fecha, hora, IP, valor anterior y valor nuevo.</w:t>
            </w:r>
          </w:p>
          <w:p>
            <w:pPr>
              <w:spacing w:after="0" w:before="40"/>
            </w:pPr>
            <w:r>
              <w:rPr>
                <w:rFonts w:ascii="Arial" w:cs="Arial" w:eastAsia="Arial" w:hAnsi="Arial"/>
                <w:color w:val="1E293B"/>
                <w:sz w:val="20"/>
                <w:szCs w:val="20"/>
              </w:rPr>
              <w:t xml:space="preserve"/>
            </w:r>
          </w:p>
          <w:p>
            <w:pPr>
              <w:spacing w:after="0" w:before="40"/>
            </w:pPr>
            <w:r>
              <w:rPr>
                <w:rFonts w:ascii="Arial" w:cs="Arial" w:eastAsia="Arial" w:hAnsi="Arial"/>
                <w:color w:val="1E293B"/>
                <w:sz w:val="20"/>
                <w:szCs w:val="20"/>
              </w:rPr>
              <w:t xml:space="preserve">El sistema debe implementar una tabla de auditoría SEPARADA de la base de datos principal,</w:t>
            </w:r>
          </w:p>
          <w:p>
            <w:pPr>
              <w:spacing w:after="0" w:before="40"/>
            </w:pPr>
            <w:r>
              <w:rPr>
                <w:rFonts w:ascii="Arial" w:cs="Arial" w:eastAsia="Arial" w:hAnsi="Arial"/>
                <w:color w:val="1E293B"/>
                <w:sz w:val="20"/>
                <w:szCs w:val="20"/>
              </w:rPr>
              <w:t xml:space="preserve">idealmente en solo-escritura (append-only), con hash encadenado para detectar manipulaciones.</w:t>
            </w:r>
          </w:p>
        </w:tc>
      </w:tr>
    </w:tbl>
    <w:p>
      <w:pPr>
        <w:spacing w:after="0" w:before="80"/>
      </w:pPr>
      <w:r>
        <w:t xml:space="preserve"/>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2800"/>
        <w:gridCol w:w="4000"/>
        <w:gridCol w:w="1560"/>
      </w:tblGrid>
      <w:tr>
        <w:trPr>
          <w:tblHeader/>
        </w:trPr>
        <w:tc>
          <w:tcPr>
            <w:tcW w:type="dxa" w:w="2800"/>
            <w:tcBorders>
              <w:top w:val="single" w:color="CBD5E1" w:sz="1"/>
              <w:left w:val="single" w:color="CBD5E1" w:sz="1"/>
              <w:bottom w:val="single" w:color="CBD5E1" w:sz="1"/>
              <w:right w:val="single" w:color="CBD5E1" w:sz="1"/>
            </w:tcBorders>
            <w:shd w:fill="1E3A5F"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Evento auditado</w:t>
            </w:r>
          </w:p>
        </w:tc>
        <w:tc>
          <w:tcPr>
            <w:tcW w:type="dxa" w:w="4000"/>
            <w:tcBorders>
              <w:top w:val="single" w:color="CBD5E1" w:sz="1"/>
              <w:left w:val="single" w:color="CBD5E1" w:sz="1"/>
              <w:bottom w:val="single" w:color="CBD5E1" w:sz="1"/>
              <w:right w:val="single" w:color="CBD5E1" w:sz="1"/>
            </w:tcBorders>
            <w:shd w:fill="1E3A5F"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Datos que registra el log</w:t>
            </w:r>
          </w:p>
        </w:tc>
        <w:tc>
          <w:tcPr>
            <w:tcW w:type="dxa" w:w="1560"/>
            <w:tcBorders>
              <w:top w:val="single" w:color="CBD5E1" w:sz="1"/>
              <w:left w:val="single" w:color="CBD5E1" w:sz="1"/>
              <w:bottom w:val="single" w:color="CBD5E1" w:sz="1"/>
              <w:right w:val="single" w:color="CBD5E1" w:sz="1"/>
            </w:tcBorders>
            <w:shd w:fill="1E3A5F"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Retención mínima</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Creación de cualquier registro</w:t>
            </w:r>
          </w:p>
        </w:tc>
        <w:tc>
          <w:tcPr>
            <w:tcW w:type="dxa" w:w="4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Tabla, ID del registro, usuario, fecha/hora, IP, todos los valores insertados</w:t>
            </w:r>
          </w:p>
        </w:tc>
        <w:tc>
          <w:tcPr>
            <w:tcW w:type="dxa" w:w="1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10 años</w:t>
            </w:r>
          </w:p>
        </w:tc>
      </w:tr>
      <w:tr>
        <w:tc>
          <w:tcPr>
            <w:tcW w:type="dxa" w:w="28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Arial" w:cs="Arial" w:eastAsia="Arial" w:hAnsi="Arial"/>
                <w:color w:val="1E293B"/>
                <w:sz w:val="20"/>
                <w:szCs w:val="20"/>
              </w:rPr>
              <w:t xml:space="preserve">Modificación de cualquier campo</w:t>
            </w:r>
          </w:p>
        </w:tc>
        <w:tc>
          <w:tcPr>
            <w:tcW w:type="dxa" w:w="40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Arial" w:cs="Arial" w:eastAsia="Arial" w:hAnsi="Arial"/>
                <w:color w:val="1E293B"/>
                <w:sz w:val="20"/>
                <w:szCs w:val="20"/>
              </w:rPr>
              <w:t xml:space="preserve">Tabla, ID, campo modificado, valor anterior, valor nuevo, usuario, fecha/hora, IP, justificación</w:t>
            </w:r>
          </w:p>
        </w:tc>
        <w:tc>
          <w:tcPr>
            <w:tcW w:type="dxa" w:w="156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Arial" w:cs="Arial" w:eastAsia="Arial" w:hAnsi="Arial"/>
                <w:color w:val="1E293B"/>
                <w:sz w:val="20"/>
                <w:szCs w:val="20"/>
              </w:rPr>
              <w:t xml:space="preserve">10 años</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Intento de eliminación</w:t>
            </w:r>
          </w:p>
        </w:tc>
        <w:tc>
          <w:tcPr>
            <w:tcW w:type="dxa" w:w="4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Tabla, ID, usuario, fecha/hora, IP — el registro NO se borra, se marca como anulado</w:t>
            </w:r>
          </w:p>
        </w:tc>
        <w:tc>
          <w:tcPr>
            <w:tcW w:type="dxa" w:w="1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10 años</w:t>
            </w:r>
          </w:p>
        </w:tc>
      </w:tr>
      <w:tr>
        <w:tc>
          <w:tcPr>
            <w:tcW w:type="dxa" w:w="28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Arial" w:cs="Arial" w:eastAsia="Arial" w:hAnsi="Arial"/>
                <w:color w:val="1E293B"/>
                <w:sz w:val="20"/>
                <w:szCs w:val="20"/>
              </w:rPr>
              <w:t xml:space="preserve">Expedición de CDP</w:t>
            </w:r>
          </w:p>
        </w:tc>
        <w:tc>
          <w:tcPr>
            <w:tcW w:type="dxa" w:w="40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Arial" w:cs="Arial" w:eastAsia="Arial" w:hAnsi="Arial"/>
                <w:color w:val="1E293B"/>
                <w:sz w:val="20"/>
                <w:szCs w:val="20"/>
              </w:rPr>
              <w:t xml:space="preserve">Usuario que expide, rubro afectado, valor, número CDP, fecha/hora</w:t>
            </w:r>
          </w:p>
        </w:tc>
        <w:tc>
          <w:tcPr>
            <w:tcW w:type="dxa" w:w="156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Arial" w:cs="Arial" w:eastAsia="Arial" w:hAnsi="Arial"/>
                <w:color w:val="1E293B"/>
                <w:sz w:val="20"/>
                <w:szCs w:val="20"/>
              </w:rPr>
              <w:t xml:space="preserve">10 años</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Pago de nómina</w:t>
            </w:r>
          </w:p>
        </w:tc>
        <w:tc>
          <w:tcPr>
            <w:tcW w:type="dxa" w:w="4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Funcionario pagado, valor, fecha, método, aprobador, usuario sistema</w:t>
            </w:r>
          </w:p>
        </w:tc>
        <w:tc>
          <w:tcPr>
            <w:tcW w:type="dxa" w:w="1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50 años</w:t>
            </w:r>
          </w:p>
        </w:tc>
      </w:tr>
      <w:tr>
        <w:tc>
          <w:tcPr>
            <w:tcW w:type="dxa" w:w="28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Arial" w:cs="Arial" w:eastAsia="Arial" w:hAnsi="Arial"/>
                <w:color w:val="1E293B"/>
                <w:sz w:val="20"/>
                <w:szCs w:val="20"/>
              </w:rPr>
              <w:t xml:space="preserve">Login y logout</w:t>
            </w:r>
          </w:p>
        </w:tc>
        <w:tc>
          <w:tcPr>
            <w:tcW w:type="dxa" w:w="40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Arial" w:cs="Arial" w:eastAsia="Arial" w:hAnsi="Arial"/>
                <w:color w:val="1E293B"/>
                <w:sz w:val="20"/>
                <w:szCs w:val="20"/>
              </w:rPr>
              <w:t xml:space="preserve">Usuario, IP, dispositivo, fecha/hora de entrada y salida</w:t>
            </w:r>
          </w:p>
        </w:tc>
        <w:tc>
          <w:tcPr>
            <w:tcW w:type="dxa" w:w="156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Arial" w:cs="Arial" w:eastAsia="Arial" w:hAnsi="Arial"/>
                <w:color w:val="1E293B"/>
                <w:sz w:val="20"/>
                <w:szCs w:val="20"/>
              </w:rPr>
              <w:t xml:space="preserve">5 años</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Cambio de contraseña/permisos</w:t>
            </w:r>
          </w:p>
        </w:tc>
        <w:tc>
          <w:tcPr>
            <w:tcW w:type="dxa" w:w="4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Usuario afectado, usuario que hace el cambio, permisos anteriores y nuevos</w:t>
            </w:r>
          </w:p>
        </w:tc>
        <w:tc>
          <w:tcPr>
            <w:tcW w:type="dxa" w:w="1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10 años</w:t>
            </w:r>
          </w:p>
        </w:tc>
      </w:tr>
      <w:tr>
        <w:tc>
          <w:tcPr>
            <w:tcW w:type="dxa" w:w="28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Arial" w:cs="Arial" w:eastAsia="Arial" w:hAnsi="Arial"/>
                <w:color w:val="1E293B"/>
                <w:sz w:val="20"/>
                <w:szCs w:val="20"/>
              </w:rPr>
              <w:t xml:space="preserve">Acceso a datos sensibles</w:t>
            </w:r>
          </w:p>
        </w:tc>
        <w:tc>
          <w:tcPr>
            <w:tcW w:type="dxa" w:w="40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Arial" w:cs="Arial" w:eastAsia="Arial" w:hAnsi="Arial"/>
                <w:color w:val="1E293B"/>
                <w:sz w:val="20"/>
                <w:szCs w:val="20"/>
              </w:rPr>
              <w:t xml:space="preserve">Usuario, qué datos consultó, fecha/hora (para datos de nómina y tributarios)</w:t>
            </w:r>
          </w:p>
        </w:tc>
        <w:tc>
          <w:tcPr>
            <w:tcW w:type="dxa" w:w="156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Arial" w:cs="Arial" w:eastAsia="Arial" w:hAnsi="Arial"/>
                <w:color w:val="1E293B"/>
                <w:sz w:val="20"/>
                <w:szCs w:val="20"/>
              </w:rPr>
              <w:t xml:space="preserve">5 años</w:t>
            </w:r>
          </w:p>
        </w:tc>
      </w:tr>
    </w:tbl>
    <w:p>
      <w:pPr>
        <w:spacing w:after="0" w:before="80"/>
      </w:pPr>
      <w:r>
        <w:t xml:space="preserve"/>
      </w:r>
    </w:p>
    <w:p>
      <w:pPr>
        <w:pStyle w:val="Heading2"/>
        <w:spacing w:after="140" w:before="320"/>
      </w:pPr>
      <w:r>
        <w:rPr>
          <w:rFonts w:ascii="Arial" w:cs="Arial" w:eastAsia="Arial" w:hAnsi="Arial"/>
          <w:b/>
          <w:bCs/>
          <w:color w:val="1E3A5F"/>
          <w:sz w:val="28"/>
          <w:szCs w:val="28"/>
        </w:rPr>
        <w:t xml:space="preserve">7.2 Generador Universal de Archivos Planos</w:t>
      </w:r>
    </w:p>
    <w:p>
      <w:pPr>
        <w:spacing w:after="80" w:before="80"/>
      </w:pPr>
      <w:r>
        <w:rPr>
          <w:rFonts w:ascii="Arial" w:cs="Arial" w:eastAsia="Arial" w:hAnsi="Arial"/>
          <w:color w:val="1E293B"/>
          <w:sz w:val="22"/>
          <w:szCs w:val="22"/>
        </w:rPr>
        <w:t xml:space="preserve">Este es el módulo de mayor valor estratégico del ERP público. Las entidades deben reportar a múltiples organismos de control en formatos específicos, estructuras de datos exactas y plazos definidos. Generarlos manualmente es la principal fuente de errores y sanciones.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000"/>
        <w:gridCol w:w="1600"/>
        <w:gridCol w:w="1360"/>
      </w:tblGrid>
      <w:tr>
        <w:trPr>
          <w:tblHeader/>
        </w:trPr>
        <w:tc>
          <w:tcPr>
            <w:tcW w:type="dxa" w:w="2200"/>
            <w:tcBorders>
              <w:top w:val="single" w:color="CBD5E1" w:sz="1"/>
              <w:left w:val="single" w:color="CBD5E1" w:sz="1"/>
              <w:bottom w:val="single" w:color="CBD5E1" w:sz="1"/>
              <w:right w:val="single" w:color="CBD5E1" w:sz="1"/>
            </w:tcBorders>
            <w:shd w:fill="1E3A5F"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Sistema de reporte</w:t>
            </w:r>
          </w:p>
        </w:tc>
        <w:tc>
          <w:tcPr>
            <w:tcW w:type="dxa" w:w="2200"/>
            <w:tcBorders>
              <w:top w:val="single" w:color="CBD5E1" w:sz="1"/>
              <w:left w:val="single" w:color="CBD5E1" w:sz="1"/>
              <w:bottom w:val="single" w:color="CBD5E1" w:sz="1"/>
              <w:right w:val="single" w:color="CBD5E1" w:sz="1"/>
            </w:tcBorders>
            <w:shd w:fill="1E3A5F"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Organismo receptor</w:t>
            </w:r>
          </w:p>
        </w:tc>
        <w:tc>
          <w:tcPr>
            <w:tcW w:type="dxa" w:w="2000"/>
            <w:tcBorders>
              <w:top w:val="single" w:color="CBD5E1" w:sz="1"/>
              <w:left w:val="single" w:color="CBD5E1" w:sz="1"/>
              <w:bottom w:val="single" w:color="CBD5E1" w:sz="1"/>
              <w:right w:val="single" w:color="CBD5E1" w:sz="1"/>
            </w:tcBorders>
            <w:shd w:fill="1E3A5F"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Formato</w:t>
            </w:r>
          </w:p>
        </w:tc>
        <w:tc>
          <w:tcPr>
            <w:tcW w:type="dxa" w:w="1600"/>
            <w:tcBorders>
              <w:top w:val="single" w:color="CBD5E1" w:sz="1"/>
              <w:left w:val="single" w:color="CBD5E1" w:sz="1"/>
              <w:bottom w:val="single" w:color="CBD5E1" w:sz="1"/>
              <w:right w:val="single" w:color="CBD5E1" w:sz="1"/>
            </w:tcBorders>
            <w:shd w:fill="1E3A5F"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Periodicidad</w:t>
            </w:r>
          </w:p>
        </w:tc>
        <w:tc>
          <w:tcPr>
            <w:tcW w:type="dxa" w:w="1360"/>
            <w:tcBorders>
              <w:top w:val="single" w:color="CBD5E1" w:sz="1"/>
              <w:left w:val="single" w:color="CBD5E1" w:sz="1"/>
              <w:bottom w:val="single" w:color="CBD5E1" w:sz="1"/>
              <w:right w:val="single" w:color="CBD5E1" w:sz="1"/>
            </w:tcBorders>
            <w:shd w:fill="1E3A5F"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Datos fuente en MerkaERP</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CHIP (Sistema CHIP)</w:t>
            </w:r>
          </w:p>
        </w:tc>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Contaduría General de la Nación</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XML estructura CHIP / Formularios CGN</w:t>
            </w:r>
          </w:p>
        </w:tc>
        <w:tc>
          <w:tcPr>
            <w:tcW w:type="dxa" w:w="1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Trimestral + Cierre anual dic.</w:t>
            </w:r>
          </w:p>
        </w:tc>
        <w:tc>
          <w:tcPr>
            <w:tcW w:type="dxa" w:w="1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Todos los módulos contables</w:t>
            </w:r>
          </w:p>
        </w:tc>
      </w:tr>
      <w:tr>
        <w:tc>
          <w:tcPr>
            <w:tcW w:type="dxa" w:w="22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Arial" w:cs="Arial" w:eastAsia="Arial" w:hAnsi="Arial"/>
                <w:color w:val="1E293B"/>
                <w:sz w:val="20"/>
                <w:szCs w:val="20"/>
              </w:rPr>
              <w:t xml:space="preserve">SIA Observa</w:t>
            </w:r>
          </w:p>
        </w:tc>
        <w:tc>
          <w:tcPr>
            <w:tcW w:type="dxa" w:w="22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Arial" w:cs="Arial" w:eastAsia="Arial" w:hAnsi="Arial"/>
                <w:color w:val="1E293B"/>
                <w:sz w:val="20"/>
                <w:szCs w:val="20"/>
              </w:rPr>
              <w:t xml:space="preserve">Contraloría General de la República</w:t>
            </w:r>
          </w:p>
        </w:tc>
        <w:tc>
          <w:tcPr>
            <w:tcW w:type="dxa" w:w="20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Arial" w:cs="Arial" w:eastAsia="Arial" w:hAnsi="Arial"/>
                <w:color w:val="1E293B"/>
                <w:sz w:val="20"/>
                <w:szCs w:val="20"/>
              </w:rPr>
              <w:t xml:space="preserve">Archivos planos .txt delimitados</w:t>
            </w:r>
          </w:p>
        </w:tc>
        <w:tc>
          <w:tcPr>
            <w:tcW w:type="dxa" w:w="16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Arial" w:cs="Arial" w:eastAsia="Arial" w:hAnsi="Arial"/>
                <w:color w:val="1E293B"/>
                <w:sz w:val="20"/>
                <w:szCs w:val="20"/>
              </w:rPr>
              <w:t xml:space="preserve">Anual (Plan de mejoramiento)</w:t>
            </w:r>
          </w:p>
        </w:tc>
        <w:tc>
          <w:tcPr>
            <w:tcW w:type="dxa" w:w="136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Arial" w:cs="Arial" w:eastAsia="Arial" w:hAnsi="Arial"/>
                <w:color w:val="1E293B"/>
                <w:sz w:val="20"/>
                <w:szCs w:val="20"/>
              </w:rPr>
              <w:t xml:space="preserve">Contratación, presupuesto, nómina</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SIIF Nación</w:t>
            </w:r>
          </w:p>
        </w:tc>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Ministerio de Hacienda</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Estructura SIIF (para entidades nivel nacional)</w:t>
            </w:r>
          </w:p>
        </w:tc>
        <w:tc>
          <w:tcPr>
            <w:tcW w:type="dxa" w:w="1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Mensual</w:t>
            </w:r>
          </w:p>
        </w:tc>
        <w:tc>
          <w:tcPr>
            <w:tcW w:type="dxa" w:w="1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Presupuesto, tesorería, pagos</w:t>
            </w:r>
          </w:p>
        </w:tc>
      </w:tr>
      <w:tr>
        <w:tc>
          <w:tcPr>
            <w:tcW w:type="dxa" w:w="22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Arial" w:cs="Arial" w:eastAsia="Arial" w:hAnsi="Arial"/>
                <w:color w:val="1E293B"/>
                <w:sz w:val="20"/>
                <w:szCs w:val="20"/>
              </w:rPr>
              <w:t xml:space="preserve">FUT (Formulario Único Territorial)</w:t>
            </w:r>
          </w:p>
        </w:tc>
        <w:tc>
          <w:tcPr>
            <w:tcW w:type="dxa" w:w="22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Arial" w:cs="Arial" w:eastAsia="Arial" w:hAnsi="Arial"/>
                <w:color w:val="1E293B"/>
                <w:sz w:val="20"/>
                <w:szCs w:val="20"/>
              </w:rPr>
              <w:t xml:space="preserve">DNP / Ministerio de Hacienda</w:t>
            </w:r>
          </w:p>
        </w:tc>
        <w:tc>
          <w:tcPr>
            <w:tcW w:type="dxa" w:w="20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Arial" w:cs="Arial" w:eastAsia="Arial" w:hAnsi="Arial"/>
                <w:color w:val="1E293B"/>
                <w:sz w:val="20"/>
                <w:szCs w:val="20"/>
              </w:rPr>
              <w:t xml:space="preserve">Excel + plataforma Chip</w:t>
            </w:r>
          </w:p>
        </w:tc>
        <w:tc>
          <w:tcPr>
            <w:tcW w:type="dxa" w:w="16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Arial" w:cs="Arial" w:eastAsia="Arial" w:hAnsi="Arial"/>
                <w:color w:val="1E293B"/>
                <w:sz w:val="20"/>
                <w:szCs w:val="20"/>
              </w:rPr>
              <w:t xml:space="preserve">Trimestral</w:t>
            </w:r>
          </w:p>
        </w:tc>
        <w:tc>
          <w:tcPr>
            <w:tcW w:type="dxa" w:w="136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Arial" w:cs="Arial" w:eastAsia="Arial" w:hAnsi="Arial"/>
                <w:color w:val="1E293B"/>
                <w:sz w:val="20"/>
                <w:szCs w:val="20"/>
              </w:rPr>
              <w:t xml:space="preserve">Ingresos, gastos, deuda, regalías</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SECOP II</w:t>
            </w:r>
          </w:p>
        </w:tc>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Colombia Compra Eficiente</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API REST X-Road / Archivos PDF/XML</w:t>
            </w:r>
          </w:p>
        </w:tc>
        <w:tc>
          <w:tcPr>
            <w:tcW w:type="dxa" w:w="1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Por evento contractual</w:t>
            </w:r>
          </w:p>
        </w:tc>
        <w:tc>
          <w:tcPr>
            <w:tcW w:type="dxa" w:w="1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Módulo de contratación</w:t>
            </w:r>
          </w:p>
        </w:tc>
      </w:tr>
      <w:tr>
        <w:tc>
          <w:tcPr>
            <w:tcW w:type="dxa" w:w="22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Arial" w:cs="Arial" w:eastAsia="Arial" w:hAnsi="Arial"/>
                <w:color w:val="1E293B"/>
                <w:sz w:val="20"/>
                <w:szCs w:val="20"/>
              </w:rPr>
              <w:t xml:space="preserve">PILA (Planilla Integrada)</w:t>
            </w:r>
          </w:p>
        </w:tc>
        <w:tc>
          <w:tcPr>
            <w:tcW w:type="dxa" w:w="22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Arial" w:cs="Arial" w:eastAsia="Arial" w:hAnsi="Arial"/>
                <w:color w:val="1E293B"/>
                <w:sz w:val="20"/>
                <w:szCs w:val="20"/>
              </w:rPr>
              <w:t xml:space="preserve">Operadores PILA autorizados</w:t>
            </w:r>
          </w:p>
        </w:tc>
        <w:tc>
          <w:tcPr>
            <w:tcW w:type="dxa" w:w="20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Arial" w:cs="Arial" w:eastAsia="Arial" w:hAnsi="Arial"/>
                <w:color w:val="1E293B"/>
                <w:sz w:val="20"/>
                <w:szCs w:val="20"/>
              </w:rPr>
              <w:t xml:space="preserve">Archivo plano estructura PILA</w:t>
            </w:r>
          </w:p>
        </w:tc>
        <w:tc>
          <w:tcPr>
            <w:tcW w:type="dxa" w:w="16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Arial" w:cs="Arial" w:eastAsia="Arial" w:hAnsi="Arial"/>
                <w:color w:val="1E293B"/>
                <w:sz w:val="20"/>
                <w:szCs w:val="20"/>
              </w:rPr>
              <w:t xml:space="preserve">Mensual</w:t>
            </w:r>
          </w:p>
        </w:tc>
        <w:tc>
          <w:tcPr>
            <w:tcW w:type="dxa" w:w="136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Arial" w:cs="Arial" w:eastAsia="Arial" w:hAnsi="Arial"/>
                <w:color w:val="1E293B"/>
                <w:sz w:val="20"/>
                <w:szCs w:val="20"/>
              </w:rPr>
              <w:t xml:space="preserve">Módulo de nómina</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Declaraciones tributarias territoriales</w:t>
            </w:r>
          </w:p>
        </w:tc>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Secretaría de Hacienda del municipio</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Formato declaración ICA/Predial</w:t>
            </w:r>
          </w:p>
        </w:tc>
        <w:tc>
          <w:tcPr>
            <w:tcW w:type="dxa" w:w="1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Según calendario tributario</w:t>
            </w:r>
          </w:p>
        </w:tc>
        <w:tc>
          <w:tcPr>
            <w:tcW w:type="dxa" w:w="1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Módulo de rentas y tributos</w:t>
            </w:r>
          </w:p>
        </w:tc>
      </w:tr>
      <w:tr>
        <w:tc>
          <w:tcPr>
            <w:tcW w:type="dxa" w:w="22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Arial" w:cs="Arial" w:eastAsia="Arial" w:hAnsi="Arial"/>
                <w:color w:val="1E293B"/>
                <w:sz w:val="20"/>
                <w:szCs w:val="20"/>
              </w:rPr>
              <w:t xml:space="preserve">Informe de gestión al Concejo</w:t>
            </w:r>
          </w:p>
        </w:tc>
        <w:tc>
          <w:tcPr>
            <w:tcW w:type="dxa" w:w="22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Arial" w:cs="Arial" w:eastAsia="Arial" w:hAnsi="Arial"/>
                <w:color w:val="1E293B"/>
                <w:sz w:val="20"/>
                <w:szCs w:val="20"/>
              </w:rPr>
              <w:t xml:space="preserve">Concejo/Asamblea Municipal</w:t>
            </w:r>
          </w:p>
        </w:tc>
        <w:tc>
          <w:tcPr>
            <w:tcW w:type="dxa" w:w="20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Arial" w:cs="Arial" w:eastAsia="Arial" w:hAnsi="Arial"/>
                <w:color w:val="1E293B"/>
                <w:sz w:val="20"/>
                <w:szCs w:val="20"/>
              </w:rPr>
              <w:t xml:space="preserve">PDF con datos agregados</w:t>
            </w:r>
          </w:p>
        </w:tc>
        <w:tc>
          <w:tcPr>
            <w:tcW w:type="dxa" w:w="16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Arial" w:cs="Arial" w:eastAsia="Arial" w:hAnsi="Arial"/>
                <w:color w:val="1E293B"/>
                <w:sz w:val="20"/>
                <w:szCs w:val="20"/>
              </w:rPr>
              <w:t xml:space="preserve">Anual</w:t>
            </w:r>
          </w:p>
        </w:tc>
        <w:tc>
          <w:tcPr>
            <w:tcW w:type="dxa" w:w="136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Arial" w:cs="Arial" w:eastAsia="Arial" w:hAnsi="Arial"/>
                <w:color w:val="1E293B"/>
                <w:sz w:val="20"/>
                <w:szCs w:val="20"/>
              </w:rPr>
              <w:t xml:space="preserve">Todos los módulos</w:t>
            </w:r>
          </w:p>
        </w:tc>
      </w:tr>
    </w:tbl>
    <w:p>
      <w:pPr>
        <w:spacing w:after="0" w:before="80"/>
      </w:pPr>
      <w:r>
        <w:t xml:space="preserve"/>
      </w:r>
    </w:p>
    <w:p>
      <w:pPr>
        <w:pStyle w:val="Heading2"/>
        <w:spacing w:after="140" w:before="320"/>
      </w:pPr>
      <w:r>
        <w:rPr>
          <w:rFonts w:ascii="Arial" w:cs="Arial" w:eastAsia="Arial" w:hAnsi="Arial"/>
          <w:b/>
          <w:bCs/>
          <w:color w:val="1E3A5F"/>
          <w:sz w:val="28"/>
          <w:szCs w:val="28"/>
        </w:rPr>
        <w:t xml:space="preserve">7.3 Estructura del Reporte CHIP — El Más Crítico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BD5E1" w:sz="1"/>
              <w:left w:val="single" w:color="CBD5E1" w:sz="1"/>
              <w:bottom w:val="single" w:color="CBD5E1" w:sz="1"/>
              <w:right w:val="single" w:color="CBD5E1" w:sz="1"/>
            </w:tcBorders>
            <w:shd w:fill="FEF3C7" w:val="clear"/>
            <w:tcMar>
              <w:top w:type="dxa" w:w="120"/>
              <w:left w:type="dxa" w:w="200"/>
              <w:bottom w:type="dxa" w:w="120"/>
              <w:right w:type="dxa" w:w="200"/>
            </w:tcMar>
          </w:tcPr>
          <w:p>
            <w:r>
              <w:rPr>
                <w:rFonts w:ascii="Arial" w:cs="Arial" w:eastAsia="Arial" w:hAnsi="Arial"/>
                <w:b/>
                <w:bCs/>
                <w:color w:val="B45309"/>
                <w:sz w:val="21"/>
                <w:szCs w:val="21"/>
              </w:rPr>
              <w:t xml:space="preserve">📋 Circular CGN 001/2024 e Instrucción CGN 001/2025 — Reporte CHIP</w:t>
            </w:r>
          </w:p>
          <w:p>
            <w:pPr>
              <w:spacing w:after="0" w:before="40"/>
            </w:pPr>
            <w:r>
              <w:rPr>
                <w:rFonts w:ascii="Arial" w:cs="Arial" w:eastAsia="Arial" w:hAnsi="Arial"/>
                <w:color w:val="1E293B"/>
                <w:sz w:val="20"/>
                <w:szCs w:val="20"/>
              </w:rPr>
              <w:t xml:space="preserve">El Sistema CHIP (Consolidación de Hacienda e Información Pública) es la plataforma de la Contaduría General de la Nación para la recepción de estados financieros de todas las entidades públicas. El incumplimiento en el reporte genera sanciones directas al representante legal y al contador público suscriptor. La CGN emite instrucciones anuales de cierre (la más reciente: Instrucción 001/2025 para cierre 2024-2025).</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600"/>
        <w:gridCol w:w="3200"/>
        <w:gridCol w:w="1760"/>
      </w:tblGrid>
      <w:tr>
        <w:trPr>
          <w:tblHeader/>
        </w:trPr>
        <w:tc>
          <w:tcPr>
            <w:tcW w:type="dxa" w:w="1800"/>
            <w:tcBorders>
              <w:top w:val="single" w:color="CBD5E1" w:sz="1"/>
              <w:left w:val="single" w:color="CBD5E1" w:sz="1"/>
              <w:bottom w:val="single" w:color="CBD5E1" w:sz="1"/>
              <w:right w:val="single" w:color="CBD5E1" w:sz="1"/>
            </w:tcBorders>
            <w:shd w:fill="1E3A5F"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Formulario CHIP</w:t>
            </w:r>
          </w:p>
        </w:tc>
        <w:tc>
          <w:tcPr>
            <w:tcW w:type="dxa" w:w="2600"/>
            <w:tcBorders>
              <w:top w:val="single" w:color="CBD5E1" w:sz="1"/>
              <w:left w:val="single" w:color="CBD5E1" w:sz="1"/>
              <w:bottom w:val="single" w:color="CBD5E1" w:sz="1"/>
              <w:right w:val="single" w:color="CBD5E1" w:sz="1"/>
            </w:tcBorders>
            <w:shd w:fill="1E3A5F"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Nombre</w:t>
            </w:r>
          </w:p>
        </w:tc>
        <w:tc>
          <w:tcPr>
            <w:tcW w:type="dxa" w:w="3200"/>
            <w:tcBorders>
              <w:top w:val="single" w:color="CBD5E1" w:sz="1"/>
              <w:left w:val="single" w:color="CBD5E1" w:sz="1"/>
              <w:bottom w:val="single" w:color="CBD5E1" w:sz="1"/>
              <w:right w:val="single" w:color="CBD5E1" w:sz="1"/>
            </w:tcBorders>
            <w:shd w:fill="1E3A5F"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Contenido</w:t>
            </w:r>
          </w:p>
        </w:tc>
        <w:tc>
          <w:tcPr>
            <w:tcW w:type="dxa" w:w="1760"/>
            <w:tcBorders>
              <w:top w:val="single" w:color="CBD5E1" w:sz="1"/>
              <w:left w:val="single" w:color="CBD5E1" w:sz="1"/>
              <w:bottom w:val="single" w:color="CBD5E1" w:sz="1"/>
              <w:right w:val="single" w:color="CBD5E1" w:sz="1"/>
            </w:tcBorders>
            <w:shd w:fill="1E3A5F"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Corte</w:t>
            </w:r>
          </w:p>
        </w:tc>
      </w:tr>
      <w:tr>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CGN2015_001</w:t>
            </w:r>
          </w:p>
        </w:tc>
        <w:tc>
          <w:tcPr>
            <w:tcW w:type="dxa" w:w="2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Estado de Situación Financiera</w:t>
            </w:r>
          </w:p>
        </w:tc>
        <w:tc>
          <w:tcPr>
            <w:tcW w:type="dxa" w:w="3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Activo, Pasivo, Patrimonio detallado por cuenta CGC</w:t>
            </w:r>
          </w:p>
        </w:tc>
        <w:tc>
          <w:tcPr>
            <w:tcW w:type="dxa" w:w="1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Trimestral + Anual</w:t>
            </w:r>
          </w:p>
        </w:tc>
      </w:tr>
      <w:tr>
        <w:tc>
          <w:tcPr>
            <w:tcW w:type="dxa" w:w="18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Arial" w:cs="Arial" w:eastAsia="Arial" w:hAnsi="Arial"/>
                <w:color w:val="1E293B"/>
                <w:sz w:val="20"/>
                <w:szCs w:val="20"/>
              </w:rPr>
              <w:t xml:space="preserve">CGN2015_002</w:t>
            </w:r>
          </w:p>
        </w:tc>
        <w:tc>
          <w:tcPr>
            <w:tcW w:type="dxa" w:w="26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Arial" w:cs="Arial" w:eastAsia="Arial" w:hAnsi="Arial"/>
                <w:color w:val="1E293B"/>
                <w:sz w:val="20"/>
                <w:szCs w:val="20"/>
              </w:rPr>
              <w:t xml:space="preserve">Estado de Rendimiento Financiero</w:t>
            </w:r>
          </w:p>
        </w:tc>
        <w:tc>
          <w:tcPr>
            <w:tcW w:type="dxa" w:w="32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Arial" w:cs="Arial" w:eastAsia="Arial" w:hAnsi="Arial"/>
                <w:color w:val="1E293B"/>
                <w:sz w:val="20"/>
                <w:szCs w:val="20"/>
              </w:rPr>
              <w:t xml:space="preserve">Ingresos y Gastos del período por naturaleza</w:t>
            </w:r>
          </w:p>
        </w:tc>
        <w:tc>
          <w:tcPr>
            <w:tcW w:type="dxa" w:w="176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Arial" w:cs="Arial" w:eastAsia="Arial" w:hAnsi="Arial"/>
                <w:color w:val="1E293B"/>
                <w:sz w:val="20"/>
                <w:szCs w:val="20"/>
              </w:rPr>
              <w:t xml:space="preserve">Trimestral + Anual</w:t>
            </w:r>
          </w:p>
        </w:tc>
      </w:tr>
      <w:tr>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CGN2015_003</w:t>
            </w:r>
          </w:p>
        </w:tc>
        <w:tc>
          <w:tcPr>
            <w:tcW w:type="dxa" w:w="2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Estado de Cambios en el Patrimonio</w:t>
            </w:r>
          </w:p>
        </w:tc>
        <w:tc>
          <w:tcPr>
            <w:tcW w:type="dxa" w:w="3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Variaciones en cada componente del patrimonio</w:t>
            </w:r>
          </w:p>
        </w:tc>
        <w:tc>
          <w:tcPr>
            <w:tcW w:type="dxa" w:w="1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Anual</w:t>
            </w:r>
          </w:p>
        </w:tc>
      </w:tr>
      <w:tr>
        <w:tc>
          <w:tcPr>
            <w:tcW w:type="dxa" w:w="18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Arial" w:cs="Arial" w:eastAsia="Arial" w:hAnsi="Arial"/>
                <w:color w:val="1E293B"/>
                <w:sz w:val="20"/>
                <w:szCs w:val="20"/>
              </w:rPr>
              <w:t xml:space="preserve">CGN2015_004</w:t>
            </w:r>
          </w:p>
        </w:tc>
        <w:tc>
          <w:tcPr>
            <w:tcW w:type="dxa" w:w="26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Arial" w:cs="Arial" w:eastAsia="Arial" w:hAnsi="Arial"/>
                <w:color w:val="1E293B"/>
                <w:sz w:val="20"/>
                <w:szCs w:val="20"/>
              </w:rPr>
              <w:t xml:space="preserve">Estado de Flujos de Efectivo</w:t>
            </w:r>
          </w:p>
        </w:tc>
        <w:tc>
          <w:tcPr>
            <w:tcW w:type="dxa" w:w="32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Arial" w:cs="Arial" w:eastAsia="Arial" w:hAnsi="Arial"/>
                <w:color w:val="1E293B"/>
                <w:sz w:val="20"/>
                <w:szCs w:val="20"/>
              </w:rPr>
              <w:t xml:space="preserve">Flujos de operación, inversión y financiación</w:t>
            </w:r>
          </w:p>
        </w:tc>
        <w:tc>
          <w:tcPr>
            <w:tcW w:type="dxa" w:w="176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Arial" w:cs="Arial" w:eastAsia="Arial" w:hAnsi="Arial"/>
                <w:color w:val="1E293B"/>
                <w:sz w:val="20"/>
                <w:szCs w:val="20"/>
              </w:rPr>
              <w:t xml:space="preserve">Anual</w:t>
            </w:r>
          </w:p>
        </w:tc>
      </w:tr>
      <w:tr>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CGN2015_005</w:t>
            </w:r>
          </w:p>
        </w:tc>
        <w:tc>
          <w:tcPr>
            <w:tcW w:type="dxa" w:w="2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Notas a los estados financieros</w:t>
            </w:r>
          </w:p>
        </w:tc>
        <w:tc>
          <w:tcPr>
            <w:tcW w:type="dxa" w:w="3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Políticas contables, revelaciones, contingencias</w:t>
            </w:r>
          </w:p>
        </w:tc>
        <w:tc>
          <w:tcPr>
            <w:tcW w:type="dxa" w:w="1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Anual</w:t>
            </w:r>
          </w:p>
        </w:tc>
      </w:tr>
      <w:tr>
        <w:tc>
          <w:tcPr>
            <w:tcW w:type="dxa" w:w="18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Arial" w:cs="Arial" w:eastAsia="Arial" w:hAnsi="Arial"/>
                <w:color w:val="1E293B"/>
                <w:sz w:val="20"/>
                <w:szCs w:val="20"/>
              </w:rPr>
              <w:t xml:space="preserve">CGN2016C01</w:t>
            </w:r>
          </w:p>
        </w:tc>
        <w:tc>
          <w:tcPr>
            <w:tcW w:type="dxa" w:w="26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Arial" w:cs="Arial" w:eastAsia="Arial" w:hAnsi="Arial"/>
                <w:color w:val="1E293B"/>
                <w:sz w:val="20"/>
                <w:szCs w:val="20"/>
              </w:rPr>
              <w:t xml:space="preserve">Variaciones trimestrales significativas</w:t>
            </w:r>
          </w:p>
        </w:tc>
        <w:tc>
          <w:tcPr>
            <w:tcW w:type="dxa" w:w="32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Arial" w:cs="Arial" w:eastAsia="Arial" w:hAnsi="Arial"/>
                <w:color w:val="1E293B"/>
                <w:sz w:val="20"/>
                <w:szCs w:val="20"/>
              </w:rPr>
              <w:t xml:space="preserve">Explicación de cambios &gt;X% entre períodos comparados</w:t>
            </w:r>
          </w:p>
        </w:tc>
        <w:tc>
          <w:tcPr>
            <w:tcW w:type="dxa" w:w="176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Arial" w:cs="Arial" w:eastAsia="Arial" w:hAnsi="Arial"/>
                <w:color w:val="1E293B"/>
                <w:sz w:val="20"/>
                <w:szCs w:val="20"/>
              </w:rPr>
              <w:t xml:space="preserve">Trimestral</w:t>
            </w:r>
          </w:p>
        </w:tc>
      </w:tr>
      <w:tr>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FUT — Categoría A</w:t>
            </w:r>
          </w:p>
        </w:tc>
        <w:tc>
          <w:tcPr>
            <w:tcW w:type="dxa" w:w="2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Ingresos corrientes ejecutados</w:t>
            </w:r>
          </w:p>
        </w:tc>
        <w:tc>
          <w:tcPr>
            <w:tcW w:type="dxa" w:w="3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Predial, ICA, SGP, regalías, otros</w:t>
            </w:r>
          </w:p>
        </w:tc>
        <w:tc>
          <w:tcPr>
            <w:tcW w:type="dxa" w:w="1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Trimestral</w:t>
            </w:r>
          </w:p>
        </w:tc>
      </w:tr>
      <w:tr>
        <w:tc>
          <w:tcPr>
            <w:tcW w:type="dxa" w:w="18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Arial" w:cs="Arial" w:eastAsia="Arial" w:hAnsi="Arial"/>
                <w:color w:val="1E293B"/>
                <w:sz w:val="20"/>
                <w:szCs w:val="20"/>
              </w:rPr>
              <w:t xml:space="preserve">FUT — Categoría B</w:t>
            </w:r>
          </w:p>
        </w:tc>
        <w:tc>
          <w:tcPr>
            <w:tcW w:type="dxa" w:w="26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Arial" w:cs="Arial" w:eastAsia="Arial" w:hAnsi="Arial"/>
                <w:color w:val="1E293B"/>
                <w:sz w:val="20"/>
                <w:szCs w:val="20"/>
              </w:rPr>
              <w:t xml:space="preserve">Gastos ejecutados</w:t>
            </w:r>
          </w:p>
        </w:tc>
        <w:tc>
          <w:tcPr>
            <w:tcW w:type="dxa" w:w="32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Arial" w:cs="Arial" w:eastAsia="Arial" w:hAnsi="Arial"/>
                <w:color w:val="1E293B"/>
                <w:sz w:val="20"/>
                <w:szCs w:val="20"/>
              </w:rPr>
              <w:t xml:space="preserve">Funcionamiento, inversión, deuda</w:t>
            </w:r>
          </w:p>
        </w:tc>
        <w:tc>
          <w:tcPr>
            <w:tcW w:type="dxa" w:w="176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Arial" w:cs="Arial" w:eastAsia="Arial" w:hAnsi="Arial"/>
                <w:color w:val="1E293B"/>
                <w:sz w:val="20"/>
                <w:szCs w:val="20"/>
              </w:rPr>
              <w:t xml:space="preserve">Trimestral</w:t>
            </w:r>
          </w:p>
        </w:tc>
      </w:tr>
    </w:tbl>
    <w:p>
      <w:pPr>
        <w:spacing w:after="0" w:before="80"/>
      </w:pPr>
      <w:r>
        <w:t xml:space="preserve"/>
      </w:r>
    </w:p>
    <w:p>
      <w:r>
        <w:br w:type="page"/>
      </w:r>
    </w:p>
    <w:p>
      <w:pPr>
        <w:pStyle w:val="Heading1"/>
        <w:pBdr>
          <w:bottom w:val="single" w:color="1E3A5F" w:sz="8" w:space="4"/>
        </w:pBdr>
        <w:spacing w:after="200" w:before="480"/>
      </w:pPr>
      <w:r>
        <w:rPr>
          <w:rFonts w:ascii="Arial" w:cs="Arial" w:eastAsia="Arial" w:hAnsi="Arial"/>
          <w:b/>
          <w:bCs/>
          <w:color w:val="1E3A5F"/>
          <w:sz w:val="38"/>
          <w:szCs w:val="38"/>
        </w:rPr>
        <w:t xml:space="preserve">Macro-Sistema 8 — Facturación y Gestión en Salud Pública (Hospitales / ESE)</w:t>
      </w:r>
    </w:p>
    <w:p>
      <w:pPr>
        <w:spacing w:after="80" w:before="80"/>
      </w:pPr>
      <w:r>
        <w:rPr>
          <w:rFonts w:ascii="Arial" w:cs="Arial" w:eastAsia="Arial" w:hAnsi="Arial"/>
          <w:color w:val="1E293B"/>
          <w:sz w:val="22"/>
          <w:szCs w:val="22"/>
        </w:rPr>
        <w:t xml:space="preserve">Cuando el cliente es un hospital público o una Empresa Social del Estado (ESE), MerkaERP deja de competir con un ERP genérico y empieza a competir con sistemas de información en salud. Este macro-sistema reconoce que "hospitales" no es una fila más en la tabla de clientes: es un dominio regulatorio propio, con su propio lenguaje (RIPS, glosas, CUPS, CUM) y sus propios actores (EPS, ADRES, Supersalud).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BD5E1" w:sz="1"/>
              <w:left w:val="single" w:color="CBD5E1" w:sz="1"/>
              <w:bottom w:val="single" w:color="CBD5E1" w:sz="1"/>
              <w:right w:val="single" w:color="CBD5E1" w:sz="1"/>
            </w:tcBorders>
            <w:shd w:fill="FEF3C7" w:val="clear"/>
            <w:tcMar>
              <w:top w:type="dxa" w:w="120"/>
              <w:left w:type="dxa" w:w="200"/>
              <w:bottom w:type="dxa" w:w="120"/>
              <w:right w:type="dxa" w:w="200"/>
            </w:tcMar>
          </w:tcPr>
          <w:p>
            <w:r>
              <w:rPr>
                <w:rFonts w:ascii="Arial" w:cs="Arial" w:eastAsia="Arial" w:hAnsi="Arial"/>
                <w:b/>
                <w:bCs/>
                <w:color w:val="B45309"/>
                <w:sz w:val="21"/>
                <w:szCs w:val="21"/>
              </w:rPr>
              <w:t xml:space="preserve">📋 Resolución 3374 de 2000 + Resolución 2275 de 2023 (RIPS) + Ley 1438 de 2011</w:t>
            </w:r>
          </w:p>
          <w:p>
            <w:pPr>
              <w:spacing w:after="0" w:before="40"/>
            </w:pPr>
            <w:r>
              <w:rPr>
                <w:rFonts w:ascii="Arial" w:cs="Arial" w:eastAsia="Arial" w:hAnsi="Arial"/>
                <w:color w:val="1E293B"/>
                <w:sz w:val="20"/>
                <w:szCs w:val="20"/>
              </w:rPr>
              <w:t xml:space="preserve">La Resolución 3374/2000 creó los RIPS (Registro Individual de Prestación de Servicios de Salud), obligatorios para toda factura de servicios de salud. La Resolución 2275/2023 actualizó la estructura técnica de los RIPS y su reporte a ADRES/MinSalud. La Ley 1438/2011 reforzó el Sistema General de Seguridad Social en Salud y las reglas de flujo de recursos entre EPS e IPS/ESE.</w:t>
            </w:r>
          </w:p>
        </w:tc>
      </w:tr>
    </w:tbl>
    <w:p>
      <w:pPr>
        <w:pStyle w:val="Heading2"/>
        <w:spacing w:after="140" w:before="320"/>
      </w:pPr>
      <w:r>
        <w:rPr>
          <w:rFonts w:ascii="Arial" w:cs="Arial" w:eastAsia="Arial" w:hAnsi="Arial"/>
          <w:b/>
          <w:bCs/>
          <w:color w:val="1E3A5F"/>
          <w:sz w:val="28"/>
          <w:szCs w:val="28"/>
        </w:rPr>
        <w:t xml:space="preserve">8.1 RIPS — Registro Individual de Prestación de Servicios de Salud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400"/>
        <w:gridCol w:w="2760"/>
      </w:tblGrid>
      <w:tr>
        <w:trPr>
          <w:tblHeader/>
        </w:trPr>
        <w:tc>
          <w:tcPr>
            <w:tcW w:type="dxa" w:w="2200"/>
            <w:tcBorders>
              <w:top w:val="single" w:color="CBD5E1" w:sz="1"/>
              <w:left w:val="single" w:color="CBD5E1" w:sz="1"/>
              <w:bottom w:val="single" w:color="CBD5E1" w:sz="1"/>
              <w:right w:val="single" w:color="CBD5E1" w:sz="1"/>
            </w:tcBorders>
            <w:shd w:fill="1E3A5F"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Función</w:t>
            </w:r>
          </w:p>
        </w:tc>
        <w:tc>
          <w:tcPr>
            <w:tcW w:type="dxa" w:w="4400"/>
            <w:tcBorders>
              <w:top w:val="single" w:color="CBD5E1" w:sz="1"/>
              <w:left w:val="single" w:color="CBD5E1" w:sz="1"/>
              <w:bottom w:val="single" w:color="CBD5E1" w:sz="1"/>
              <w:right w:val="single" w:color="CBD5E1" w:sz="1"/>
            </w:tcBorders>
            <w:shd w:fill="1E3A5F"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Descripción técnica</w:t>
            </w:r>
          </w:p>
        </w:tc>
        <w:tc>
          <w:tcPr>
            <w:tcW w:type="dxa" w:w="2760"/>
            <w:tcBorders>
              <w:top w:val="single" w:color="CBD5E1" w:sz="1"/>
              <w:left w:val="single" w:color="CBD5E1" w:sz="1"/>
              <w:bottom w:val="single" w:color="CBD5E1" w:sz="1"/>
              <w:right w:val="single" w:color="CBD5E1" w:sz="1"/>
            </w:tcBorders>
            <w:shd w:fill="1E3A5F"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Dato clave</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Generación RIPS</w:t>
            </w:r>
          </w:p>
        </w:tc>
        <w:tc>
          <w:tcPr>
            <w:tcW w:type="dxa" w:w="4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Construcción de los 6 archivos planos (AF, AC, AP, AT, AU, AM) por cada atención prestada, con estructura definida por Resolución 2275/2023.</w:t>
            </w:r>
          </w:p>
        </w:tc>
        <w:tc>
          <w:tcPr>
            <w:tcW w:type="dxa" w:w="2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Formato oficial ADRES</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Validación previa</w:t>
            </w:r>
          </w:p>
        </w:tc>
        <w:tc>
          <w:tcPr>
            <w:tcW w:type="dxa" w:w="4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Motor de reglas que valida consistencia entre CUPS, CUM, diagnóstico CIE-10 y tipo de afiliación antes de facturar.</w:t>
            </w:r>
          </w:p>
        </w:tc>
        <w:tc>
          <w:tcPr>
            <w:tcW w:type="dxa" w:w="2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Evita glosas por RIPS inconsistentes</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Cargue a plataforma</w:t>
            </w:r>
          </w:p>
        </w:tc>
        <w:tc>
          <w:tcPr>
            <w:tcW w:type="dxa" w:w="4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Transmisión de RIPS validados a la plataforma de ADRES / interoperabilidad con EPS.</w:t>
            </w:r>
          </w:p>
        </w:tc>
        <w:tc>
          <w:tcPr>
            <w:tcW w:type="dxa" w:w="2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Trazabilidad de envíos</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Vínculo con facturación</w:t>
            </w:r>
          </w:p>
        </w:tc>
        <w:tc>
          <w:tcPr>
            <w:tcW w:type="dxa" w:w="4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Cada factura de venta de servicios de salud queda amarrada 1 a 1 con su RIPS correspondiente.</w:t>
            </w:r>
          </w:p>
        </w:tc>
        <w:tc>
          <w:tcPr>
            <w:tcW w:type="dxa" w:w="2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Requisito legal de cobro</w:t>
            </w:r>
          </w:p>
        </w:tc>
      </w:tr>
    </w:tbl>
    <w:p>
      <w:pPr>
        <w:pStyle w:val="Heading2"/>
        <w:spacing w:after="140" w:before="320"/>
      </w:pPr>
      <w:r>
        <w:rPr>
          <w:rFonts w:ascii="Arial" w:cs="Arial" w:eastAsia="Arial" w:hAnsi="Arial"/>
          <w:b/>
          <w:bCs/>
          <w:color w:val="1E3A5F"/>
          <w:sz w:val="28"/>
          <w:szCs w:val="28"/>
        </w:rPr>
        <w:t xml:space="preserve">8.2 Contratación y Facturación con EPS / ADRES</w:t>
      </w:r>
    </w:p>
    <w:p>
      <w:pPr>
        <w:spacing w:after="60" w:before="40"/>
      </w:pPr>
      <w:r>
        <w:rPr>
          <w:rFonts w:ascii="Arial" w:cs="Arial" w:eastAsia="Arial" w:hAnsi="Arial"/>
          <w:color w:val="1E293B"/>
          <w:sz w:val="22"/>
          <w:szCs w:val="22"/>
        </w:rPr>
        <w:t xml:space="preserve">La venta de servicios de salud no es una venta comercial libre: depende de contratos de capitación, evento, o paquete (PGP) suscritos con cada EPS, cada uno con sus propias tarifas (manual tarifario SOAT / ISS 2001 / propio) y topes.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400"/>
        <w:gridCol w:w="2760"/>
      </w:tblGrid>
      <w:tr>
        <w:trPr>
          <w:tblHeader/>
        </w:trPr>
        <w:tc>
          <w:tcPr>
            <w:tcW w:type="dxa" w:w="2200"/>
            <w:tcBorders>
              <w:top w:val="single" w:color="CBD5E1" w:sz="1"/>
              <w:left w:val="single" w:color="CBD5E1" w:sz="1"/>
              <w:bottom w:val="single" w:color="CBD5E1" w:sz="1"/>
              <w:right w:val="single" w:color="CBD5E1" w:sz="1"/>
            </w:tcBorders>
            <w:shd w:fill="1E3A5F"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Modalidad</w:t>
            </w:r>
          </w:p>
        </w:tc>
        <w:tc>
          <w:tcPr>
            <w:tcW w:type="dxa" w:w="4400"/>
            <w:tcBorders>
              <w:top w:val="single" w:color="CBD5E1" w:sz="1"/>
              <w:left w:val="single" w:color="CBD5E1" w:sz="1"/>
              <w:bottom w:val="single" w:color="CBD5E1" w:sz="1"/>
              <w:right w:val="single" w:color="CBD5E1" w:sz="1"/>
            </w:tcBorders>
            <w:shd w:fill="1E3A5F"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Descripción</w:t>
            </w:r>
          </w:p>
        </w:tc>
        <w:tc>
          <w:tcPr>
            <w:tcW w:type="dxa" w:w="2760"/>
            <w:tcBorders>
              <w:top w:val="single" w:color="CBD5E1" w:sz="1"/>
              <w:left w:val="single" w:color="CBD5E1" w:sz="1"/>
              <w:bottom w:val="single" w:color="CBD5E1" w:sz="1"/>
              <w:right w:val="single" w:color="CBD5E1" w:sz="1"/>
            </w:tcBorders>
            <w:shd w:fill="1E3A5F"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Implicación en el sistema</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Evento</w:t>
            </w:r>
          </w:p>
        </w:tc>
        <w:tc>
          <w:tcPr>
            <w:tcW w:type="dxa" w:w="4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Se cobra cada servicio individual según manual tarifario pactado.</w:t>
            </w:r>
          </w:p>
        </w:tc>
        <w:tc>
          <w:tcPr>
            <w:tcW w:type="dxa" w:w="2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Motor de tarifación por manual (SOAT/ISS/propio) por contrato</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Capitación</w:t>
            </w:r>
          </w:p>
        </w:tc>
        <w:tc>
          <w:tcPr>
            <w:tcW w:type="dxa" w:w="4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Pago fijo per cápita mensual por población asignada, independiente del uso real.</w:t>
            </w:r>
          </w:p>
        </w:tc>
        <w:tc>
          <w:tcPr>
            <w:tcW w:type="dxa" w:w="2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Módulo de conciliación de población asignada vs. atendida</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PGP (Pago Global Prospectivo)</w:t>
            </w:r>
          </w:p>
        </w:tc>
        <w:tc>
          <w:tcPr>
            <w:tcW w:type="dxa" w:w="4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Presupuesto fijo por grupo de riesgo/servicios definidos.</w:t>
            </w:r>
          </w:p>
        </w:tc>
        <w:tc>
          <w:tcPr>
            <w:tcW w:type="dxa" w:w="2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Seguimiento de ejecución presupuestal por grupo PGP</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Régimen subsidiado / contributivo / ADRES directo</w:t>
            </w:r>
          </w:p>
        </w:tc>
        <w:tc>
          <w:tcPr>
            <w:tcW w:type="dxa" w:w="4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Cada régimen tiene reglas propias de recobro y trazabilidad.</w:t>
            </w:r>
          </w:p>
        </w:tc>
        <w:tc>
          <w:tcPr>
            <w:tcW w:type="dxa" w:w="2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Clasificación obligatoria del paciente por régimen antes de facturar</w:t>
            </w:r>
          </w:p>
        </w:tc>
      </w:tr>
    </w:tbl>
    <w:p>
      <w:pPr>
        <w:pStyle w:val="Heading2"/>
        <w:spacing w:after="140" w:before="320"/>
      </w:pPr>
      <w:r>
        <w:rPr>
          <w:rFonts w:ascii="Arial" w:cs="Arial" w:eastAsia="Arial" w:hAnsi="Arial"/>
          <w:b/>
          <w:bCs/>
          <w:color w:val="1E3A5F"/>
          <w:sz w:val="28"/>
          <w:szCs w:val="28"/>
        </w:rPr>
        <w:t xml:space="preserve">8.3 Glosas y Conciliación de Cuentas Médicas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BD5E1" w:sz="1"/>
              <w:left w:val="single" w:color="CBD5E1" w:sz="1"/>
              <w:bottom w:val="single" w:color="CBD5E1" w:sz="1"/>
              <w:right w:val="single" w:color="CBD5E1" w:sz="1"/>
            </w:tcBorders>
            <w:shd w:fill="FEF3C7" w:val="clear"/>
            <w:tcMar>
              <w:top w:type="dxa" w:w="120"/>
              <w:left w:type="dxa" w:w="200"/>
              <w:bottom w:type="dxa" w:w="120"/>
              <w:right w:type="dxa" w:w="200"/>
            </w:tcMar>
          </w:tcPr>
          <w:p>
            <w:r>
              <w:rPr>
                <w:rFonts w:ascii="Arial" w:cs="Arial" w:eastAsia="Arial" w:hAnsi="Arial"/>
                <w:b/>
                <w:bCs/>
                <w:color w:val="B45309"/>
                <w:sz w:val="21"/>
                <w:szCs w:val="21"/>
              </w:rPr>
              <w:t xml:space="preserve">⚠️ Glosas — Decreto 4747 de 2007 y Resolución 3047 de 2008</w:t>
            </w:r>
          </w:p>
          <w:p>
            <w:pPr>
              <w:spacing w:after="0" w:before="40"/>
            </w:pPr>
            <w:r>
              <w:rPr>
                <w:rFonts w:ascii="Arial" w:cs="Arial" w:eastAsia="Arial" w:hAnsi="Arial"/>
                <w:color w:val="1E293B"/>
                <w:sz w:val="20"/>
                <w:szCs w:val="20"/>
              </w:rPr>
              <w:t xml:space="preserve">Una glosa es la objeción que hace la EPS a una factura, total o parcial, por inconsistencias administrativas, tarifarias o de pertinencia médica. El proceso de radicación-glosa-respuesta-conciliación tiene términos legales estrictos: la IPS/ESE tiene 5 días hábiles para responder una glosa y la EPS 15 días hábiles para resolverla, contados desde la radicación de la factura.</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400"/>
        <w:gridCol w:w="2760"/>
      </w:tblGrid>
      <w:tr>
        <w:trPr>
          <w:tblHeader/>
        </w:trPr>
        <w:tc>
          <w:tcPr>
            <w:tcW w:type="dxa" w:w="2200"/>
            <w:tcBorders>
              <w:top w:val="single" w:color="CBD5E1" w:sz="1"/>
              <w:left w:val="single" w:color="CBD5E1" w:sz="1"/>
              <w:bottom w:val="single" w:color="CBD5E1" w:sz="1"/>
              <w:right w:val="single" w:color="CBD5E1" w:sz="1"/>
            </w:tcBorders>
            <w:shd w:fill="1E3A5F"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Función</w:t>
            </w:r>
          </w:p>
        </w:tc>
        <w:tc>
          <w:tcPr>
            <w:tcW w:type="dxa" w:w="4400"/>
            <w:tcBorders>
              <w:top w:val="single" w:color="CBD5E1" w:sz="1"/>
              <w:left w:val="single" w:color="CBD5E1" w:sz="1"/>
              <w:bottom w:val="single" w:color="CBD5E1" w:sz="1"/>
              <w:right w:val="single" w:color="CBD5E1" w:sz="1"/>
            </w:tcBorders>
            <w:shd w:fill="1E3A5F"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Descripción técnica</w:t>
            </w:r>
          </w:p>
        </w:tc>
        <w:tc>
          <w:tcPr>
            <w:tcW w:type="dxa" w:w="2760"/>
            <w:tcBorders>
              <w:top w:val="single" w:color="CBD5E1" w:sz="1"/>
              <w:left w:val="single" w:color="CBD5E1" w:sz="1"/>
              <w:bottom w:val="single" w:color="CBD5E1" w:sz="1"/>
              <w:right w:val="single" w:color="CBD5E1" w:sz="1"/>
            </w:tcBorders>
            <w:shd w:fill="1E3A5F"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Dato clave</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Radicación de cuentas</w:t>
            </w:r>
          </w:p>
        </w:tc>
        <w:tc>
          <w:tcPr>
            <w:tcW w:type="dxa" w:w="4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Registro de facturas radicadas a cada EPS con fecha, monto y soportes (RIPS, historia clínica, orden médica).</w:t>
            </w:r>
          </w:p>
        </w:tc>
        <w:tc>
          <w:tcPr>
            <w:tcW w:type="dxa" w:w="2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Contador legal de plazos de respuesta</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Registro de glosas</w:t>
            </w:r>
          </w:p>
        </w:tc>
        <w:tc>
          <w:tcPr>
            <w:tcW w:type="dxa" w:w="4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Captura del código y descripción de la glosa según tabla única de causales (Resolución 3047/2008).</w:t>
            </w:r>
          </w:p>
        </w:tc>
        <w:tc>
          <w:tcPr>
            <w:tcW w:type="dxa" w:w="2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Clasifica por tipo: administrativa, tarifaria, de pertinencia</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Respuesta a glosa</w:t>
            </w:r>
          </w:p>
        </w:tc>
        <w:tc>
          <w:tcPr>
            <w:tcW w:type="dxa" w:w="4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Alerta automática de vencimiento del término de 5 días hábiles para responder.</w:t>
            </w:r>
          </w:p>
        </w:tc>
        <w:tc>
          <w:tcPr>
            <w:tcW w:type="dxa" w:w="2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Evita pérdida de cartera por no respuesta</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Conciliación</w:t>
            </w:r>
          </w:p>
        </w:tc>
        <w:tc>
          <w:tcPr>
            <w:tcW w:type="dxa" w:w="4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Registro del acta de conciliación con monto aceptado, monto ratificado y saldo en disputa.</w:t>
            </w:r>
          </w:p>
        </w:tc>
        <w:tc>
          <w:tcPr>
            <w:tcW w:type="dxa" w:w="2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Insumo directo para cartera y estados financieros</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Cartera en salud</w:t>
            </w:r>
          </w:p>
        </w:tc>
        <w:tc>
          <w:tcPr>
            <w:tcW w:type="dxa" w:w="4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Antigüedad de cartera por EPS, diferenciando facturado, glosado, conciliado y por cobrar.</w:t>
            </w:r>
          </w:p>
        </w:tc>
        <w:tc>
          <w:tcPr>
            <w:tcW w:type="dxa" w:w="2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Reporte obligatorio a junta directiva ESE</w:t>
            </w:r>
          </w:p>
        </w:tc>
      </w:tr>
    </w:tbl>
    <w:p>
      <w:r>
        <w:br w:type="page"/>
      </w:r>
    </w:p>
    <w:p>
      <w:pPr>
        <w:pStyle w:val="Heading1"/>
        <w:pBdr>
          <w:bottom w:val="single" w:color="1E3A5F" w:sz="8" w:space="4"/>
        </w:pBdr>
        <w:spacing w:after="200" w:before="480"/>
      </w:pPr>
      <w:r>
        <w:rPr>
          <w:rFonts w:ascii="Arial" w:cs="Arial" w:eastAsia="Arial" w:hAnsi="Arial"/>
          <w:b/>
          <w:bCs/>
          <w:color w:val="1E3A5F"/>
          <w:sz w:val="38"/>
          <w:szCs w:val="38"/>
        </w:rPr>
        <w:t xml:space="preserve">Macro-Sistema 9 — Sistema General de Regalías (SGR)</w:t>
      </w:r>
    </w:p>
    <w:p>
      <w:pPr>
        <w:spacing w:after="80" w:before="80"/>
      </w:pPr>
      <w:r>
        <w:rPr>
          <w:rFonts w:ascii="Arial" w:cs="Arial" w:eastAsia="Arial" w:hAnsi="Arial"/>
          <w:color w:val="1E293B"/>
          <w:sz w:val="22"/>
          <w:szCs w:val="22"/>
        </w:rPr>
        <w:t xml:space="preserve">Las regalías no se ejecutan como el presupuesto ordinario del municipio. Tienen su propio ciclo de aprobación, sus propios órganos colegiados (OCAD) y su propio sistema de presupuesto y giro. Para municipios y departamentos con vocación minero-energética, el SGR puede representar una porción significativa del presupuesto de inversión, y un ERP que no lo modele deja fuera una parte material de la plata pública.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BD5E1" w:sz="1"/>
              <w:left w:val="single" w:color="CBD5E1" w:sz="1"/>
              <w:bottom w:val="single" w:color="CBD5E1" w:sz="1"/>
              <w:right w:val="single" w:color="CBD5E1" w:sz="1"/>
            </w:tcBorders>
            <w:shd w:fill="FEF3C7" w:val="clear"/>
            <w:tcMar>
              <w:top w:type="dxa" w:w="120"/>
              <w:left w:type="dxa" w:w="200"/>
              <w:bottom w:type="dxa" w:w="120"/>
              <w:right w:type="dxa" w:w="200"/>
            </w:tcMar>
          </w:tcPr>
          <w:p>
            <w:r>
              <w:rPr>
                <w:rFonts w:ascii="Arial" w:cs="Arial" w:eastAsia="Arial" w:hAnsi="Arial"/>
                <w:b/>
                <w:bCs/>
                <w:color w:val="B45309"/>
                <w:sz w:val="21"/>
                <w:szCs w:val="21"/>
              </w:rPr>
              <w:t xml:space="preserve">📋 Acto Legislativo 05 de 2019 + Ley 2056 de 2020 + Decreto 1821 de 2020 (SPGR)</w:t>
            </w:r>
          </w:p>
          <w:p>
            <w:pPr>
              <w:spacing w:after="0" w:before="40"/>
            </w:pPr>
            <w:r>
              <w:rPr>
                <w:rFonts w:ascii="Arial" w:cs="Arial" w:eastAsia="Arial" w:hAnsi="Arial"/>
                <w:color w:val="1E293B"/>
                <w:sz w:val="20"/>
                <w:szCs w:val="20"/>
              </w:rPr>
              <w:t xml:space="preserve">El Acto Legislativo 05/2019 reformó el Sistema General de Regalías. La Ley 2056/2020 desarrolló su régimen presupuestal, de seguimiento, control y evaluación para el bienio 2021-2022 en adelante (con bienalidades sucesivas). El Decreto 1821/2020 reglamentó el Sistema de Presupuesto y Giro de Regalías (SPGR), la plataforma obligatoria del DNP para ejecutar y girar recursos de regalías.</w:t>
            </w:r>
          </w:p>
        </w:tc>
      </w:tr>
    </w:tbl>
    <w:p>
      <w:pPr>
        <w:pStyle w:val="Heading2"/>
        <w:spacing w:after="140" w:before="320"/>
      </w:pPr>
      <w:r>
        <w:rPr>
          <w:rFonts w:ascii="Arial" w:cs="Arial" w:eastAsia="Arial" w:hAnsi="Arial"/>
          <w:b/>
          <w:bCs/>
          <w:color w:val="1E3A5F"/>
          <w:sz w:val="28"/>
          <w:szCs w:val="28"/>
        </w:rPr>
        <w:t xml:space="preserve">9.1 OCAD — Órganos Colegiados de Administración y Decisión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400"/>
        <w:gridCol w:w="2760"/>
      </w:tblGrid>
      <w:tr>
        <w:trPr>
          <w:tblHeader/>
        </w:trPr>
        <w:tc>
          <w:tcPr>
            <w:tcW w:type="dxa" w:w="2200"/>
            <w:tcBorders>
              <w:top w:val="single" w:color="CBD5E1" w:sz="1"/>
              <w:left w:val="single" w:color="CBD5E1" w:sz="1"/>
              <w:bottom w:val="single" w:color="CBD5E1" w:sz="1"/>
              <w:right w:val="single" w:color="CBD5E1" w:sz="1"/>
            </w:tcBorders>
            <w:shd w:fill="1E3A5F"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Función</w:t>
            </w:r>
          </w:p>
        </w:tc>
        <w:tc>
          <w:tcPr>
            <w:tcW w:type="dxa" w:w="4400"/>
            <w:tcBorders>
              <w:top w:val="single" w:color="CBD5E1" w:sz="1"/>
              <w:left w:val="single" w:color="CBD5E1" w:sz="1"/>
              <w:bottom w:val="single" w:color="CBD5E1" w:sz="1"/>
              <w:right w:val="single" w:color="CBD5E1" w:sz="1"/>
            </w:tcBorders>
            <w:shd w:fill="1E3A5F"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Descripción técnica</w:t>
            </w:r>
          </w:p>
        </w:tc>
        <w:tc>
          <w:tcPr>
            <w:tcW w:type="dxa" w:w="2760"/>
            <w:tcBorders>
              <w:top w:val="single" w:color="CBD5E1" w:sz="1"/>
              <w:left w:val="single" w:color="CBD5E1" w:sz="1"/>
              <w:bottom w:val="single" w:color="CBD5E1" w:sz="1"/>
              <w:right w:val="single" w:color="CBD5E1" w:sz="1"/>
            </w:tcBorders>
            <w:shd w:fill="1E3A5F"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Dato clave</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Registro de proyectos OCAD</w:t>
            </w:r>
          </w:p>
        </w:tc>
        <w:tc>
          <w:tcPr>
            <w:tcW w:type="dxa" w:w="4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Cargue del proyecto de inversión (formulado en MGA) para viabilización y priorización por el OCAD correspondiente (municipal, departamental, regional).</w:t>
            </w:r>
          </w:p>
        </w:tc>
        <w:tc>
          <w:tcPr>
            <w:tcW w:type="dxa" w:w="2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Vinculado al Banco de Proyectos (Macro-Sistema 1)</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Acta de aprobación</w:t>
            </w:r>
          </w:p>
        </w:tc>
        <w:tc>
          <w:tcPr>
            <w:tcW w:type="dxa" w:w="4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Registro del acta OCAD con el monto aprobado, la fuente (asignaciones directas, ambientales, paz, ciencia y tecnología) y el ejecutor designado.</w:t>
            </w:r>
          </w:p>
        </w:tc>
        <w:tc>
          <w:tcPr>
            <w:tcW w:type="dxa" w:w="2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Documento habilitante para iniciar ejecución</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Designación de ejecutor</w:t>
            </w:r>
          </w:p>
        </w:tc>
        <w:tc>
          <w:tcPr>
            <w:tcW w:type="dxa" w:w="4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El proyecto puede ser ejecutado por una entidad distinta a la que lo formuló; el sistema debe permitir esa trazabilidad.</w:t>
            </w:r>
          </w:p>
        </w:tc>
        <w:tc>
          <w:tcPr>
            <w:tcW w:type="dxa" w:w="2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Común en proyectos regionales</w:t>
            </w:r>
          </w:p>
        </w:tc>
      </w:tr>
    </w:tbl>
    <w:p>
      <w:pPr>
        <w:pStyle w:val="Heading2"/>
        <w:spacing w:after="140" w:before="320"/>
      </w:pPr>
      <w:r>
        <w:rPr>
          <w:rFonts w:ascii="Arial" w:cs="Arial" w:eastAsia="Arial" w:hAnsi="Arial"/>
          <w:b/>
          <w:bCs/>
          <w:color w:val="1E3A5F"/>
          <w:sz w:val="28"/>
          <w:szCs w:val="28"/>
        </w:rPr>
        <w:t xml:space="preserve">9.2 Bienalidades y Ejecución Presupuestal del SGR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400"/>
        <w:gridCol w:w="2760"/>
      </w:tblGrid>
      <w:tr>
        <w:trPr>
          <w:tblHeader/>
        </w:trPr>
        <w:tc>
          <w:tcPr>
            <w:tcW w:type="dxa" w:w="2200"/>
            <w:tcBorders>
              <w:top w:val="single" w:color="CBD5E1" w:sz="1"/>
              <w:left w:val="single" w:color="CBD5E1" w:sz="1"/>
              <w:bottom w:val="single" w:color="CBD5E1" w:sz="1"/>
              <w:right w:val="single" w:color="CBD5E1" w:sz="1"/>
            </w:tcBorders>
            <w:shd w:fill="1E3A5F"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Función</w:t>
            </w:r>
          </w:p>
        </w:tc>
        <w:tc>
          <w:tcPr>
            <w:tcW w:type="dxa" w:w="4400"/>
            <w:tcBorders>
              <w:top w:val="single" w:color="CBD5E1" w:sz="1"/>
              <w:left w:val="single" w:color="CBD5E1" w:sz="1"/>
              <w:bottom w:val="single" w:color="CBD5E1" w:sz="1"/>
              <w:right w:val="single" w:color="CBD5E1" w:sz="1"/>
            </w:tcBorders>
            <w:shd w:fill="1E3A5F"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Descripción técnica</w:t>
            </w:r>
          </w:p>
        </w:tc>
        <w:tc>
          <w:tcPr>
            <w:tcW w:type="dxa" w:w="2760"/>
            <w:tcBorders>
              <w:top w:val="single" w:color="CBD5E1" w:sz="1"/>
              <w:left w:val="single" w:color="CBD5E1" w:sz="1"/>
              <w:bottom w:val="single" w:color="CBD5E1" w:sz="1"/>
              <w:right w:val="single" w:color="CBD5E1" w:sz="1"/>
            </w:tcBorders>
            <w:shd w:fill="1E3A5F"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Dato clave</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Presupuesto bienal</w:t>
            </w:r>
          </w:p>
        </w:tc>
        <w:tc>
          <w:tcPr>
            <w:tcW w:type="dxa" w:w="4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El SGR se presupuesta por bienios (2 años), no por vigencias anuales como el presupuesto ordinario.</w:t>
            </w:r>
          </w:p>
        </w:tc>
        <w:tc>
          <w:tcPr>
            <w:tcW w:type="dxa" w:w="2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Ley 2056/2020</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Ejecución CDP-RP-Obligación-Pago SGR</w:t>
            </w:r>
          </w:p>
        </w:tc>
        <w:tc>
          <w:tcPr>
            <w:tcW w:type="dxa" w:w="4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El flujo presupuestal es análogo al del EOP (Decreto 111/1996) pero se registra y reporta exclusivamente en el SPGR.</w:t>
            </w:r>
          </w:p>
        </w:tc>
        <w:tc>
          <w:tcPr>
            <w:tcW w:type="dxa" w:w="2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No se mezcla con SIIF/CHIP del presupuesto ordinario</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Rendimientos financieros</w:t>
            </w:r>
          </w:p>
        </w:tc>
        <w:tc>
          <w:tcPr>
            <w:tcW w:type="dxa" w:w="4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Los rendimientos generados por recursos de regalías no ejecutados deben reinvertirse en el mismo proyecto o fin.</w:t>
            </w:r>
          </w:p>
        </w:tc>
        <w:tc>
          <w:tcPr>
            <w:tcW w:type="dxa" w:w="2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Control de reinversión obligatoria</w:t>
            </w:r>
          </w:p>
        </w:tc>
      </w:tr>
    </w:tbl>
    <w:p>
      <w:pPr>
        <w:pStyle w:val="Heading2"/>
        <w:spacing w:after="140" w:before="320"/>
      </w:pPr>
      <w:r>
        <w:rPr>
          <w:rFonts w:ascii="Arial" w:cs="Arial" w:eastAsia="Arial" w:hAnsi="Arial"/>
          <w:b/>
          <w:bCs/>
          <w:color w:val="1E3A5F"/>
          <w:sz w:val="28"/>
          <w:szCs w:val="28"/>
        </w:rPr>
        <w:t xml:space="preserve">9.3 Reporte al SPGR (Sistema de Presupuesto y Giro de Regalías)</w:t>
      </w:r>
    </w:p>
    <w:p>
      <w:pPr>
        <w:spacing w:after="60" w:before="40"/>
      </w:pPr>
      <w:r>
        <w:rPr>
          <w:rFonts w:ascii="Arial" w:cs="Arial" w:eastAsia="Arial" w:hAnsi="Arial"/>
          <w:color w:val="1E293B"/>
          <w:sz w:val="22"/>
          <w:szCs w:val="22"/>
        </w:rPr>
        <w:t xml:space="preserve">El sistema debe generar los archivos de interoperabilidad exigidos por el DNP para registrar programación, ejecución y giro de cada proyecto financiado con regalías, incluyendo el reporte de avance físico y financiero que alimenta el Sistema de Monitoreo, Seguimiento, Control y Evaluación (SMSCE) del SGR.</w:t>
      </w:r>
    </w:p>
    <w:p>
      <w:r>
        <w:br w:type="page"/>
      </w:r>
    </w:p>
    <w:p>
      <w:pPr>
        <w:pStyle w:val="Heading1"/>
        <w:pBdr>
          <w:bottom w:val="single" w:color="1E3A5F" w:sz="8" w:space="4"/>
        </w:pBdr>
        <w:spacing w:after="200" w:before="480"/>
      </w:pPr>
      <w:r>
        <w:rPr>
          <w:rFonts w:ascii="Arial" w:cs="Arial" w:eastAsia="Arial" w:hAnsi="Arial"/>
          <w:b/>
          <w:bCs/>
          <w:color w:val="1E3A5F"/>
          <w:sz w:val="38"/>
          <w:szCs w:val="38"/>
        </w:rPr>
        <w:t xml:space="preserve">Macro-Sistema 10 — Sistema General de Participaciones (SGP)</w:t>
      </w:r>
    </w:p>
    <w:p>
      <w:pPr>
        <w:spacing w:after="80" w:before="80"/>
      </w:pPr>
      <w:r>
        <w:rPr>
          <w:rFonts w:ascii="Arial" w:cs="Arial" w:eastAsia="Arial" w:hAnsi="Arial"/>
          <w:color w:val="1E293B"/>
          <w:sz w:val="22"/>
          <w:szCs w:val="22"/>
        </w:rPr>
        <w:t xml:space="preserve">El SGP es la principal transferencia de la Nación a los territorios y financia, con destinación específica, los sectores de educación, salud y agua potable, además de una participación de propósito general de libre destinación parcial. Ejecutar SGP fuera de su destinación específica es una de las causales más comunes de hallazgo fiscal y disciplinario en entes territoriales.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BD5E1" w:sz="1"/>
              <w:left w:val="single" w:color="CBD5E1" w:sz="1"/>
              <w:bottom w:val="single" w:color="CBD5E1" w:sz="1"/>
              <w:right w:val="single" w:color="CBD5E1" w:sz="1"/>
            </w:tcBorders>
            <w:shd w:fill="FEF3C7" w:val="clear"/>
            <w:tcMar>
              <w:top w:type="dxa" w:w="120"/>
              <w:left w:type="dxa" w:w="200"/>
              <w:bottom w:type="dxa" w:w="120"/>
              <w:right w:type="dxa" w:w="200"/>
            </w:tcMar>
          </w:tcPr>
          <w:p>
            <w:r>
              <w:rPr>
                <w:rFonts w:ascii="Arial" w:cs="Arial" w:eastAsia="Arial" w:hAnsi="Arial"/>
                <w:b/>
                <w:bCs/>
                <w:color w:val="B45309"/>
                <w:sz w:val="21"/>
                <w:szCs w:val="21"/>
              </w:rPr>
              <w:t xml:space="preserve">📋 Ley 715 de 2001 + Acto Legislativo 04 de 2007</w:t>
            </w:r>
          </w:p>
          <w:p>
            <w:pPr>
              <w:spacing w:after="0" w:before="40"/>
            </w:pPr>
            <w:r>
              <w:rPr>
                <w:rFonts w:ascii="Arial" w:cs="Arial" w:eastAsia="Arial" w:hAnsi="Arial"/>
                <w:color w:val="1E293B"/>
                <w:sz w:val="20"/>
                <w:szCs w:val="20"/>
              </w:rPr>
              <w:t xml:space="preserve">La Ley 715/2001 organizó la prestación de los servicios de educación y salud, y reglamentó el SGP. El Acto Legislativo 04/2007 modificó los artículos 356 y 357 de la Constitución, ajustando las participaciones y reforzando el principio de destinación específica: los recursos de SGP solo pueden usarse para el sector para el que fueron girados.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200"/>
        <w:gridCol w:w="4160"/>
      </w:tblGrid>
      <w:tr>
        <w:trPr>
          <w:tblHeader/>
        </w:trPr>
        <w:tc>
          <w:tcPr>
            <w:tcW w:type="dxa" w:w="2000"/>
            <w:tcBorders>
              <w:top w:val="single" w:color="CBD5E1" w:sz="1"/>
              <w:left w:val="single" w:color="CBD5E1" w:sz="1"/>
              <w:bottom w:val="single" w:color="CBD5E1" w:sz="1"/>
              <w:right w:val="single" w:color="CBD5E1" w:sz="1"/>
            </w:tcBorders>
            <w:shd w:fill="1E3A5F"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Componente SGP</w:t>
            </w:r>
          </w:p>
        </w:tc>
        <w:tc>
          <w:tcPr>
            <w:tcW w:type="dxa" w:w="3200"/>
            <w:tcBorders>
              <w:top w:val="single" w:color="CBD5E1" w:sz="1"/>
              <w:left w:val="single" w:color="CBD5E1" w:sz="1"/>
              <w:bottom w:val="single" w:color="CBD5E1" w:sz="1"/>
              <w:right w:val="single" w:color="CBD5E1" w:sz="1"/>
            </w:tcBorders>
            <w:shd w:fill="1E3A5F"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Destinación específica</w:t>
            </w:r>
          </w:p>
        </w:tc>
        <w:tc>
          <w:tcPr>
            <w:tcW w:type="dxa" w:w="4160"/>
            <w:tcBorders>
              <w:top w:val="single" w:color="CBD5E1" w:sz="1"/>
              <w:left w:val="single" w:color="CBD5E1" w:sz="1"/>
              <w:bottom w:val="single" w:color="CBD5E1" w:sz="1"/>
              <w:right w:val="single" w:color="CBD5E1" w:sz="1"/>
            </w:tcBorders>
            <w:shd w:fill="1E3A5F"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Reglas clave para el sistema</w:t>
            </w:r>
          </w:p>
        </w:tc>
      </w:tr>
      <w:tr>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Educación</w:t>
            </w:r>
          </w:p>
        </w:tc>
        <w:tc>
          <w:tcPr>
            <w:tcW w:type="dxa" w:w="3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Nómina docente, calidad educativa, infraestructura educativa según certificación de la entidad.</w:t>
            </w:r>
          </w:p>
        </w:tc>
        <w:tc>
          <w:tcPr>
            <w:tcW w:type="dxa" w:w="4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Requiere módulo de nómina docente con escalafón propio (Estatuto Docente)</w:t>
            </w:r>
          </w:p>
        </w:tc>
      </w:tr>
      <w:tr>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Salud</w:t>
            </w:r>
          </w:p>
        </w:tc>
        <w:tc>
          <w:tcPr>
            <w:tcW w:type="dxa" w:w="3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Régimen subsidiado, salud pública colectiva, prestación de servicios en lo no cubierto con subsidios a la demanda.</w:t>
            </w:r>
          </w:p>
        </w:tc>
        <w:tc>
          <w:tcPr>
            <w:tcW w:type="dxa" w:w="4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Se articula con Macro-Sistema 8 (Salud Pública)</w:t>
            </w:r>
          </w:p>
        </w:tc>
      </w:tr>
      <w:tr>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Agua potable y saneamiento básico</w:t>
            </w:r>
          </w:p>
        </w:tc>
        <w:tc>
          <w:tcPr>
            <w:tcW w:type="dxa" w:w="3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Subsidios de acueducto/alcantarillado/aseo y obras de infraestructura del sector.</w:t>
            </w:r>
          </w:p>
        </w:tc>
        <w:tc>
          <w:tcPr>
            <w:tcW w:type="dxa" w:w="4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Cruce con facturación de servicios públicos domiciliarios si aplica</w:t>
            </w:r>
          </w:p>
        </w:tc>
      </w:tr>
      <w:tr>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Propósito general</w:t>
            </w:r>
          </w:p>
        </w:tc>
        <w:tc>
          <w:tcPr>
            <w:tcW w:type="dxa" w:w="3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Libre inversión (con un porcentaje obligatorio para deporte, cultura y libre destinación según categoría del municipio).</w:t>
            </w:r>
          </w:p>
        </w:tc>
        <w:tc>
          <w:tcPr>
            <w:tcW w:type="dxa" w:w="4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Único componente con flexibilidad parcial de destinación</w:t>
            </w:r>
          </w:p>
        </w:tc>
      </w:tr>
    </w:tbl>
    <w:p>
      <w:pPr>
        <w:pStyle w:val="Heading2"/>
        <w:spacing w:after="140" w:before="320"/>
      </w:pPr>
      <w:r>
        <w:rPr>
          <w:rFonts w:ascii="Arial" w:cs="Arial" w:eastAsia="Arial" w:hAnsi="Arial"/>
          <w:b/>
          <w:bCs/>
          <w:color w:val="1E3A5F"/>
          <w:sz w:val="28"/>
          <w:szCs w:val="28"/>
        </w:rPr>
        <w:t xml:space="preserve">10.1 Certificación de Destinación y Reporte SICODIS</w:t>
      </w:r>
    </w:p>
    <w:p>
      <w:pPr>
        <w:spacing w:after="60" w:before="40"/>
      </w:pPr>
      <w:r>
        <w:rPr>
          <w:rFonts w:ascii="Arial" w:cs="Arial" w:eastAsia="Arial" w:hAnsi="Arial"/>
          <w:color w:val="1E293B"/>
          <w:sz w:val="22"/>
          <w:szCs w:val="22"/>
        </w:rPr>
        <w:t xml:space="preserve">El sistema debe bloquear cualquier registro presupuestal que intente cruzar recursos de un componente del SGP hacia un rubro de otro sector, y debe generar los reportes trimestrales del Formulario Único Territorial (FUT) y del aplicativo SICODIS del DNP, que certifican el uso correcto de cada peso girado por concepto de SGP.</w:t>
      </w:r>
    </w:p>
    <w:p>
      <w:r>
        <w:br w:type="page"/>
      </w:r>
    </w:p>
    <w:p>
      <w:pPr>
        <w:pStyle w:val="Heading1"/>
        <w:pBdr>
          <w:bottom w:val="single" w:color="1E3A5F" w:sz="8" w:space="4"/>
        </w:pBdr>
        <w:spacing w:after="200" w:before="480"/>
      </w:pPr>
      <w:r>
        <w:rPr>
          <w:rFonts w:ascii="Arial" w:cs="Arial" w:eastAsia="Arial" w:hAnsi="Arial"/>
          <w:b/>
          <w:bCs/>
          <w:color w:val="1E3A5F"/>
          <w:sz w:val="38"/>
          <w:szCs w:val="38"/>
        </w:rPr>
        <w:t xml:space="preserve">Macro-Sistema 11 — Transparencia Proactiva y Control Disciplinario</w:t>
      </w:r>
    </w:p>
    <w:p>
      <w:pPr>
        <w:spacing w:after="80" w:before="80"/>
      </w:pPr>
      <w:r>
        <w:rPr>
          <w:rFonts w:ascii="Arial" w:cs="Arial" w:eastAsia="Arial" w:hAnsi="Arial"/>
          <w:color w:val="1E293B"/>
          <w:sz w:val="22"/>
          <w:szCs w:val="22"/>
        </w:rPr>
        <w:t xml:space="preserve">La auditoría forense del Macro-Sistema 7 detecta anomalías, pero detectar no basta: la ley exige que esas anomalías alimenten procesos disciplinarios formales, y que buena parte de la información de la entidad esté disponible públicamente sin que el ciudadano tenga que pedirla. Este macro-sistema cierra ese ciclo.</w:t>
      </w:r>
    </w:p>
    <w:p>
      <w:pPr>
        <w:pStyle w:val="Heading2"/>
        <w:spacing w:after="140" w:before="320"/>
      </w:pPr>
      <w:r>
        <w:rPr>
          <w:rFonts w:ascii="Arial" w:cs="Arial" w:eastAsia="Arial" w:hAnsi="Arial"/>
          <w:b/>
          <w:bCs/>
          <w:color w:val="1E3A5F"/>
          <w:sz w:val="28"/>
          <w:szCs w:val="28"/>
        </w:rPr>
        <w:t xml:space="preserve">11.1 Portal de Transparencia (Ley 1712 de 2014)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BD5E1" w:sz="1"/>
              <w:left w:val="single" w:color="CBD5E1" w:sz="1"/>
              <w:bottom w:val="single" w:color="CBD5E1" w:sz="1"/>
              <w:right w:val="single" w:color="CBD5E1" w:sz="1"/>
            </w:tcBorders>
            <w:shd w:fill="FEF3C7" w:val="clear"/>
            <w:tcMar>
              <w:top w:type="dxa" w:w="120"/>
              <w:left w:type="dxa" w:w="200"/>
              <w:bottom w:type="dxa" w:w="120"/>
              <w:right w:type="dxa" w:w="200"/>
            </w:tcMar>
          </w:tcPr>
          <w:p>
            <w:r>
              <w:rPr>
                <w:rFonts w:ascii="Arial" w:cs="Arial" w:eastAsia="Arial" w:hAnsi="Arial"/>
                <w:b/>
                <w:bCs/>
                <w:color w:val="B45309"/>
                <w:sz w:val="21"/>
                <w:szCs w:val="21"/>
              </w:rPr>
              <w:t xml:space="preserve">📋 Ley 1712 de 2014 — Ley de Transparencia y del Derecho de Acceso a la Información Pública</w:t>
            </w:r>
          </w:p>
          <w:p>
            <w:pPr>
              <w:spacing w:after="0" w:before="40"/>
            </w:pPr>
            <w:r>
              <w:rPr>
                <w:rFonts w:ascii="Arial" w:cs="Arial" w:eastAsia="Arial" w:hAnsi="Arial"/>
                <w:color w:val="1E293B"/>
                <w:sz w:val="20"/>
                <w:szCs w:val="20"/>
              </w:rPr>
              <w:t xml:space="preserve">Obliga a toda entidad pública a publicar proactivamente, en su sitio web, información mínima sobre estructura, presupuesto, contratación, planta de personal y trámites, sin esperar una solicitud del ciudadano. El incumplimiento es falta disciplinaria y puede derivar en sanciones de los organismos de control.</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560"/>
        <w:gridCol w:w="2400"/>
      </w:tblGrid>
      <w:tr>
        <w:trPr>
          <w:tblHeader/>
        </w:trPr>
        <w:tc>
          <w:tcPr>
            <w:tcW w:type="dxa" w:w="2400"/>
            <w:tcBorders>
              <w:top w:val="single" w:color="CBD5E1" w:sz="1"/>
              <w:left w:val="single" w:color="CBD5E1" w:sz="1"/>
              <w:bottom w:val="single" w:color="CBD5E1" w:sz="1"/>
              <w:right w:val="single" w:color="CBD5E1" w:sz="1"/>
            </w:tcBorders>
            <w:shd w:fill="1E3A5F"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Sección obligatoria</w:t>
            </w:r>
          </w:p>
        </w:tc>
        <w:tc>
          <w:tcPr>
            <w:tcW w:type="dxa" w:w="4560"/>
            <w:tcBorders>
              <w:top w:val="single" w:color="CBD5E1" w:sz="1"/>
              <w:left w:val="single" w:color="CBD5E1" w:sz="1"/>
              <w:bottom w:val="single" w:color="CBD5E1" w:sz="1"/>
              <w:right w:val="single" w:color="CBD5E1" w:sz="1"/>
            </w:tcBorders>
            <w:shd w:fill="1E3A5F"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Contenido a publicar desde MerkaERP</w:t>
            </w:r>
          </w:p>
        </w:tc>
        <w:tc>
          <w:tcPr>
            <w:tcW w:type="dxa" w:w="2400"/>
            <w:tcBorders>
              <w:top w:val="single" w:color="CBD5E1" w:sz="1"/>
              <w:left w:val="single" w:color="CBD5E1" w:sz="1"/>
              <w:bottom w:val="single" w:color="CBD5E1" w:sz="1"/>
              <w:right w:val="single" w:color="CBD5E1" w:sz="1"/>
            </w:tcBorders>
            <w:shd w:fill="1E3A5F"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Periodicidad</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Presupuesto</w:t>
            </w:r>
          </w:p>
        </w:tc>
        <w:tc>
          <w:tcPr>
            <w:tcW w:type="dxa" w:w="4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Presupuesto aprobado, modificaciones y ejecución (ingresos y gastos).</w:t>
            </w:r>
          </w:p>
        </w:tc>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Mensual</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Contratación</w:t>
            </w:r>
          </w:p>
        </w:tc>
        <w:tc>
          <w:tcPr>
            <w:tcW w:type="dxa" w:w="4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Contratos suscritos, cuantía, contratista y estado, con enlace a SECOP II.</w:t>
            </w:r>
          </w:p>
        </w:tc>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Continua</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Talleres de rendición de cuentas</w:t>
            </w:r>
          </w:p>
        </w:tc>
        <w:tc>
          <w:tcPr>
            <w:tcW w:type="dxa" w:w="4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Informes de gestión y metas del PDT (Macro-Sistema 1).</w:t>
            </w:r>
          </w:p>
        </w:tc>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Anual</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Planta de personal</w:t>
            </w:r>
          </w:p>
        </w:tc>
        <w:tc>
          <w:tcPr>
            <w:tcW w:type="dxa" w:w="4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Estructura orgánica, nómina agregada por cargo (sin datos personales sensibles).</w:t>
            </w:r>
          </w:p>
        </w:tc>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Semestral</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Estados financieros</w:t>
            </w:r>
          </w:p>
        </w:tc>
        <w:tc>
          <w:tcPr>
            <w:tcW w:type="dxa" w:w="4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Estados financieros bajo NICSP publicados (Macro-Sistema 2).</w:t>
            </w:r>
          </w:p>
        </w:tc>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Trimestral</w:t>
            </w:r>
          </w:p>
        </w:tc>
      </w:tr>
    </w:tbl>
    <w:p>
      <w:pPr>
        <w:pStyle w:val="Heading2"/>
        <w:spacing w:after="140" w:before="320"/>
      </w:pPr>
      <w:r>
        <w:rPr>
          <w:rFonts w:ascii="Arial" w:cs="Arial" w:eastAsia="Arial" w:hAnsi="Arial"/>
          <w:b/>
          <w:bCs/>
          <w:color w:val="1E3A5F"/>
          <w:sz w:val="28"/>
          <w:szCs w:val="28"/>
        </w:rPr>
        <w:t xml:space="preserve">11.2 Control Interno Disciplinario (Código General Disciplinario)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BD5E1" w:sz="1"/>
              <w:left w:val="single" w:color="CBD5E1" w:sz="1"/>
              <w:bottom w:val="single" w:color="CBD5E1" w:sz="1"/>
              <w:right w:val="single" w:color="CBD5E1" w:sz="1"/>
            </w:tcBorders>
            <w:shd w:fill="FEF3C7" w:val="clear"/>
            <w:tcMar>
              <w:top w:type="dxa" w:w="120"/>
              <w:left w:type="dxa" w:w="200"/>
              <w:bottom w:type="dxa" w:w="120"/>
              <w:right w:type="dxa" w:w="200"/>
            </w:tcMar>
          </w:tcPr>
          <w:p>
            <w:r>
              <w:rPr>
                <w:rFonts w:ascii="Arial" w:cs="Arial" w:eastAsia="Arial" w:hAnsi="Arial"/>
                <w:b/>
                <w:bCs/>
                <w:color w:val="B45309"/>
                <w:sz w:val="21"/>
                <w:szCs w:val="21"/>
              </w:rPr>
              <w:t xml:space="preserve">📋 Ley 1952 de 2019 — Código General Disciplinario</w:t>
            </w:r>
          </w:p>
          <w:p>
            <w:pPr>
              <w:spacing w:after="0" w:before="40"/>
            </w:pPr>
            <w:r>
              <w:rPr>
                <w:rFonts w:ascii="Arial" w:cs="Arial" w:eastAsia="Arial" w:hAnsi="Arial"/>
                <w:color w:val="1E293B"/>
                <w:sz w:val="20"/>
                <w:szCs w:val="20"/>
              </w:rPr>
              <w:t xml:space="preserve">Regula el procedimiento disciplinario aplicable a servidores públicos. El módulo de auditoría forense no puede limitarse a "detectar" anomalías: cuando detecta un hallazgo con apariencia de falta disciplinaria (p. ej. incumplir el flujo CDP→RP→Obligación→Pago, o violar el PAC), debe generar automáticamente un expediente preliminar para la oficina de Control Interno Disciplinario.</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400"/>
        <w:gridCol w:w="2760"/>
      </w:tblGrid>
      <w:tr>
        <w:trPr>
          <w:tblHeader/>
        </w:trPr>
        <w:tc>
          <w:tcPr>
            <w:tcW w:type="dxa" w:w="2200"/>
            <w:tcBorders>
              <w:top w:val="single" w:color="CBD5E1" w:sz="1"/>
              <w:left w:val="single" w:color="CBD5E1" w:sz="1"/>
              <w:bottom w:val="single" w:color="CBD5E1" w:sz="1"/>
              <w:right w:val="single" w:color="CBD5E1" w:sz="1"/>
            </w:tcBorders>
            <w:shd w:fill="1E3A5F"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Función</w:t>
            </w:r>
          </w:p>
        </w:tc>
        <w:tc>
          <w:tcPr>
            <w:tcW w:type="dxa" w:w="4400"/>
            <w:tcBorders>
              <w:top w:val="single" w:color="CBD5E1" w:sz="1"/>
              <w:left w:val="single" w:color="CBD5E1" w:sz="1"/>
              <w:bottom w:val="single" w:color="CBD5E1" w:sz="1"/>
              <w:right w:val="single" w:color="CBD5E1" w:sz="1"/>
            </w:tcBorders>
            <w:shd w:fill="1E3A5F"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Descripción técnica</w:t>
            </w:r>
          </w:p>
        </w:tc>
        <w:tc>
          <w:tcPr>
            <w:tcW w:type="dxa" w:w="2760"/>
            <w:tcBorders>
              <w:top w:val="single" w:color="CBD5E1" w:sz="1"/>
              <w:left w:val="single" w:color="CBD5E1" w:sz="1"/>
              <w:bottom w:val="single" w:color="CBD5E1" w:sz="1"/>
              <w:right w:val="single" w:color="CBD5E1" w:sz="1"/>
            </w:tcBorders>
            <w:shd w:fill="1E3A5F"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Dato clave</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Generación automática de queja preliminar</w:t>
            </w:r>
          </w:p>
        </w:tc>
        <w:tc>
          <w:tcPr>
            <w:tcW w:type="dxa" w:w="4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Toda alerta crítica del módulo de auditoría forense (Macro-Sistema 7) que configure posible falta genera un radicado preliminar dirigido a Control Interno Disciplinario.</w:t>
            </w:r>
          </w:p>
        </w:tc>
        <w:tc>
          <w:tcPr>
            <w:tcW w:type="dxa" w:w="2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No reemplaza el análisis jurídico humano; solo lo alimenta</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Expediente disciplinario</w:t>
            </w:r>
          </w:p>
        </w:tc>
        <w:tc>
          <w:tcPr>
            <w:tcW w:type="dxa" w:w="4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Registro de etapas: indagación preliminar, investigación disciplinaria, cargos, descargos, fallo.</w:t>
            </w:r>
          </w:p>
        </w:tc>
        <w:tc>
          <w:tcPr>
            <w:tcW w:type="dxa" w:w="2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Términos y etapas según Ley 1952/2019</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Reserva del expediente</w:t>
            </w:r>
          </w:p>
        </w:tc>
        <w:tc>
          <w:tcPr>
            <w:tcW w:type="dxa" w:w="4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Acceso restringido por rol; la indagación preliminar es reservada por ley.</w:t>
            </w:r>
          </w:p>
        </w:tc>
        <w:tc>
          <w:tcPr>
            <w:tcW w:type="dxa" w:w="2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Control de permisos estricto (ver Roles y Perfiles)</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Reporte a Procuraduría</w:t>
            </w:r>
          </w:p>
        </w:tc>
        <w:tc>
          <w:tcPr>
            <w:tcW w:type="dxa" w:w="4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Exportación al Sistema de Información Disciplinaria (SID) de la Procuraduría General de la Nación.</w:t>
            </w:r>
          </w:p>
        </w:tc>
        <w:tc>
          <w:tcPr>
            <w:tcW w:type="dxa" w:w="2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Obligatorio para segunda instancia</w:t>
            </w:r>
          </w:p>
        </w:tc>
      </w:tr>
    </w:tbl>
    <w:p>
      <w:r>
        <w:br w:type="page"/>
      </w:r>
    </w:p>
    <w:p>
      <w:pPr>
        <w:pStyle w:val="Heading1"/>
        <w:pBdr>
          <w:bottom w:val="single" w:color="1E3A5F" w:sz="8" w:space="4"/>
        </w:pBdr>
        <w:spacing w:after="200" w:before="480"/>
      </w:pPr>
      <w:r>
        <w:rPr>
          <w:rFonts w:ascii="Arial" w:cs="Arial" w:eastAsia="Arial" w:hAnsi="Arial"/>
          <w:b/>
          <w:bCs/>
          <w:color w:val="1E3A5F"/>
          <w:sz w:val="38"/>
          <w:szCs w:val="38"/>
        </w:rPr>
        <w:t xml:space="preserve">Plan de Implementación por Fases</w:t>
      </w:r>
    </w:p>
    <w:p>
      <w:pPr>
        <w:spacing w:after="80" w:before="80"/>
      </w:pPr>
      <w:r>
        <w:rPr>
          <w:rFonts w:ascii="Arial" w:cs="Arial" w:eastAsia="Arial" w:hAnsi="Arial"/>
          <w:color w:val="1E293B"/>
          <w:sz w:val="22"/>
          <w:szCs w:val="22"/>
        </w:rPr>
        <w:t xml:space="preserve">Dada la complejidad normativa y técnica del sector público, se propone una implementación gradual de 8 fases que permita ir integrando los módulos sin afectar la operación del ERP comercial existente de MerkaERP.</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200"/>
        <w:gridCol w:w="1600"/>
        <w:gridCol w:w="3000"/>
        <w:gridCol w:w="1660"/>
      </w:tblGrid>
      <w:tr>
        <w:trPr>
          <w:tblHeader/>
        </w:trPr>
        <w:tc>
          <w:tcPr>
            <w:tcW w:type="dxa" w:w="900"/>
            <w:tcBorders>
              <w:top w:val="single" w:color="CBD5E1" w:sz="1"/>
              <w:left w:val="single" w:color="CBD5E1" w:sz="1"/>
              <w:bottom w:val="single" w:color="CBD5E1" w:sz="1"/>
              <w:right w:val="single" w:color="CBD5E1" w:sz="1"/>
            </w:tcBorders>
            <w:shd w:fill="1E3A5F"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Fase</w:t>
            </w:r>
          </w:p>
        </w:tc>
        <w:tc>
          <w:tcPr>
            <w:tcW w:type="dxa" w:w="2200"/>
            <w:tcBorders>
              <w:top w:val="single" w:color="CBD5E1" w:sz="1"/>
              <w:left w:val="single" w:color="CBD5E1" w:sz="1"/>
              <w:bottom w:val="single" w:color="CBD5E1" w:sz="1"/>
              <w:right w:val="single" w:color="CBD5E1" w:sz="1"/>
            </w:tcBorders>
            <w:shd w:fill="1E3A5F"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Macro-sistemas</w:t>
            </w:r>
          </w:p>
        </w:tc>
        <w:tc>
          <w:tcPr>
            <w:tcW w:type="dxa" w:w="1600"/>
            <w:tcBorders>
              <w:top w:val="single" w:color="CBD5E1" w:sz="1"/>
              <w:left w:val="single" w:color="CBD5E1" w:sz="1"/>
              <w:bottom w:val="single" w:color="CBD5E1" w:sz="1"/>
              <w:right w:val="single" w:color="CBD5E1" w:sz="1"/>
            </w:tcBorders>
            <w:shd w:fill="1E3A5F"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Duración</w:t>
            </w:r>
          </w:p>
        </w:tc>
        <w:tc>
          <w:tcPr>
            <w:tcW w:type="dxa" w:w="3000"/>
            <w:tcBorders>
              <w:top w:val="single" w:color="CBD5E1" w:sz="1"/>
              <w:left w:val="single" w:color="CBD5E1" w:sz="1"/>
              <w:bottom w:val="single" w:color="CBD5E1" w:sz="1"/>
              <w:right w:val="single" w:color="CBD5E1" w:sz="1"/>
            </w:tcBorders>
            <w:shd w:fill="1E3A5F"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Entregable clave</w:t>
            </w:r>
          </w:p>
        </w:tc>
        <w:tc>
          <w:tcPr>
            <w:tcW w:type="dxa" w:w="1660"/>
            <w:tcBorders>
              <w:top w:val="single" w:color="CBD5E1" w:sz="1"/>
              <w:left w:val="single" w:color="CBD5E1" w:sz="1"/>
              <w:bottom w:val="single" w:color="CBD5E1" w:sz="1"/>
              <w:right w:val="single" w:color="CBD5E1" w:sz="1"/>
            </w:tcBorders>
            <w:shd w:fill="1E3A5F"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Prioridad</w:t>
            </w:r>
          </w:p>
        </w:tc>
      </w:tr>
      <w:tr>
        <w:tc>
          <w:tcPr>
            <w:tcW w:type="dxa" w:w="9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Fase 1</w:t>
            </w:r>
          </w:p>
        </w:tc>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M2: Presupuesto público + PAC</w:t>
            </w:r>
          </w:p>
        </w:tc>
        <w:tc>
          <w:tcPr>
            <w:tcW w:type="dxa" w:w="1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6-8 semanas</w:t>
            </w:r>
          </w:p>
        </w:tc>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Flujo CDP→RP→Obligación→Pago funcional</w:t>
            </w:r>
          </w:p>
        </w:tc>
        <w:tc>
          <w:tcPr>
            <w:tcW w:type="dxa" w:w="16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 Crítica</w:t>
            </w:r>
          </w:p>
        </w:tc>
      </w:tr>
      <w:tr>
        <w:tc>
          <w:tcPr>
            <w:tcW w:type="dxa" w:w="9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Arial" w:cs="Arial" w:eastAsia="Arial" w:hAnsi="Arial"/>
                <w:color w:val="1E293B"/>
                <w:sz w:val="20"/>
                <w:szCs w:val="20"/>
              </w:rPr>
              <w:t xml:space="preserve">Fase 2</w:t>
            </w:r>
          </w:p>
        </w:tc>
        <w:tc>
          <w:tcPr>
            <w:tcW w:type="dxa" w:w="22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Arial" w:cs="Arial" w:eastAsia="Arial" w:hAnsi="Arial"/>
                <w:color w:val="1E293B"/>
                <w:sz w:val="20"/>
                <w:szCs w:val="20"/>
              </w:rPr>
              <w:t xml:space="preserve">M2: Contabilidad NICSP + CGC público</w:t>
            </w:r>
          </w:p>
        </w:tc>
        <w:tc>
          <w:tcPr>
            <w:tcW w:type="dxa" w:w="16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Arial" w:cs="Arial" w:eastAsia="Arial" w:hAnsi="Arial"/>
                <w:color w:val="1E293B"/>
                <w:sz w:val="20"/>
                <w:szCs w:val="20"/>
              </w:rPr>
              <w:t xml:space="preserve">6-8 semanas</w:t>
            </w:r>
          </w:p>
        </w:tc>
        <w:tc>
          <w:tcPr>
            <w:tcW w:type="dxa" w:w="30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Arial" w:cs="Arial" w:eastAsia="Arial" w:hAnsi="Arial"/>
                <w:color w:val="1E293B"/>
                <w:sz w:val="20"/>
                <w:szCs w:val="20"/>
              </w:rPr>
              <w:t xml:space="preserve">Plan de cuentas CGN + asientos automáticos bajo NICSP</w:t>
            </w:r>
          </w:p>
        </w:tc>
        <w:tc>
          <w:tcPr>
            <w:tcW w:type="dxa" w:w="166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Arial" w:cs="Arial" w:eastAsia="Arial" w:hAnsi="Arial"/>
                <w:color w:val="1E293B"/>
                <w:sz w:val="20"/>
                <w:szCs w:val="20"/>
              </w:rPr>
              <w:t xml:space="preserve">🔴 Crítica</w:t>
            </w:r>
          </w:p>
        </w:tc>
      </w:tr>
      <w:tr>
        <w:tc>
          <w:tcPr>
            <w:tcW w:type="dxa" w:w="9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Fase 3</w:t>
            </w:r>
          </w:p>
        </w:tc>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M7: Auditoría forense + CHIP básico</w:t>
            </w:r>
          </w:p>
        </w:tc>
        <w:tc>
          <w:tcPr>
            <w:tcW w:type="dxa" w:w="1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4-5 semanas</w:t>
            </w:r>
          </w:p>
        </w:tc>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Log inalterable + exportación formularios CHIP</w:t>
            </w:r>
          </w:p>
        </w:tc>
        <w:tc>
          <w:tcPr>
            <w:tcW w:type="dxa" w:w="16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 Crítica</w:t>
            </w:r>
          </w:p>
        </w:tc>
      </w:tr>
      <w:tr>
        <w:tc>
          <w:tcPr>
            <w:tcW w:type="dxa" w:w="9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Arial" w:cs="Arial" w:eastAsia="Arial" w:hAnsi="Arial"/>
                <w:color w:val="1E293B"/>
                <w:sz w:val="20"/>
                <w:szCs w:val="20"/>
              </w:rPr>
              <w:t xml:space="preserve">Fase 4</w:t>
            </w:r>
          </w:p>
        </w:tc>
        <w:tc>
          <w:tcPr>
            <w:tcW w:type="dxa" w:w="22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Arial" w:cs="Arial" w:eastAsia="Arial" w:hAnsi="Arial"/>
                <w:color w:val="1E293B"/>
                <w:sz w:val="20"/>
                <w:szCs w:val="20"/>
              </w:rPr>
              <w:t xml:space="preserve">M3: Predial + ICA + intereses moratorios</w:t>
            </w:r>
          </w:p>
        </w:tc>
        <w:tc>
          <w:tcPr>
            <w:tcW w:type="dxa" w:w="16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Arial" w:cs="Arial" w:eastAsia="Arial" w:hAnsi="Arial"/>
                <w:color w:val="1E293B"/>
                <w:sz w:val="20"/>
                <w:szCs w:val="20"/>
              </w:rPr>
              <w:t xml:space="preserve">8-10 semanas</w:t>
            </w:r>
          </w:p>
        </w:tc>
        <w:tc>
          <w:tcPr>
            <w:tcW w:type="dxa" w:w="30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Arial" w:cs="Arial" w:eastAsia="Arial" w:hAnsi="Arial"/>
                <w:color w:val="1E293B"/>
                <w:sz w:val="20"/>
                <w:szCs w:val="20"/>
              </w:rPr>
              <w:t xml:space="preserve">Liquidación masiva predial con importación catastro IGAC</w:t>
            </w:r>
          </w:p>
        </w:tc>
        <w:tc>
          <w:tcPr>
            <w:tcW w:type="dxa" w:w="166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Arial" w:cs="Arial" w:eastAsia="Arial" w:hAnsi="Arial"/>
                <w:color w:val="1E293B"/>
                <w:sz w:val="20"/>
                <w:szCs w:val="20"/>
              </w:rPr>
              <w:t xml:space="preserve">🟠 Alta</w:t>
            </w:r>
          </w:p>
        </w:tc>
      </w:tr>
      <w:tr>
        <w:tc>
          <w:tcPr>
            <w:tcW w:type="dxa" w:w="9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Fase 5</w:t>
            </w:r>
          </w:p>
        </w:tc>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M4: Contratación Pública + SECOP II</w:t>
            </w:r>
          </w:p>
        </w:tc>
        <w:tc>
          <w:tcPr>
            <w:tcW w:type="dxa" w:w="1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8-10 semanas</w:t>
            </w:r>
          </w:p>
        </w:tc>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Ciclo contractual completo + integración API X-Road</w:t>
            </w:r>
          </w:p>
        </w:tc>
        <w:tc>
          <w:tcPr>
            <w:tcW w:type="dxa" w:w="16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 Alta</w:t>
            </w:r>
          </w:p>
        </w:tc>
      </w:tr>
      <w:tr>
        <w:tc>
          <w:tcPr>
            <w:tcW w:type="dxa" w:w="9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Arial" w:cs="Arial" w:eastAsia="Arial" w:hAnsi="Arial"/>
                <w:color w:val="1E293B"/>
                <w:sz w:val="20"/>
                <w:szCs w:val="20"/>
              </w:rPr>
              <w:t xml:space="preserve">Fase 6</w:t>
            </w:r>
          </w:p>
        </w:tc>
        <w:tc>
          <w:tcPr>
            <w:tcW w:type="dxa" w:w="22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Arial" w:cs="Arial" w:eastAsia="Arial" w:hAnsi="Arial"/>
                <w:color w:val="1E293B"/>
                <w:sz w:val="20"/>
                <w:szCs w:val="20"/>
              </w:rPr>
              <w:t xml:space="preserve">M5: Nómina Pública + PILA + retroactivos</w:t>
            </w:r>
          </w:p>
        </w:tc>
        <w:tc>
          <w:tcPr>
            <w:tcW w:type="dxa" w:w="16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Arial" w:cs="Arial" w:eastAsia="Arial" w:hAnsi="Arial"/>
                <w:color w:val="1E293B"/>
                <w:sz w:val="20"/>
                <w:szCs w:val="20"/>
              </w:rPr>
              <w:t xml:space="preserve">6-8 semanas</w:t>
            </w:r>
          </w:p>
        </w:tc>
        <w:tc>
          <w:tcPr>
            <w:tcW w:type="dxa" w:w="30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Arial" w:cs="Arial" w:eastAsia="Arial" w:hAnsi="Arial"/>
                <w:color w:val="1E293B"/>
                <w:sz w:val="20"/>
                <w:szCs w:val="20"/>
              </w:rPr>
              <w:t xml:space="preserve">Liquidación con 6 regímenes + archivo PILA + retroactivos</w:t>
            </w:r>
          </w:p>
        </w:tc>
        <w:tc>
          <w:tcPr>
            <w:tcW w:type="dxa" w:w="166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Arial" w:cs="Arial" w:eastAsia="Arial" w:hAnsi="Arial"/>
                <w:color w:val="1E293B"/>
                <w:sz w:val="20"/>
                <w:szCs w:val="20"/>
              </w:rPr>
              <w:t xml:space="preserve">🟠 Alta</w:t>
            </w:r>
          </w:p>
        </w:tc>
      </w:tr>
      <w:tr>
        <w:tc>
          <w:tcPr>
            <w:tcW w:type="dxa" w:w="9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Fase 7</w:t>
            </w:r>
          </w:p>
        </w:tc>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M1: Planeación + MGA + PDT</w:t>
            </w:r>
          </w:p>
        </w:tc>
        <w:tc>
          <w:tcPr>
            <w:tcW w:type="dxa" w:w="1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5-6 semanas</w:t>
            </w:r>
          </w:p>
        </w:tc>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Banco de proyectos + trazabilidad plan-presupuesto</w:t>
            </w:r>
          </w:p>
        </w:tc>
        <w:tc>
          <w:tcPr>
            <w:tcW w:type="dxa" w:w="16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 Media</w:t>
            </w:r>
          </w:p>
        </w:tc>
      </w:tr>
      <w:tr>
        <w:tc>
          <w:tcPr>
            <w:tcW w:type="dxa" w:w="9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Arial" w:cs="Arial" w:eastAsia="Arial" w:hAnsi="Arial"/>
                <w:color w:val="1E293B"/>
                <w:sz w:val="20"/>
                <w:szCs w:val="20"/>
              </w:rPr>
              <w:t xml:space="preserve">Fase 8</w:t>
            </w:r>
          </w:p>
        </w:tc>
        <w:tc>
          <w:tcPr>
            <w:tcW w:type="dxa" w:w="22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Arial" w:cs="Arial" w:eastAsia="Arial" w:hAnsi="Arial"/>
                <w:color w:val="1E293B"/>
                <w:sz w:val="20"/>
                <w:szCs w:val="20"/>
              </w:rPr>
              <w:t xml:space="preserve">M6: Activos del Estado + cobro coactivo + FUT completo</w:t>
            </w:r>
          </w:p>
        </w:tc>
        <w:tc>
          <w:tcPr>
            <w:tcW w:type="dxa" w:w="16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Arial" w:cs="Arial" w:eastAsia="Arial" w:hAnsi="Arial"/>
                <w:color w:val="1E293B"/>
                <w:sz w:val="20"/>
                <w:szCs w:val="20"/>
              </w:rPr>
              <w:t xml:space="preserve">6-8 semanas</w:t>
            </w:r>
          </w:p>
        </w:tc>
        <w:tc>
          <w:tcPr>
            <w:tcW w:type="dxa" w:w="30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Arial" w:cs="Arial" w:eastAsia="Arial" w:hAnsi="Arial"/>
                <w:color w:val="1E293B"/>
                <w:sz w:val="20"/>
                <w:szCs w:val="20"/>
              </w:rPr>
              <w:t xml:space="preserve">Depreciación NICSP 17 + expedientes coactivos + todos los reportes</w:t>
            </w:r>
          </w:p>
        </w:tc>
        <w:tc>
          <w:tcPr>
            <w:tcW w:type="dxa" w:w="166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Arial" w:cs="Arial" w:eastAsia="Arial" w:hAnsi="Arial"/>
                <w:color w:val="1E293B"/>
                <w:sz w:val="20"/>
                <w:szCs w:val="20"/>
              </w:rPr>
              <w:t xml:space="preserve">🟡 Media</w:t>
            </w:r>
          </w:p>
        </w:tc>
      </w:tr>
    </w:tbl>
    <w:p>
      <w:pPr>
        <w:spacing w:after="0" w:before="80"/>
      </w:pPr>
      <w:r>
        <w:t xml:space="preserve"/>
      </w:r>
    </w:p>
    <w:p>
      <w:pPr>
        <w:pStyle w:val="Heading2"/>
        <w:spacing w:after="140" w:before="320"/>
      </w:pPr>
      <w:r>
        <w:rPr>
          <w:rFonts w:ascii="Arial" w:cs="Arial" w:eastAsia="Arial" w:hAnsi="Arial"/>
          <w:b/>
          <w:bCs/>
          <w:color w:val="1E3A5F"/>
          <w:sz w:val="28"/>
          <w:szCs w:val="28"/>
        </w:rPr>
        <w:t xml:space="preserve">Resumen de Módulos a Crear / Modificar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600"/>
        <w:gridCol w:w="1400"/>
        <w:gridCol w:w="3160"/>
      </w:tblGrid>
      <w:tr>
        <w:trPr>
          <w:tblHeader/>
        </w:trPr>
        <w:tc>
          <w:tcPr>
            <w:tcW w:type="dxa" w:w="3200"/>
            <w:tcBorders>
              <w:top w:val="single" w:color="CBD5E1" w:sz="1"/>
              <w:left w:val="single" w:color="CBD5E1" w:sz="1"/>
              <w:bottom w:val="single" w:color="CBD5E1" w:sz="1"/>
              <w:right w:val="single" w:color="CBD5E1" w:sz="1"/>
            </w:tcBorders>
            <w:shd w:fill="1E3A5F"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Módulo</w:t>
            </w:r>
          </w:p>
        </w:tc>
        <w:tc>
          <w:tcPr>
            <w:tcW w:type="dxa" w:w="1600"/>
            <w:tcBorders>
              <w:top w:val="single" w:color="CBD5E1" w:sz="1"/>
              <w:left w:val="single" w:color="CBD5E1" w:sz="1"/>
              <w:bottom w:val="single" w:color="CBD5E1" w:sz="1"/>
              <w:right w:val="single" w:color="CBD5E1" w:sz="1"/>
            </w:tcBorders>
            <w:shd w:fill="1E3A5F"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Archivos Flutter</w:t>
            </w:r>
          </w:p>
        </w:tc>
        <w:tc>
          <w:tcPr>
            <w:tcW w:type="dxa" w:w="1400"/>
            <w:tcBorders>
              <w:top w:val="single" w:color="CBD5E1" w:sz="1"/>
              <w:left w:val="single" w:color="CBD5E1" w:sz="1"/>
              <w:bottom w:val="single" w:color="CBD5E1" w:sz="1"/>
              <w:right w:val="single" w:color="CBD5E1" w:sz="1"/>
            </w:tcBorders>
            <w:shd w:fill="1E3A5F"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Complejidad</w:t>
            </w:r>
          </w:p>
        </w:tc>
        <w:tc>
          <w:tcPr>
            <w:tcW w:type="dxa" w:w="3160"/>
            <w:tcBorders>
              <w:top w:val="single" w:color="CBD5E1" w:sz="1"/>
              <w:left w:val="single" w:color="CBD5E1" w:sz="1"/>
              <w:bottom w:val="single" w:color="CBD5E1" w:sz="1"/>
              <w:right w:val="single" w:color="CBD5E1" w:sz="1"/>
            </w:tcBorders>
            <w:shd w:fill="1E3A5F"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Normativa principal</w:t>
            </w:r>
          </w:p>
        </w:tc>
      </w:tr>
      <w:tr>
        <w:tc>
          <w:tcPr>
            <w:tcW w:type="dxa" w:w="3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presupuesto_publico_page.dart</w:t>
            </w:r>
          </w:p>
        </w:tc>
        <w:tc>
          <w:tcPr>
            <w:tcW w:type="dxa" w:w="1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8-12 archivos</w:t>
            </w:r>
          </w:p>
        </w:tc>
        <w:tc>
          <w:tcPr>
            <w:tcW w:type="dxa" w:w="1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 Muy Alta</w:t>
            </w:r>
          </w:p>
        </w:tc>
        <w:tc>
          <w:tcPr>
            <w:tcW w:type="dxa" w:w="3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Decreto 111/1996, EOP</w:t>
            </w:r>
          </w:p>
        </w:tc>
      </w:tr>
      <w:tr>
        <w:tc>
          <w:tcPr>
            <w:tcW w:type="dxa" w:w="32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Arial" w:cs="Arial" w:eastAsia="Arial" w:hAnsi="Arial"/>
                <w:color w:val="1E293B"/>
                <w:sz w:val="20"/>
                <w:szCs w:val="20"/>
              </w:rPr>
              <w:t xml:space="preserve">pac_tesoreria_page.dart</w:t>
            </w:r>
          </w:p>
        </w:tc>
        <w:tc>
          <w:tcPr>
            <w:tcW w:type="dxa" w:w="16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Arial" w:cs="Arial" w:eastAsia="Arial" w:hAnsi="Arial"/>
                <w:color w:val="1E293B"/>
                <w:sz w:val="20"/>
                <w:szCs w:val="20"/>
              </w:rPr>
              <w:t xml:space="preserve">5-7 archivos</w:t>
            </w:r>
          </w:p>
        </w:tc>
        <w:tc>
          <w:tcPr>
            <w:tcW w:type="dxa" w:w="14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Arial" w:cs="Arial" w:eastAsia="Arial" w:hAnsi="Arial"/>
                <w:color w:val="1E293B"/>
                <w:sz w:val="20"/>
                <w:szCs w:val="20"/>
              </w:rPr>
              <w:t xml:space="preserve">🔴 Alta</w:t>
            </w:r>
          </w:p>
        </w:tc>
        <w:tc>
          <w:tcPr>
            <w:tcW w:type="dxa" w:w="316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Arial" w:cs="Arial" w:eastAsia="Arial" w:hAnsi="Arial"/>
                <w:color w:val="1E293B"/>
                <w:sz w:val="20"/>
                <w:szCs w:val="20"/>
              </w:rPr>
              <w:t xml:space="preserve">Art. 74-76 Decreto 111/1996</w:t>
            </w:r>
          </w:p>
        </w:tc>
      </w:tr>
      <w:tr>
        <w:tc>
          <w:tcPr>
            <w:tcW w:type="dxa" w:w="3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contabilidad_nicsp_page.dart</w:t>
            </w:r>
          </w:p>
        </w:tc>
        <w:tc>
          <w:tcPr>
            <w:tcW w:type="dxa" w:w="1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10-15 archivos</w:t>
            </w:r>
          </w:p>
        </w:tc>
        <w:tc>
          <w:tcPr>
            <w:tcW w:type="dxa" w:w="1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 Muy Alta</w:t>
            </w:r>
          </w:p>
        </w:tc>
        <w:tc>
          <w:tcPr>
            <w:tcW w:type="dxa" w:w="3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Resolución 533/2015 CGN</w:t>
            </w:r>
          </w:p>
        </w:tc>
      </w:tr>
      <w:tr>
        <w:tc>
          <w:tcPr>
            <w:tcW w:type="dxa" w:w="32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Arial" w:cs="Arial" w:eastAsia="Arial" w:hAnsi="Arial"/>
                <w:color w:val="1E293B"/>
                <w:sz w:val="20"/>
                <w:szCs w:val="20"/>
              </w:rPr>
              <w:t xml:space="preserve">predial_ica_page.dart</w:t>
            </w:r>
          </w:p>
        </w:tc>
        <w:tc>
          <w:tcPr>
            <w:tcW w:type="dxa" w:w="16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Arial" w:cs="Arial" w:eastAsia="Arial" w:hAnsi="Arial"/>
                <w:color w:val="1E293B"/>
                <w:sz w:val="20"/>
                <w:szCs w:val="20"/>
              </w:rPr>
              <w:t xml:space="preserve">12-16 archivos</w:t>
            </w:r>
          </w:p>
        </w:tc>
        <w:tc>
          <w:tcPr>
            <w:tcW w:type="dxa" w:w="14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Arial" w:cs="Arial" w:eastAsia="Arial" w:hAnsi="Arial"/>
                <w:color w:val="1E293B"/>
                <w:sz w:val="20"/>
                <w:szCs w:val="20"/>
              </w:rPr>
              <w:t xml:space="preserve">🔴 Alta</w:t>
            </w:r>
          </w:p>
        </w:tc>
        <w:tc>
          <w:tcPr>
            <w:tcW w:type="dxa" w:w="316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Arial" w:cs="Arial" w:eastAsia="Arial" w:hAnsi="Arial"/>
                <w:color w:val="1E293B"/>
                <w:sz w:val="20"/>
                <w:szCs w:val="20"/>
              </w:rPr>
              <w:t xml:space="preserve">Ley 44/1990, Art. 635 ET</w:t>
            </w:r>
          </w:p>
        </w:tc>
      </w:tr>
      <w:tr>
        <w:tc>
          <w:tcPr>
            <w:tcW w:type="dxa" w:w="3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cobro_coactivo_page.dart</w:t>
            </w:r>
          </w:p>
        </w:tc>
        <w:tc>
          <w:tcPr>
            <w:tcW w:type="dxa" w:w="1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6-8 archivos</w:t>
            </w:r>
          </w:p>
        </w:tc>
        <w:tc>
          <w:tcPr>
            <w:tcW w:type="dxa" w:w="1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 Alta</w:t>
            </w:r>
          </w:p>
        </w:tc>
        <w:tc>
          <w:tcPr>
            <w:tcW w:type="dxa" w:w="3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Arts. 823-843 ET</w:t>
            </w:r>
          </w:p>
        </w:tc>
      </w:tr>
      <w:tr>
        <w:tc>
          <w:tcPr>
            <w:tcW w:type="dxa" w:w="32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Arial" w:cs="Arial" w:eastAsia="Arial" w:hAnsi="Arial"/>
                <w:color w:val="1E293B"/>
                <w:sz w:val="20"/>
                <w:szCs w:val="20"/>
              </w:rPr>
              <w:t xml:space="preserve">contratacion_publica_page.dart</w:t>
            </w:r>
          </w:p>
        </w:tc>
        <w:tc>
          <w:tcPr>
            <w:tcW w:type="dxa" w:w="16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Arial" w:cs="Arial" w:eastAsia="Arial" w:hAnsi="Arial"/>
                <w:color w:val="1E293B"/>
                <w:sz w:val="20"/>
                <w:szCs w:val="20"/>
              </w:rPr>
              <w:t xml:space="preserve">15-20 archivos</w:t>
            </w:r>
          </w:p>
        </w:tc>
        <w:tc>
          <w:tcPr>
            <w:tcW w:type="dxa" w:w="14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Arial" w:cs="Arial" w:eastAsia="Arial" w:hAnsi="Arial"/>
                <w:color w:val="1E293B"/>
                <w:sz w:val="20"/>
                <w:szCs w:val="20"/>
              </w:rPr>
              <w:t xml:space="preserve">🔴 Muy Alta</w:t>
            </w:r>
          </w:p>
        </w:tc>
        <w:tc>
          <w:tcPr>
            <w:tcW w:type="dxa" w:w="316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Arial" w:cs="Arial" w:eastAsia="Arial" w:hAnsi="Arial"/>
                <w:color w:val="1E293B"/>
                <w:sz w:val="20"/>
                <w:szCs w:val="20"/>
              </w:rPr>
              <w:t xml:space="preserve">Ley 80/1993, Ley 1150/2007</w:t>
            </w:r>
          </w:p>
        </w:tc>
      </w:tr>
      <w:tr>
        <w:tc>
          <w:tcPr>
            <w:tcW w:type="dxa" w:w="3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secop_integration_service.dart</w:t>
            </w:r>
          </w:p>
        </w:tc>
        <w:tc>
          <w:tcPr>
            <w:tcW w:type="dxa" w:w="1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4-6 archivos</w:t>
            </w:r>
          </w:p>
        </w:tc>
        <w:tc>
          <w:tcPr>
            <w:tcW w:type="dxa" w:w="1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 Alta</w:t>
            </w:r>
          </w:p>
        </w:tc>
        <w:tc>
          <w:tcPr>
            <w:tcW w:type="dxa" w:w="3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Circular CCE Única 2022</w:t>
            </w:r>
          </w:p>
        </w:tc>
      </w:tr>
      <w:tr>
        <w:tc>
          <w:tcPr>
            <w:tcW w:type="dxa" w:w="32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Arial" w:cs="Arial" w:eastAsia="Arial" w:hAnsi="Arial"/>
                <w:color w:val="1E293B"/>
                <w:sz w:val="20"/>
                <w:szCs w:val="20"/>
              </w:rPr>
              <w:t xml:space="preserve">nomina_publica_page.dart</w:t>
            </w:r>
          </w:p>
        </w:tc>
        <w:tc>
          <w:tcPr>
            <w:tcW w:type="dxa" w:w="16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Arial" w:cs="Arial" w:eastAsia="Arial" w:hAnsi="Arial"/>
                <w:color w:val="1E293B"/>
                <w:sz w:val="20"/>
                <w:szCs w:val="20"/>
              </w:rPr>
              <w:t xml:space="preserve">10-14 archivos</w:t>
            </w:r>
          </w:p>
        </w:tc>
        <w:tc>
          <w:tcPr>
            <w:tcW w:type="dxa" w:w="14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Arial" w:cs="Arial" w:eastAsia="Arial" w:hAnsi="Arial"/>
                <w:color w:val="1E293B"/>
                <w:sz w:val="20"/>
                <w:szCs w:val="20"/>
              </w:rPr>
              <w:t xml:space="preserve">🔴 Muy Alta</w:t>
            </w:r>
          </w:p>
        </w:tc>
        <w:tc>
          <w:tcPr>
            <w:tcW w:type="dxa" w:w="316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Arial" w:cs="Arial" w:eastAsia="Arial" w:hAnsi="Arial"/>
                <w:color w:val="1E293B"/>
                <w:sz w:val="20"/>
                <w:szCs w:val="20"/>
              </w:rPr>
              <w:t xml:space="preserve">Decreto 1042/1978, Ley 4/1992</w:t>
            </w:r>
          </w:p>
        </w:tc>
      </w:tr>
      <w:tr>
        <w:tc>
          <w:tcPr>
            <w:tcW w:type="dxa" w:w="3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retroactivos_service.dart</w:t>
            </w:r>
          </w:p>
        </w:tc>
        <w:tc>
          <w:tcPr>
            <w:tcW w:type="dxa" w:w="1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3-4 archivos</w:t>
            </w:r>
          </w:p>
        </w:tc>
        <w:tc>
          <w:tcPr>
            <w:tcW w:type="dxa" w:w="1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 Alta</w:t>
            </w:r>
          </w:p>
        </w:tc>
        <w:tc>
          <w:tcPr>
            <w:tcW w:type="dxa" w:w="3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Decreto 312/2026</w:t>
            </w:r>
          </w:p>
        </w:tc>
      </w:tr>
      <w:tr>
        <w:tc>
          <w:tcPr>
            <w:tcW w:type="dxa" w:w="32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Arial" w:cs="Arial" w:eastAsia="Arial" w:hAnsi="Arial"/>
                <w:color w:val="1E293B"/>
                <w:sz w:val="20"/>
                <w:szCs w:val="20"/>
              </w:rPr>
              <w:t xml:space="preserve">activos_estado_page.dart</w:t>
            </w:r>
          </w:p>
        </w:tc>
        <w:tc>
          <w:tcPr>
            <w:tcW w:type="dxa" w:w="16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Arial" w:cs="Arial" w:eastAsia="Arial" w:hAnsi="Arial"/>
                <w:color w:val="1E293B"/>
                <w:sz w:val="20"/>
                <w:szCs w:val="20"/>
              </w:rPr>
              <w:t xml:space="preserve">6-8 archivos</w:t>
            </w:r>
          </w:p>
        </w:tc>
        <w:tc>
          <w:tcPr>
            <w:tcW w:type="dxa" w:w="14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Arial" w:cs="Arial" w:eastAsia="Arial" w:hAnsi="Arial"/>
                <w:color w:val="1E293B"/>
                <w:sz w:val="20"/>
                <w:szCs w:val="20"/>
              </w:rPr>
              <w:t xml:space="preserve">🟠 Media</w:t>
            </w:r>
          </w:p>
        </w:tc>
        <w:tc>
          <w:tcPr>
            <w:tcW w:type="dxa" w:w="316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Arial" w:cs="Arial" w:eastAsia="Arial" w:hAnsi="Arial"/>
                <w:color w:val="1E293B"/>
                <w:sz w:val="20"/>
                <w:szCs w:val="20"/>
              </w:rPr>
              <w:t xml:space="preserve">NICSP 17, Res. 533/2015</w:t>
            </w:r>
          </w:p>
        </w:tc>
      </w:tr>
      <w:tr>
        <w:tc>
          <w:tcPr>
            <w:tcW w:type="dxa" w:w="3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planeacion_pdt_page.dart</w:t>
            </w:r>
          </w:p>
        </w:tc>
        <w:tc>
          <w:tcPr>
            <w:tcW w:type="dxa" w:w="1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5-7 archivos</w:t>
            </w:r>
          </w:p>
        </w:tc>
        <w:tc>
          <w:tcPr>
            <w:tcW w:type="dxa" w:w="1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 Media</w:t>
            </w:r>
          </w:p>
        </w:tc>
        <w:tc>
          <w:tcPr>
            <w:tcW w:type="dxa" w:w="3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Ley 152/1994, MGA DNP</w:t>
            </w:r>
          </w:p>
        </w:tc>
      </w:tr>
      <w:tr>
        <w:tc>
          <w:tcPr>
            <w:tcW w:type="dxa" w:w="32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Arial" w:cs="Arial" w:eastAsia="Arial" w:hAnsi="Arial"/>
                <w:color w:val="1E293B"/>
                <w:sz w:val="20"/>
                <w:szCs w:val="20"/>
              </w:rPr>
              <w:t xml:space="preserve">auditoria_forense_service.dart</w:t>
            </w:r>
          </w:p>
        </w:tc>
        <w:tc>
          <w:tcPr>
            <w:tcW w:type="dxa" w:w="16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Arial" w:cs="Arial" w:eastAsia="Arial" w:hAnsi="Arial"/>
                <w:color w:val="1E293B"/>
                <w:sz w:val="20"/>
                <w:szCs w:val="20"/>
              </w:rPr>
              <w:t xml:space="preserve">4-5 archivos</w:t>
            </w:r>
          </w:p>
        </w:tc>
        <w:tc>
          <w:tcPr>
            <w:tcW w:type="dxa" w:w="14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Arial" w:cs="Arial" w:eastAsia="Arial" w:hAnsi="Arial"/>
                <w:color w:val="1E293B"/>
                <w:sz w:val="20"/>
                <w:szCs w:val="20"/>
              </w:rPr>
              <w:t xml:space="preserve">🔴 Alta</w:t>
            </w:r>
          </w:p>
        </w:tc>
        <w:tc>
          <w:tcPr>
            <w:tcW w:type="dxa" w:w="316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Arial" w:cs="Arial" w:eastAsia="Arial" w:hAnsi="Arial"/>
                <w:color w:val="1E293B"/>
                <w:sz w:val="20"/>
                <w:szCs w:val="20"/>
              </w:rPr>
              <w:t xml:space="preserve">Ley 87/1993, Ley 1474/2011</w:t>
            </w:r>
          </w:p>
        </w:tc>
      </w:tr>
      <w:tr>
        <w:tc>
          <w:tcPr>
            <w:tcW w:type="dxa" w:w="3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chip_reporter_service.dart</w:t>
            </w:r>
          </w:p>
        </w:tc>
        <w:tc>
          <w:tcPr>
            <w:tcW w:type="dxa" w:w="1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6-8 archivos</w:t>
            </w:r>
          </w:p>
        </w:tc>
        <w:tc>
          <w:tcPr>
            <w:tcW w:type="dxa" w:w="1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 Alta</w:t>
            </w:r>
          </w:p>
        </w:tc>
        <w:tc>
          <w:tcPr>
            <w:tcW w:type="dxa" w:w="3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Circular CGN 001/2024</w:t>
            </w:r>
          </w:p>
        </w:tc>
      </w:tr>
      <w:tr>
        <w:tc>
          <w:tcPr>
            <w:tcW w:type="dxa" w:w="32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Arial" w:cs="Arial" w:eastAsia="Arial" w:hAnsi="Arial"/>
                <w:color w:val="1E293B"/>
                <w:sz w:val="20"/>
                <w:szCs w:val="20"/>
              </w:rPr>
              <w:t xml:space="preserve">fut_reporter_service.dart</w:t>
            </w:r>
          </w:p>
        </w:tc>
        <w:tc>
          <w:tcPr>
            <w:tcW w:type="dxa" w:w="16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Arial" w:cs="Arial" w:eastAsia="Arial" w:hAnsi="Arial"/>
                <w:color w:val="1E293B"/>
                <w:sz w:val="20"/>
                <w:szCs w:val="20"/>
              </w:rPr>
              <w:t xml:space="preserve">4-5 archivos</w:t>
            </w:r>
          </w:p>
        </w:tc>
        <w:tc>
          <w:tcPr>
            <w:tcW w:type="dxa" w:w="14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Arial" w:cs="Arial" w:eastAsia="Arial" w:hAnsi="Arial"/>
                <w:color w:val="1E293B"/>
                <w:sz w:val="20"/>
                <w:szCs w:val="20"/>
              </w:rPr>
              <w:t xml:space="preserve">🟠 Alta</w:t>
            </w:r>
          </w:p>
        </w:tc>
        <w:tc>
          <w:tcPr>
            <w:tcW w:type="dxa" w:w="316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Arial" w:cs="Arial" w:eastAsia="Arial" w:hAnsi="Arial"/>
                <w:color w:val="1E293B"/>
                <w:sz w:val="20"/>
                <w:szCs w:val="20"/>
              </w:rPr>
              <w:t xml:space="preserve">Resolución DNP-Minhacienda</w:t>
            </w:r>
          </w:p>
        </w:tc>
      </w:tr>
      <w:tr>
        <w:tc>
          <w:tcPr>
            <w:tcW w:type="dxa" w:w="3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pila_publico_service.dart</w:t>
            </w:r>
          </w:p>
        </w:tc>
        <w:tc>
          <w:tcPr>
            <w:tcW w:type="dxa" w:w="1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3-4 archivos</w:t>
            </w:r>
          </w:p>
        </w:tc>
        <w:tc>
          <w:tcPr>
            <w:tcW w:type="dxa" w:w="1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 Media</w:t>
            </w:r>
          </w:p>
        </w:tc>
        <w:tc>
          <w:tcPr>
            <w:tcW w:type="dxa" w:w="3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PILA + regímenes especiales</w:t>
            </w:r>
          </w:p>
        </w:tc>
      </w:tr>
      <w:tr>
        <w:tc>
          <w:tcPr>
            <w:tcW w:type="dxa" w:w="3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facturacion_salud_page.dart</w:t>
            </w:r>
          </w:p>
        </w:tc>
        <w:tc>
          <w:tcPr>
            <w:tcW w:type="dxa" w:w="1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8-10 archivos</w:t>
            </w:r>
          </w:p>
        </w:tc>
        <w:tc>
          <w:tcPr>
            <w:tcW w:type="dxa" w:w="1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 Muy Alta</w:t>
            </w:r>
          </w:p>
        </w:tc>
        <w:tc>
          <w:tcPr>
            <w:tcW w:type="dxa" w:w="3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Res. 3374/2000, Res. 2275/2023 (RIPS)</w:t>
            </w:r>
          </w:p>
        </w:tc>
      </w:tr>
      <w:tr>
        <w:tc>
          <w:tcPr>
            <w:tcW w:type="dxa" w:w="3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glosas_conciliacion_service.dart</w:t>
            </w:r>
          </w:p>
        </w:tc>
        <w:tc>
          <w:tcPr>
            <w:tcW w:type="dxa" w:w="1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4-6 archivos</w:t>
            </w:r>
          </w:p>
        </w:tc>
        <w:tc>
          <w:tcPr>
            <w:tcW w:type="dxa" w:w="1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 Alta</w:t>
            </w:r>
          </w:p>
        </w:tc>
        <w:tc>
          <w:tcPr>
            <w:tcW w:type="dxa" w:w="3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Decreto 4747/2007, Res. 3047/2008</w:t>
            </w:r>
          </w:p>
        </w:tc>
      </w:tr>
      <w:tr>
        <w:tc>
          <w:tcPr>
            <w:tcW w:type="dxa" w:w="3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sgr_regalias_page.dart</w:t>
            </w:r>
          </w:p>
        </w:tc>
        <w:tc>
          <w:tcPr>
            <w:tcW w:type="dxa" w:w="1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6-8 archivos</w:t>
            </w:r>
          </w:p>
        </w:tc>
        <w:tc>
          <w:tcPr>
            <w:tcW w:type="dxa" w:w="1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 Alta</w:t>
            </w:r>
          </w:p>
        </w:tc>
        <w:tc>
          <w:tcPr>
            <w:tcW w:type="dxa" w:w="3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Ley 2056/2020, Decreto 1821/2020 (SPGR)</w:t>
            </w:r>
          </w:p>
        </w:tc>
      </w:tr>
      <w:tr>
        <w:tc>
          <w:tcPr>
            <w:tcW w:type="dxa" w:w="3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sgp_page.dart</w:t>
            </w:r>
          </w:p>
        </w:tc>
        <w:tc>
          <w:tcPr>
            <w:tcW w:type="dxa" w:w="1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5-7 archivos</w:t>
            </w:r>
          </w:p>
        </w:tc>
        <w:tc>
          <w:tcPr>
            <w:tcW w:type="dxa" w:w="1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 Alta</w:t>
            </w:r>
          </w:p>
        </w:tc>
        <w:tc>
          <w:tcPr>
            <w:tcW w:type="dxa" w:w="3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Ley 715/2001, Acto Legislativo 04/2007</w:t>
            </w:r>
          </w:p>
        </w:tc>
      </w:tr>
      <w:tr>
        <w:tc>
          <w:tcPr>
            <w:tcW w:type="dxa" w:w="3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portal_transparencia_service.dart</w:t>
            </w:r>
          </w:p>
        </w:tc>
        <w:tc>
          <w:tcPr>
            <w:tcW w:type="dxa" w:w="1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4-5 archivos</w:t>
            </w:r>
          </w:p>
        </w:tc>
        <w:tc>
          <w:tcPr>
            <w:tcW w:type="dxa" w:w="1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 Media</w:t>
            </w:r>
          </w:p>
        </w:tc>
        <w:tc>
          <w:tcPr>
            <w:tcW w:type="dxa" w:w="3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Ley 1712/2014</w:t>
            </w:r>
          </w:p>
        </w:tc>
      </w:tr>
      <w:tr>
        <w:tc>
          <w:tcPr>
            <w:tcW w:type="dxa" w:w="3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disciplinario_service.dart</w:t>
            </w:r>
          </w:p>
        </w:tc>
        <w:tc>
          <w:tcPr>
            <w:tcW w:type="dxa" w:w="1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4-6 archivos</w:t>
            </w:r>
          </w:p>
        </w:tc>
        <w:tc>
          <w:tcPr>
            <w:tcW w:type="dxa" w:w="1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 Alta</w:t>
            </w:r>
          </w:p>
        </w:tc>
        <w:tc>
          <w:tcPr>
            <w:tcW w:type="dxa" w:w="3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Ley 1952/2019 (Código General Disciplinario)</w:t>
            </w:r>
          </w:p>
        </w:tc>
      </w:tr>
      <w:tr>
        <w:tc>
          <w:tcPr>
            <w:tcW w:type="dxa" w:w="3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consolidacion_nicsp40_service.dart</w:t>
            </w:r>
          </w:p>
        </w:tc>
        <w:tc>
          <w:tcPr>
            <w:tcW w:type="dxa" w:w="1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6-8 archivos</w:t>
            </w:r>
          </w:p>
        </w:tc>
        <w:tc>
          <w:tcPr>
            <w:tcW w:type="dxa" w:w="1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 Muy Alta</w:t>
            </w:r>
          </w:p>
        </w:tc>
        <w:tc>
          <w:tcPr>
            <w:tcW w:type="dxa" w:w="3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NICSP 40</w:t>
            </w:r>
          </w:p>
        </w:tc>
      </w:tr>
      <w:tr>
        <w:tc>
          <w:tcPr>
            <w:tcW w:type="dxa" w:w="3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migracion_datos_service.dart</w:t>
            </w:r>
          </w:p>
        </w:tc>
        <w:tc>
          <w:tcPr>
            <w:tcW w:type="dxa" w:w="1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5-7 archivos</w:t>
            </w:r>
          </w:p>
        </w:tc>
        <w:tc>
          <w:tcPr>
            <w:tcW w:type="dxa" w:w="1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 Alta</w:t>
            </w:r>
          </w:p>
        </w:tc>
        <w:tc>
          <w:tcPr>
            <w:tcW w:type="dxa" w:w="3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N/A — proyecto de implementación</w:t>
            </w:r>
          </w:p>
        </w:tc>
      </w:tr>
      <w:tr>
        <w:tc>
          <w:tcPr>
            <w:tcW w:type="dxa" w:w="3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roles_permisos_service.dart</w:t>
            </w:r>
          </w:p>
        </w:tc>
        <w:tc>
          <w:tcPr>
            <w:tcW w:type="dxa" w:w="1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3-5 archivos</w:t>
            </w:r>
          </w:p>
        </w:tc>
        <w:tc>
          <w:tcPr>
            <w:tcW w:type="dxa" w:w="1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 Media</w:t>
            </w:r>
          </w:p>
        </w:tc>
        <w:tc>
          <w:tcPr>
            <w:tcW w:type="dxa" w:w="3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Segregación de funciones sector público</w:t>
            </w:r>
          </w:p>
        </w:tc>
      </w:tr>
    </w:tbl>
    <w:p>
      <w:r>
        <w:br w:type="page"/>
      </w:r>
    </w:p>
    <w:p>
      <w:pPr>
        <w:pStyle w:val="Heading1"/>
        <w:pBdr>
          <w:bottom w:val="single" w:color="1E3A5F" w:sz="8" w:space="4"/>
        </w:pBdr>
        <w:spacing w:after="200" w:before="480"/>
      </w:pPr>
      <w:r>
        <w:rPr>
          <w:rFonts w:ascii="Arial" w:cs="Arial" w:eastAsia="Arial" w:hAnsi="Arial"/>
          <w:b/>
          <w:bCs/>
          <w:color w:val="1E3A5F"/>
          <w:sz w:val="38"/>
          <w:szCs w:val="38"/>
        </w:rPr>
        <w:t xml:space="preserve">Requisitos Arquitectónicos y de Habilitación</w:t>
      </w:r>
    </w:p>
    <w:p>
      <w:pPr>
        <w:spacing w:after="80" w:before="80"/>
      </w:pPr>
      <w:r>
        <w:rPr>
          <w:rFonts w:ascii="Arial" w:cs="Arial" w:eastAsia="Arial" w:hAnsi="Arial"/>
          <w:color w:val="1E293B"/>
          <w:sz w:val="22"/>
          <w:szCs w:val="22"/>
        </w:rPr>
        <w:t xml:space="preserve">Vender MerkaERP a una entidad territorial no es solo un problema normativo-funcional; también es un problema de arquitectura. Cuatro vacíos técnicos condicionan si el producto es viable de instalar y operar en el sector público.</w:t>
      </w:r>
    </w:p>
    <w:p>
      <w:pPr>
        <w:pStyle w:val="Heading2"/>
        <w:spacing w:after="140" w:before="320"/>
      </w:pPr>
      <w:r>
        <w:rPr>
          <w:rFonts w:ascii="Arial" w:cs="Arial" w:eastAsia="Arial" w:hAnsi="Arial"/>
          <w:b/>
          <w:bCs/>
          <w:color w:val="1E3A5F"/>
          <w:sz w:val="28"/>
          <w:szCs w:val="28"/>
        </w:rPr>
        <w:t xml:space="preserve">A.1 Multi-Entidad y Consolidación (NICSP 40)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BD5E1" w:sz="1"/>
              <w:left w:val="single" w:color="CBD5E1" w:sz="1"/>
              <w:bottom w:val="single" w:color="CBD5E1" w:sz="1"/>
              <w:right w:val="single" w:color="CBD5E1" w:sz="1"/>
            </w:tcBorders>
            <w:shd w:fill="FEF3C7" w:val="clear"/>
            <w:tcMar>
              <w:top w:type="dxa" w:w="120"/>
              <w:left w:type="dxa" w:w="200"/>
              <w:bottom w:type="dxa" w:w="120"/>
              <w:right w:type="dxa" w:w="200"/>
            </w:tcMar>
          </w:tcPr>
          <w:p>
            <w:r>
              <w:rPr>
                <w:rFonts w:ascii="Arial" w:cs="Arial" w:eastAsia="Arial" w:hAnsi="Arial"/>
                <w:b/>
                <w:bCs/>
                <w:color w:val="B45309"/>
                <w:sz w:val="21"/>
                <w:szCs w:val="21"/>
              </w:rPr>
              <w:t xml:space="preserve">📋 NICSP 40 — Combinaciones y Traspasos de Entidades bajo Control Común</w:t>
            </w:r>
          </w:p>
          <w:p>
            <w:pPr>
              <w:spacing w:after="0" w:before="40"/>
            </w:pPr>
            <w:r>
              <w:rPr>
                <w:rFonts w:ascii="Arial" w:cs="Arial" w:eastAsia="Arial" w:hAnsi="Arial"/>
                <w:color w:val="1E293B"/>
                <w:sz w:val="20"/>
                <w:szCs w:val="20"/>
              </w:rPr>
              <w:t xml:space="preserve">Si MerkaERP se vende a una gobernación, esta necesita ver sus propios estados financieros y, además, los estados financieros consolidados de todos los municipios, hospitales y entidades descentralizadas que le reportan. La NICSP 40 exige métodos de consolidación específicos para el sector público (distintos a la NIIF 10 comercial), reconociendo control presupuestal y no solo control accionario.</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560"/>
        <w:gridCol w:w="2400"/>
      </w:tblGrid>
      <w:tr>
        <w:trPr>
          <w:tblHeader/>
        </w:trPr>
        <w:tc>
          <w:tcPr>
            <w:tcW w:type="dxa" w:w="2400"/>
            <w:tcBorders>
              <w:top w:val="single" w:color="CBD5E1" w:sz="1"/>
              <w:left w:val="single" w:color="CBD5E1" w:sz="1"/>
              <w:bottom w:val="single" w:color="CBD5E1" w:sz="1"/>
              <w:right w:val="single" w:color="CBD5E1" w:sz="1"/>
            </w:tcBorders>
            <w:shd w:fill="1E3A5F"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Requisito</w:t>
            </w:r>
          </w:p>
        </w:tc>
        <w:tc>
          <w:tcPr>
            <w:tcW w:type="dxa" w:w="4560"/>
            <w:tcBorders>
              <w:top w:val="single" w:color="CBD5E1" w:sz="1"/>
              <w:left w:val="single" w:color="CBD5E1" w:sz="1"/>
              <w:bottom w:val="single" w:color="CBD5E1" w:sz="1"/>
              <w:right w:val="single" w:color="CBD5E1" w:sz="1"/>
            </w:tcBorders>
            <w:shd w:fill="1E3A5F"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Descripción</w:t>
            </w:r>
          </w:p>
        </w:tc>
        <w:tc>
          <w:tcPr>
            <w:tcW w:type="dxa" w:w="2400"/>
            <w:tcBorders>
              <w:top w:val="single" w:color="CBD5E1" w:sz="1"/>
              <w:left w:val="single" w:color="CBD5E1" w:sz="1"/>
              <w:bottom w:val="single" w:color="CBD5E1" w:sz="1"/>
              <w:right w:val="single" w:color="CBD5E1" w:sz="1"/>
            </w:tcBorders>
            <w:shd w:fill="1E3A5F"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Complejidad</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Modelo multi-tenant jerárquico</w:t>
            </w:r>
          </w:p>
        </w:tc>
        <w:tc>
          <w:tcPr>
            <w:tcW w:type="dxa" w:w="4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Cada municipio/hospital opera su propia instancia de datos, pero la gobernación tiene una vista consolidada de solo lectura.</w:t>
            </w:r>
          </w:p>
        </w:tc>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 Alta</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Eliminación de operaciones recíprocas</w:t>
            </w:r>
          </w:p>
        </w:tc>
        <w:tc>
          <w:tcPr>
            <w:tcW w:type="dxa" w:w="4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Transferencias entre entidades del mismo grupo (p. ej. gobernación → hospital) deben eliminarse en la consolidación.</w:t>
            </w:r>
          </w:p>
        </w:tc>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 Alta</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Plan de cuentas homologado</w:t>
            </w:r>
          </w:p>
        </w:tc>
        <w:tc>
          <w:tcPr>
            <w:tcW w:type="dxa" w:w="4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Todas las entidades consolidadas deben usar el mismo Catálogo General de Cuentas (CGC) de la CGN para que la suma sea válida.</w:t>
            </w:r>
          </w:p>
        </w:tc>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 Media</w:t>
            </w:r>
          </w:p>
        </w:tc>
      </w:tr>
    </w:tbl>
    <w:p>
      <w:pPr>
        <w:pStyle w:val="Heading2"/>
        <w:spacing w:after="140" w:before="320"/>
      </w:pPr>
      <w:r>
        <w:rPr>
          <w:rFonts w:ascii="Arial" w:cs="Arial" w:eastAsia="Arial" w:hAnsi="Arial"/>
          <w:b/>
          <w:bCs/>
          <w:color w:val="1E3A5F"/>
          <w:sz w:val="28"/>
          <w:szCs w:val="28"/>
        </w:rPr>
        <w:t xml:space="preserve">A.2 Seguridad y Habilitación (ISO 27001 + MinTIC Gobierno Digital)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BD5E1" w:sz="1"/>
              <w:left w:val="single" w:color="CBD5E1" w:sz="1"/>
              <w:bottom w:val="single" w:color="CBD5E1" w:sz="1"/>
              <w:right w:val="single" w:color="CBD5E1" w:sz="1"/>
            </w:tcBorders>
            <w:shd w:fill="FEF3C7" w:val="clear"/>
            <w:tcMar>
              <w:top w:type="dxa" w:w="120"/>
              <w:left w:type="dxa" w:w="200"/>
              <w:bottom w:type="dxa" w:w="120"/>
              <w:right w:type="dxa" w:w="200"/>
            </w:tcMar>
          </w:tcPr>
          <w:p>
            <w:r>
              <w:rPr>
                <w:rFonts w:ascii="Arial" w:cs="Arial" w:eastAsia="Arial" w:hAnsi="Arial"/>
                <w:b/>
                <w:bCs/>
                <w:color w:val="B45309"/>
                <w:sz w:val="21"/>
                <w:szCs w:val="21"/>
              </w:rPr>
              <w:t xml:space="preserve">📋 Política de Gobierno Digital (MinTIC) + ISO/IEC 27001</w:t>
            </w:r>
          </w:p>
          <w:p>
            <w:pPr>
              <w:spacing w:after="0" w:before="40"/>
            </w:pPr>
            <w:r>
              <w:rPr>
                <w:rFonts w:ascii="Arial" w:cs="Arial" w:eastAsia="Arial" w:hAnsi="Arial"/>
                <w:color w:val="1E293B"/>
                <w:sz w:val="20"/>
                <w:szCs w:val="20"/>
              </w:rPr>
              <w:t xml:space="preserve">Para que una entidad pública adopte un software de gestión financiera, normalmente se exige en el pliego de condiciones evidencia de un Sistema de Gestión de Seguridad de la Información certificado bajo ISO/IEC 27001, y cumplimiento de los lineamientos de la Política de Gobierno Digital de MinTIC (arquitectura empresarial, seguridad digital, datos abiertos e interoperabilidad X-Road).</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560"/>
        <w:gridCol w:w="2400"/>
      </w:tblGrid>
      <w:tr>
        <w:trPr>
          <w:tblHeader/>
        </w:trPr>
        <w:tc>
          <w:tcPr>
            <w:tcW w:type="dxa" w:w="2400"/>
            <w:tcBorders>
              <w:top w:val="single" w:color="CBD5E1" w:sz="1"/>
              <w:left w:val="single" w:color="CBD5E1" w:sz="1"/>
              <w:bottom w:val="single" w:color="CBD5E1" w:sz="1"/>
              <w:right w:val="single" w:color="CBD5E1" w:sz="1"/>
            </w:tcBorders>
            <w:shd w:fill="1E3A5F"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Requisito</w:t>
            </w:r>
          </w:p>
        </w:tc>
        <w:tc>
          <w:tcPr>
            <w:tcW w:type="dxa" w:w="4560"/>
            <w:tcBorders>
              <w:top w:val="single" w:color="CBD5E1" w:sz="1"/>
              <w:left w:val="single" w:color="CBD5E1" w:sz="1"/>
              <w:bottom w:val="single" w:color="CBD5E1" w:sz="1"/>
              <w:right w:val="single" w:color="CBD5E1" w:sz="1"/>
            </w:tcBorders>
            <w:shd w:fill="1E3A5F"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Descripción</w:t>
            </w:r>
          </w:p>
        </w:tc>
        <w:tc>
          <w:tcPr>
            <w:tcW w:type="dxa" w:w="2400"/>
            <w:tcBorders>
              <w:top w:val="single" w:color="CBD5E1" w:sz="1"/>
              <w:left w:val="single" w:color="CBD5E1" w:sz="1"/>
              <w:bottom w:val="single" w:color="CBD5E1" w:sz="1"/>
              <w:right w:val="single" w:color="CBD5E1" w:sz="1"/>
            </w:tcBorders>
            <w:shd w:fill="1E3A5F"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Estado en el plan</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Certificación ISO 27001</w:t>
            </w:r>
          </w:p>
        </w:tc>
        <w:tc>
          <w:tcPr>
            <w:tcW w:type="dxa" w:w="4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Certificación del SGSI de MerkaERP como proveedor, evaluada por ente certificador acreditado.</w:t>
            </w:r>
          </w:p>
        </w:tc>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Pendiente — no incluida en v1.0</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Lineamientos Gobierno Digital</w:t>
            </w:r>
          </w:p>
        </w:tc>
        <w:tc>
          <w:tcPr>
            <w:tcW w:type="dxa" w:w="4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Cumplimiento del Marco de Referencia de Arquitectura Empresarial y del Modelo de Seguridad y Privacidad de la Información (MSPI) de MinTIC.</w:t>
            </w:r>
          </w:p>
        </w:tc>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Pendiente — no incluida en v1.0</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Interoperabilidad X-Road</w:t>
            </w:r>
          </w:p>
        </w:tc>
        <w:tc>
          <w:tcPr>
            <w:tcW w:type="dxa" w:w="4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Uso del estándar de interoperabilidad del Estado colombiano para conectarse con SECOP II, CHIP, RUES, entre otros.</w:t>
            </w:r>
          </w:p>
        </w:tc>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Mencionada en Fase 5 (Contratación); falta extenderla a todo el sistema</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Habilitación ante Supersalud / Contaduría</w:t>
            </w:r>
          </w:p>
        </w:tc>
        <w:tc>
          <w:tcPr>
            <w:tcW w:type="dxa" w:w="4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Para el módulo de salud, requiere habilitación adicional específica del sector.</w:t>
            </w:r>
          </w:p>
        </w:tc>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Nueva — ver Macro-Sistema 8</w:t>
            </w:r>
          </w:p>
        </w:tc>
      </w:tr>
    </w:tbl>
    <w:p>
      <w:pPr>
        <w:pStyle w:val="Heading2"/>
        <w:spacing w:after="140" w:before="320"/>
      </w:pPr>
      <w:r>
        <w:rPr>
          <w:rFonts w:ascii="Arial" w:cs="Arial" w:eastAsia="Arial" w:hAnsi="Arial"/>
          <w:b/>
          <w:bCs/>
          <w:color w:val="1E3A5F"/>
          <w:sz w:val="28"/>
          <w:szCs w:val="28"/>
        </w:rPr>
        <w:t xml:space="preserve">A.3 Migración de Datos Históricos</w:t>
      </w:r>
    </w:p>
    <w:p>
      <w:pPr>
        <w:spacing w:after="60" w:before="40"/>
      </w:pPr>
      <w:r>
        <w:rPr>
          <w:rFonts w:ascii="Arial" w:cs="Arial" w:eastAsia="Arial" w:hAnsi="Arial"/>
          <w:color w:val="1E293B"/>
          <w:sz w:val="22"/>
          <w:szCs w:val="22"/>
        </w:rPr>
        <w:t xml:space="preserve">Ninguna entidad empieza en cero. Casi siempre habrá que migrar información histórica desde otro ERP público (SEVEN, Softexpert, Limay, u otros) o desde hojas de Excel, con años de ejecución presupuestal y contable que deben cuadrar contra los estados financieros ya certificados a la Contaduría.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400"/>
        <w:gridCol w:w="2760"/>
      </w:tblGrid>
      <w:tr>
        <w:trPr>
          <w:tblHeader/>
        </w:trPr>
        <w:tc>
          <w:tcPr>
            <w:tcW w:type="dxa" w:w="2200"/>
            <w:tcBorders>
              <w:top w:val="single" w:color="CBD5E1" w:sz="1"/>
              <w:left w:val="single" w:color="CBD5E1" w:sz="1"/>
              <w:bottom w:val="single" w:color="CBD5E1" w:sz="1"/>
              <w:right w:val="single" w:color="CBD5E1" w:sz="1"/>
            </w:tcBorders>
            <w:shd w:fill="1E3A5F"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Etapa</w:t>
            </w:r>
          </w:p>
        </w:tc>
        <w:tc>
          <w:tcPr>
            <w:tcW w:type="dxa" w:w="4400"/>
            <w:tcBorders>
              <w:top w:val="single" w:color="CBD5E1" w:sz="1"/>
              <w:left w:val="single" w:color="CBD5E1" w:sz="1"/>
              <w:bottom w:val="single" w:color="CBD5E1" w:sz="1"/>
              <w:right w:val="single" w:color="CBD5E1" w:sz="1"/>
            </w:tcBorders>
            <w:shd w:fill="1E3A5F"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Descripción técnica</w:t>
            </w:r>
          </w:p>
        </w:tc>
        <w:tc>
          <w:tcPr>
            <w:tcW w:type="dxa" w:w="2760"/>
            <w:tcBorders>
              <w:top w:val="single" w:color="CBD5E1" w:sz="1"/>
              <w:left w:val="single" w:color="CBD5E1" w:sz="1"/>
              <w:bottom w:val="single" w:color="CBD5E1" w:sz="1"/>
              <w:right w:val="single" w:color="CBD5E1" w:sz="1"/>
            </w:tcBorders>
            <w:shd w:fill="1E3A5F"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Riesgo si se omite</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Diagnóstico del sistema origen</w:t>
            </w:r>
          </w:p>
        </w:tc>
        <w:tc>
          <w:tcPr>
            <w:tcW w:type="dxa" w:w="4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Inventario de tablas, formatos y calidad de datos del ERP o Excel anterior.</w:t>
            </w:r>
          </w:p>
        </w:tc>
        <w:tc>
          <w:tcPr>
            <w:tcW w:type="dxa" w:w="2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Subestimar el esfuerzo real de migración</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Mapeo de plan de cuentas</w:t>
            </w:r>
          </w:p>
        </w:tc>
        <w:tc>
          <w:tcPr>
            <w:tcW w:type="dxa" w:w="4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Homologar el plan de cuentas anterior al CGC vigente (Res. 533/2015).</w:t>
            </w:r>
          </w:p>
        </w:tc>
        <w:tc>
          <w:tcPr>
            <w:tcW w:type="dxa" w:w="2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Estados financieros migrados no cuadran</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Migración de saldos iniciales</w:t>
            </w:r>
          </w:p>
        </w:tc>
        <w:tc>
          <w:tcPr>
            <w:tcW w:type="dxa" w:w="4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Cargue de saldos de apertura certificados contra el último corte reportado a CHIP.</w:t>
            </w:r>
          </w:p>
        </w:tc>
        <w:tc>
          <w:tcPr>
            <w:tcW w:type="dxa" w:w="2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Diferencias que generan hallazgo de auditoría</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Migración de terceros y contratos vigentes</w:t>
            </w:r>
          </w:p>
        </w:tc>
        <w:tc>
          <w:tcPr>
            <w:tcW w:type="dxa" w:w="4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Proveedores, contratistas y contratos en ejecución no pueden perder su trazabilidad histórica.</w:t>
            </w:r>
          </w:p>
        </w:tc>
        <w:tc>
          <w:tcPr>
            <w:tcW w:type="dxa" w:w="2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Ruptura del historial de pagos a un contratista</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Paralelo y validación</w:t>
            </w:r>
          </w:p>
        </w:tc>
        <w:tc>
          <w:tcPr>
            <w:tcW w:type="dxa" w:w="4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Correr el sistema antiguo y MerkaERP en paralelo mínimo un cierre mensual antes del corte definitivo.</w:t>
            </w:r>
          </w:p>
        </w:tc>
        <w:tc>
          <w:tcPr>
            <w:tcW w:type="dxa" w:w="2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Errores de corte no detectados a tiempo</w:t>
            </w:r>
          </w:p>
        </w:tc>
      </w:tr>
    </w:tbl>
    <w:p>
      <w:pPr>
        <w:pStyle w:val="Heading2"/>
        <w:spacing w:after="140" w:before="320"/>
      </w:pPr>
      <w:r>
        <w:rPr>
          <w:rFonts w:ascii="Arial" w:cs="Arial" w:eastAsia="Arial" w:hAnsi="Arial"/>
          <w:b/>
          <w:bCs/>
          <w:color w:val="1E3A5F"/>
          <w:sz w:val="28"/>
          <w:szCs w:val="28"/>
        </w:rPr>
        <w:t xml:space="preserve">A.4 Roles y Perfiles del Sector Público</w:t>
      </w:r>
    </w:p>
    <w:p>
      <w:pPr>
        <w:spacing w:after="60" w:before="40"/>
      </w:pPr>
      <w:r>
        <w:rPr>
          <w:rFonts w:ascii="Arial" w:cs="Arial" w:eastAsia="Arial" w:hAnsi="Arial"/>
          <w:color w:val="1E293B"/>
          <w:sz w:val="22"/>
          <w:szCs w:val="22"/>
        </w:rPr>
        <w:t xml:space="preserve">Los permisos en un ERP comercial se diseñan por conveniencia operativa. En el sector público están, en buena parte, definidos por la ley: un tesorero no puede aprobar su propio pago, un contador no puede expedir un CDP. El sistema debe modelar esta segregación de funciones como una regla dura, no como una configuración opcional.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560"/>
        <w:gridCol w:w="2560"/>
        <w:gridCol w:w="1440"/>
      </w:tblGrid>
      <w:tr>
        <w:trPr>
          <w:tblHeader/>
        </w:trPr>
        <w:tc>
          <w:tcPr>
            <w:tcW w:type="dxa" w:w="1800"/>
            <w:tcBorders>
              <w:top w:val="single" w:color="CBD5E1" w:sz="1"/>
              <w:left w:val="single" w:color="CBD5E1" w:sz="1"/>
              <w:bottom w:val="single" w:color="CBD5E1" w:sz="1"/>
              <w:right w:val="single" w:color="CBD5E1" w:sz="1"/>
            </w:tcBorders>
            <w:shd w:fill="1E3A5F"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Rol</w:t>
            </w:r>
          </w:p>
        </w:tc>
        <w:tc>
          <w:tcPr>
            <w:tcW w:type="dxa" w:w="3560"/>
            <w:tcBorders>
              <w:top w:val="single" w:color="CBD5E1" w:sz="1"/>
              <w:left w:val="single" w:color="CBD5E1" w:sz="1"/>
              <w:bottom w:val="single" w:color="CBD5E1" w:sz="1"/>
              <w:right w:val="single" w:color="CBD5E1" w:sz="1"/>
            </w:tcBorders>
            <w:shd w:fill="1E3A5F"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Función legal</w:t>
            </w:r>
          </w:p>
        </w:tc>
        <w:tc>
          <w:tcPr>
            <w:tcW w:type="dxa" w:w="2560"/>
            <w:tcBorders>
              <w:top w:val="single" w:color="CBD5E1" w:sz="1"/>
              <w:left w:val="single" w:color="CBD5E1" w:sz="1"/>
              <w:bottom w:val="single" w:color="CBD5E1" w:sz="1"/>
              <w:right w:val="single" w:color="CBD5E1" w:sz="1"/>
            </w:tcBorders>
            <w:shd w:fill="1E3A5F"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Permisos típicos en MerkaERP</w:t>
            </w:r>
          </w:p>
        </w:tc>
        <w:tc>
          <w:tcPr>
            <w:tcW w:type="dxa" w:w="1440"/>
            <w:tcBorders>
              <w:top w:val="single" w:color="CBD5E1" w:sz="1"/>
              <w:left w:val="single" w:color="CBD5E1" w:sz="1"/>
              <w:bottom w:val="single" w:color="CBD5E1" w:sz="1"/>
              <w:right w:val="single" w:color="CBD5E1" w:sz="1"/>
            </w:tcBorders>
            <w:shd w:fill="1E3A5F"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Segregación clave</w:t>
            </w:r>
          </w:p>
        </w:tc>
      </w:tr>
      <w:tr>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Alcalde / Representante legal</w:t>
            </w:r>
          </w:p>
        </w:tc>
        <w:tc>
          <w:tcPr>
            <w:tcW w:type="dxa" w:w="3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Ordenador del gasto principal (Art. 82 EOP).</w:t>
            </w:r>
          </w:p>
        </w:tc>
        <w:tc>
          <w:tcPr>
            <w:tcW w:type="dxa" w:w="2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Aprobación final de compromisos de alto monto, firma de contratos.</w:t>
            </w:r>
          </w:p>
        </w:tc>
        <w:tc>
          <w:tcPr>
            <w:tcW w:type="dxa" w:w="14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No puede autoliquidarse pagos</w:t>
            </w:r>
          </w:p>
        </w:tc>
      </w:tr>
      <w:tr>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Secretario de Hacienda</w:t>
            </w:r>
          </w:p>
        </w:tc>
        <w:tc>
          <w:tcPr>
            <w:tcW w:type="dxa" w:w="3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Responsable de la política fiscal y presupuestal de la entidad.</w:t>
            </w:r>
          </w:p>
        </w:tc>
        <w:tc>
          <w:tcPr>
            <w:tcW w:type="dxa" w:w="2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Aprobación de modificaciones presupuestales, PAC.</w:t>
            </w:r>
          </w:p>
        </w:tc>
        <w:tc>
          <w:tcPr>
            <w:tcW w:type="dxa" w:w="14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No expide CDP ni RP directamente</w:t>
            </w:r>
          </w:p>
        </w:tc>
      </w:tr>
      <w:tr>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Tesorero</w:t>
            </w:r>
          </w:p>
        </w:tc>
        <w:tc>
          <w:tcPr>
            <w:tcW w:type="dxa" w:w="3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Custodio de los recursos, ejecuta el pago (Art. 74 EOP — PAC).</w:t>
            </w:r>
          </w:p>
        </w:tc>
        <w:tc>
          <w:tcPr>
            <w:tcW w:type="dxa" w:w="2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Ejecución de pagos, conciliación bancaria.</w:t>
            </w:r>
          </w:p>
        </w:tc>
        <w:tc>
          <w:tcPr>
            <w:tcW w:type="dxa" w:w="14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No puede expedir CDP/RP de su propio pago</w:t>
            </w:r>
          </w:p>
        </w:tc>
      </w:tr>
      <w:tr>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Contador</w:t>
            </w:r>
          </w:p>
        </w:tc>
        <w:tc>
          <w:tcPr>
            <w:tcW w:type="dxa" w:w="3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Responsable del registro contable bajo NICSP (Res. 533/2015).</w:t>
            </w:r>
          </w:p>
        </w:tc>
        <w:tc>
          <w:tcPr>
            <w:tcW w:type="dxa" w:w="2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Registro y ajuste de asientos contables, cierre de vigencia.</w:t>
            </w:r>
          </w:p>
        </w:tc>
        <w:tc>
          <w:tcPr>
            <w:tcW w:type="dxa" w:w="14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No aprueba ni ejecuta pagos</w:t>
            </w:r>
          </w:p>
        </w:tc>
      </w:tr>
      <w:tr>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Jefe de Rentas / Tesorería de Ingresos</w:t>
            </w:r>
          </w:p>
        </w:tc>
        <w:tc>
          <w:tcPr>
            <w:tcW w:type="dxa" w:w="3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Responsable de la liquidación y recaudo de tributos.</w:t>
            </w:r>
          </w:p>
        </w:tc>
        <w:tc>
          <w:tcPr>
            <w:tcW w:type="dxa" w:w="2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Liquidación predial/ICA, gestión de cobro coactivo.</w:t>
            </w:r>
          </w:p>
        </w:tc>
        <w:tc>
          <w:tcPr>
            <w:tcW w:type="dxa" w:w="14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No administra el gasto, solo el ingreso</w:t>
            </w:r>
          </w:p>
        </w:tc>
      </w:tr>
      <w:tr>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Jefe de Control Interno</w:t>
            </w:r>
          </w:p>
        </w:tc>
        <w:tc>
          <w:tcPr>
            <w:tcW w:type="dxa" w:w="3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Evalúa el sistema de control interno (Ley 87/1993).</w:t>
            </w:r>
          </w:p>
        </w:tc>
        <w:tc>
          <w:tcPr>
            <w:tcW w:type="dxa" w:w="2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Acceso de solo lectura a todo el sistema + módulo de auditoría forense.</w:t>
            </w:r>
          </w:p>
        </w:tc>
        <w:tc>
          <w:tcPr>
            <w:tcW w:type="dxa" w:w="14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No puede modificar registros, solo consultarlos</w:t>
            </w:r>
          </w:p>
        </w:tc>
      </w:tr>
    </w:tbl>
    <w:p>
      <w:r>
        <w:br w:type="page"/>
      </w:r>
    </w:p>
    <w:p>
      <w:pPr>
        <w:pStyle w:val="Heading1"/>
        <w:pBdr>
          <w:bottom w:val="single" w:color="1E3A5F" w:sz="8" w:space="4"/>
        </w:pBdr>
        <w:spacing w:after="200" w:before="480"/>
      </w:pPr>
      <w:r>
        <w:rPr>
          <w:rFonts w:ascii="Arial" w:cs="Arial" w:eastAsia="Arial" w:hAnsi="Arial"/>
          <w:b/>
          <w:bCs/>
          <w:color w:val="1E3A5F"/>
          <w:sz w:val="38"/>
          <w:szCs w:val="38"/>
        </w:rPr>
        <w:t xml:space="preserve">Validación de Mercado y Modelo Comercial</w:t>
      </w:r>
    </w:p>
    <w:p>
      <w:pPr>
        <w:spacing w:after="80" w:before="80"/>
      </w:pPr>
      <w:r>
        <w:rPr>
          <w:rFonts w:ascii="Arial" w:cs="Arial" w:eastAsia="Arial" w:hAnsi="Arial"/>
          <w:color w:val="1E293B"/>
          <w:sz w:val="22"/>
          <w:szCs w:val="22"/>
        </w:rPr>
        <w:t xml:space="preserve">Un plan técnico y normativo completo no responde todavía la pregunta comercial: ¿quién compra esto y cómo se lo vendemos? En el sector público colombiano, la respuesta no es trivial, porque el comprador no elige libremente: debe licitar.</w:t>
      </w:r>
    </w:p>
    <w:p>
      <w:pPr>
        <w:pStyle w:val="Heading2"/>
        <w:spacing w:after="140" w:before="320"/>
      </w:pPr>
      <w:r>
        <w:rPr>
          <w:rFonts w:ascii="Arial" w:cs="Arial" w:eastAsia="Arial" w:hAnsi="Arial"/>
          <w:b/>
          <w:bCs/>
          <w:color w:val="1E3A5F"/>
          <w:sz w:val="28"/>
          <w:szCs w:val="28"/>
        </w:rPr>
        <w:t xml:space="preserve">B.1 El Comprador Real y el Proceso de Adquisición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BD5E1" w:sz="1"/>
              <w:left w:val="single" w:color="CBD5E1" w:sz="1"/>
              <w:bottom w:val="single" w:color="CBD5E1" w:sz="1"/>
              <w:right w:val="single" w:color="CBD5E1" w:sz="1"/>
            </w:tcBorders>
            <w:shd w:fill="FEF3C7" w:val="clear"/>
            <w:tcMar>
              <w:top w:type="dxa" w:w="120"/>
              <w:left w:type="dxa" w:w="200"/>
              <w:bottom w:type="dxa" w:w="120"/>
              <w:right w:type="dxa" w:w="200"/>
            </w:tcMar>
          </w:tcPr>
          <w:p>
            <w:r>
              <w:rPr>
                <w:rFonts w:ascii="Arial" w:cs="Arial" w:eastAsia="Arial" w:hAnsi="Arial"/>
                <w:b/>
                <w:bCs/>
                <w:color w:val="B45309"/>
                <w:sz w:val="21"/>
                <w:szCs w:val="21"/>
              </w:rPr>
              <w:t xml:space="preserve">⚠️ La entidad pública no puede simplemente "comprar" MerkaERP</w:t>
            </w:r>
          </w:p>
          <w:p>
            <w:pPr>
              <w:spacing w:after="0" w:before="40"/>
            </w:pPr>
            <w:r>
              <w:rPr>
                <w:rFonts w:ascii="Arial" w:cs="Arial" w:eastAsia="Arial" w:hAnsi="Arial"/>
                <w:color w:val="1E293B"/>
                <w:sz w:val="20"/>
                <w:szCs w:val="20"/>
              </w:rPr>
              <w:t xml:space="preserve">Por Ley 80/1993 y Ley 1150/2007 (ver Macro-Sistema 4), la adquisición de un software de gestión financiera por una entidad pública debe surtir un proceso de selección: normalmente licitación pública o, según cuantía y naturaleza, selección abreviada o mínima cuantía. Esto significa que MerkaERP no le vende al alcalde: le vende a un pliego de condiciones que el alcalde (o su equipo jurídico) redacta, y que puede terminar favoreciendo a un competidor si el pliego no está bien diseñado.</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560"/>
        <w:gridCol w:w="2400"/>
      </w:tblGrid>
      <w:tr>
        <w:trPr>
          <w:tblHeader/>
        </w:trPr>
        <w:tc>
          <w:tcPr>
            <w:tcW w:type="dxa" w:w="2400"/>
            <w:tcBorders>
              <w:top w:val="single" w:color="CBD5E1" w:sz="1"/>
              <w:left w:val="single" w:color="CBD5E1" w:sz="1"/>
              <w:bottom w:val="single" w:color="CBD5E1" w:sz="1"/>
              <w:right w:val="single" w:color="CBD5E1" w:sz="1"/>
            </w:tcBorders>
            <w:shd w:fill="1E3A5F"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Actor</w:t>
            </w:r>
          </w:p>
        </w:tc>
        <w:tc>
          <w:tcPr>
            <w:tcW w:type="dxa" w:w="4560"/>
            <w:tcBorders>
              <w:top w:val="single" w:color="CBD5E1" w:sz="1"/>
              <w:left w:val="single" w:color="CBD5E1" w:sz="1"/>
              <w:bottom w:val="single" w:color="CBD5E1" w:sz="1"/>
              <w:right w:val="single" w:color="CBD5E1" w:sz="1"/>
            </w:tcBorders>
            <w:shd w:fill="1E3A5F"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Rol en la decisión de compra</w:t>
            </w:r>
          </w:p>
        </w:tc>
        <w:tc>
          <w:tcPr>
            <w:tcW w:type="dxa" w:w="2400"/>
            <w:tcBorders>
              <w:top w:val="single" w:color="CBD5E1" w:sz="1"/>
              <w:left w:val="single" w:color="CBD5E1" w:sz="1"/>
              <w:bottom w:val="single" w:color="CBD5E1" w:sz="1"/>
              <w:right w:val="single" w:color="CBD5E1" w:sz="1"/>
            </w:tcBorders>
            <w:shd w:fill="1E3A5F"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Implicación comercial</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Secretario de Hacienda / TIC</w:t>
            </w:r>
          </w:p>
        </w:tc>
        <w:tc>
          <w:tcPr>
            <w:tcW w:type="dxa" w:w="4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Define requisitos funcionales del pliego y suele ser el sponsor técnico interno.</w:t>
            </w:r>
          </w:p>
        </w:tc>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Interlocutor clave para pre-venta y elaboración de especificaciones técnicas</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Jurídico / Contratación</w:t>
            </w:r>
          </w:p>
        </w:tc>
        <w:tc>
          <w:tcPr>
            <w:tcW w:type="dxa" w:w="4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Redacta el pliego de condiciones y verifica el cumplimiento de Ley 80/1993.</w:t>
            </w:r>
          </w:p>
        </w:tc>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Debe validar que los requisitos no configuren pliegos "sastre" para un solo proveedor</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Concejo / Asamblea</w:t>
            </w:r>
          </w:p>
        </w:tc>
        <w:tc>
          <w:tcPr>
            <w:tcW w:type="dxa" w:w="4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Aprueba el presupuesto que financia la adquisición.</w:t>
            </w:r>
          </w:p>
        </w:tc>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El proyecto debe estar presupuestado antes de poder contratarse (CDP previo)</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Órganos de control (Contraloría)</w:t>
            </w:r>
          </w:p>
        </w:tc>
        <w:tc>
          <w:tcPr>
            <w:tcW w:type="dxa" w:w="4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Vigila que el proceso de selección no favorezca indebidamente a un oferente.</w:t>
            </w:r>
          </w:p>
        </w:tc>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Riesgo reputacional si el proceso se percibe direccionado</w:t>
            </w:r>
          </w:p>
        </w:tc>
      </w:tr>
    </w:tbl>
    <w:p>
      <w:pPr>
        <w:spacing w:after="60" w:before="40"/>
      </w:pPr>
      <w:r>
        <w:rPr>
          <w:rFonts w:ascii="Arial" w:cs="Arial" w:eastAsia="Arial" w:hAnsi="Arial"/>
          <w:color w:val="1E293B"/>
          <w:sz w:val="22"/>
          <w:szCs w:val="22"/>
        </w:rPr>
        <w:t xml:space="preserve">Esto implica que la estrategia comercial de MerkaERP para el sector público no puede ser una venta directa tradicional: requiere (a) participar en procesos de licitación pública compitiendo con otros ERP del sector (SEVEN, Softexpert, entre otros), (b) trabajar la relación con el equipo técnico de la entidad antes de la publicación del pliego para influir en las especificaciones técnicas de forma lícita, y (c) considerar alianzas con integradores que ya tengan trayectoria certificada en contratación pública.</w:t>
      </w:r>
    </w:p>
    <w:p>
      <w:pPr>
        <w:pStyle w:val="Heading2"/>
        <w:spacing w:after="140" w:before="320"/>
      </w:pPr>
      <w:r>
        <w:rPr>
          <w:rFonts w:ascii="Arial" w:cs="Arial" w:eastAsia="Arial" w:hAnsi="Arial"/>
          <w:b/>
          <w:bCs/>
          <w:color w:val="1E3A5F"/>
          <w:sz w:val="28"/>
          <w:szCs w:val="28"/>
        </w:rPr>
        <w:t xml:space="preserve">B.2 Estimación de Esfuerzo y Costo Total del Proyecto</w:t>
      </w:r>
    </w:p>
    <w:p>
      <w:pPr>
        <w:spacing w:after="60" w:before="40"/>
      </w:pPr>
      <w:r>
        <w:rPr>
          <w:rFonts w:ascii="Arial" w:cs="Arial" w:eastAsia="Arial" w:hAnsi="Arial"/>
          <w:color w:val="1E293B"/>
          <w:sz w:val="22"/>
          <w:szCs w:val="22"/>
        </w:rPr>
        <w:t xml:space="preserve">El plan v1.0 solo estimaba duración por fase, sin esfuerzo ni costo. La siguiente estimación agrega el orden de magnitud de esfuerzo (persona-semana) por fase, incluyendo las fases nuevas de este documento. Las cifras son un punto de partida para un ejercicio de costeo detallado, no una cotización cerrada.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3300"/>
        <w:gridCol w:w="1860"/>
        <w:gridCol w:w="1660"/>
        <w:gridCol w:w="1640"/>
      </w:tblGrid>
      <w:tr>
        <w:trPr>
          <w:tblHeader/>
        </w:trPr>
        <w:tc>
          <w:tcPr>
            <w:tcW w:type="dxa" w:w="900"/>
            <w:tcBorders>
              <w:top w:val="single" w:color="CBD5E1" w:sz="1"/>
              <w:left w:val="single" w:color="CBD5E1" w:sz="1"/>
              <w:bottom w:val="single" w:color="CBD5E1" w:sz="1"/>
              <w:right w:val="single" w:color="CBD5E1" w:sz="1"/>
            </w:tcBorders>
            <w:shd w:fill="1E3A5F"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Fase</w:t>
            </w:r>
          </w:p>
        </w:tc>
        <w:tc>
          <w:tcPr>
            <w:tcW w:type="dxa" w:w="3300"/>
            <w:tcBorders>
              <w:top w:val="single" w:color="CBD5E1" w:sz="1"/>
              <w:left w:val="single" w:color="CBD5E1" w:sz="1"/>
              <w:bottom w:val="single" w:color="CBD5E1" w:sz="1"/>
              <w:right w:val="single" w:color="CBD5E1" w:sz="1"/>
            </w:tcBorders>
            <w:shd w:fill="1E3A5F"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Alcance</w:t>
            </w:r>
          </w:p>
        </w:tc>
        <w:tc>
          <w:tcPr>
            <w:tcW w:type="dxa" w:w="1860"/>
            <w:tcBorders>
              <w:top w:val="single" w:color="CBD5E1" w:sz="1"/>
              <w:left w:val="single" w:color="CBD5E1" w:sz="1"/>
              <w:bottom w:val="single" w:color="CBD5E1" w:sz="1"/>
              <w:right w:val="single" w:color="CBD5E1" w:sz="1"/>
            </w:tcBorders>
            <w:shd w:fill="1E3A5F"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Duración</w:t>
            </w:r>
          </w:p>
        </w:tc>
        <w:tc>
          <w:tcPr>
            <w:tcW w:type="dxa" w:w="1660"/>
            <w:tcBorders>
              <w:top w:val="single" w:color="CBD5E1" w:sz="1"/>
              <w:left w:val="single" w:color="CBD5E1" w:sz="1"/>
              <w:bottom w:val="single" w:color="CBD5E1" w:sz="1"/>
              <w:right w:val="single" w:color="CBD5E1" w:sz="1"/>
            </w:tcBorders>
            <w:shd w:fill="1E3A5F"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Esfuerzo aprox.</w:t>
            </w:r>
          </w:p>
        </w:tc>
        <w:tc>
          <w:tcPr>
            <w:tcW w:type="dxa" w:w="1640"/>
            <w:tcBorders>
              <w:top w:val="single" w:color="CBD5E1" w:sz="1"/>
              <w:left w:val="single" w:color="CBD5E1" w:sz="1"/>
              <w:bottom w:val="single" w:color="CBD5E1" w:sz="1"/>
              <w:right w:val="single" w:color="CBD5E1" w:sz="1"/>
            </w:tcBorders>
            <w:shd w:fill="1E3A5F"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Perfil dominante</w:t>
            </w:r>
          </w:p>
        </w:tc>
      </w:tr>
      <w:tr>
        <w:tc>
          <w:tcPr>
            <w:tcW w:type="dxa" w:w="9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Fase 0</w:t>
            </w:r>
          </w:p>
        </w:tc>
        <w:tc>
          <w:tcPr>
            <w:tcW w:type="dxa" w:w="33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Migración de datos + seguridad/habilitación (ISO 27001, MinTIC)</w:t>
            </w:r>
          </w:p>
        </w:tc>
        <w:tc>
          <w:tcPr>
            <w:tcW w:type="dxa" w:w="18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6-8 semanas</w:t>
            </w:r>
          </w:p>
        </w:tc>
        <w:tc>
          <w:tcPr>
            <w:tcW w:type="dxa" w:w="16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8-10 pers-sem</w:t>
            </w:r>
          </w:p>
        </w:tc>
        <w:tc>
          <w:tcPr>
            <w:tcW w:type="dxa" w:w="16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Arquitecto + Data engineer</w:t>
            </w:r>
          </w:p>
        </w:tc>
      </w:tr>
      <w:tr>
        <w:tc>
          <w:tcPr>
            <w:tcW w:type="dxa" w:w="9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Fase 1</w:t>
            </w:r>
          </w:p>
        </w:tc>
        <w:tc>
          <w:tcPr>
            <w:tcW w:type="dxa" w:w="33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Presupuesto público + PAC</w:t>
            </w:r>
          </w:p>
        </w:tc>
        <w:tc>
          <w:tcPr>
            <w:tcW w:type="dxa" w:w="18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6-8 semanas</w:t>
            </w:r>
          </w:p>
        </w:tc>
        <w:tc>
          <w:tcPr>
            <w:tcW w:type="dxa" w:w="16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10-12 pers-sem</w:t>
            </w:r>
          </w:p>
        </w:tc>
        <w:tc>
          <w:tcPr>
            <w:tcW w:type="dxa" w:w="16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Backend + funcional fiscal</w:t>
            </w:r>
          </w:p>
        </w:tc>
      </w:tr>
      <w:tr>
        <w:tc>
          <w:tcPr>
            <w:tcW w:type="dxa" w:w="9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Fase 2</w:t>
            </w:r>
          </w:p>
        </w:tc>
        <w:tc>
          <w:tcPr>
            <w:tcW w:type="dxa" w:w="33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Contabilidad NICSP + CGC público</w:t>
            </w:r>
          </w:p>
        </w:tc>
        <w:tc>
          <w:tcPr>
            <w:tcW w:type="dxa" w:w="18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6-8 semanas</w:t>
            </w:r>
          </w:p>
        </w:tc>
        <w:tc>
          <w:tcPr>
            <w:tcW w:type="dxa" w:w="16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12-14 pers-sem</w:t>
            </w:r>
          </w:p>
        </w:tc>
        <w:tc>
          <w:tcPr>
            <w:tcW w:type="dxa" w:w="16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Backend + contador público</w:t>
            </w:r>
          </w:p>
        </w:tc>
      </w:tr>
      <w:tr>
        <w:tc>
          <w:tcPr>
            <w:tcW w:type="dxa" w:w="9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Fase 3</w:t>
            </w:r>
          </w:p>
        </w:tc>
        <w:tc>
          <w:tcPr>
            <w:tcW w:type="dxa" w:w="33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Auditoría forense + CHIP básico</w:t>
            </w:r>
          </w:p>
        </w:tc>
        <w:tc>
          <w:tcPr>
            <w:tcW w:type="dxa" w:w="18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4-5 semanas</w:t>
            </w:r>
          </w:p>
        </w:tc>
        <w:tc>
          <w:tcPr>
            <w:tcW w:type="dxa" w:w="16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6-8 pers-sem</w:t>
            </w:r>
          </w:p>
        </w:tc>
        <w:tc>
          <w:tcPr>
            <w:tcW w:type="dxa" w:w="16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Backend + seguridad</w:t>
            </w:r>
          </w:p>
        </w:tc>
      </w:tr>
      <w:tr>
        <w:tc>
          <w:tcPr>
            <w:tcW w:type="dxa" w:w="9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Fase 4</w:t>
            </w:r>
          </w:p>
        </w:tc>
        <w:tc>
          <w:tcPr>
            <w:tcW w:type="dxa" w:w="33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Predial + ICA + intereses moratorios</w:t>
            </w:r>
          </w:p>
        </w:tc>
        <w:tc>
          <w:tcPr>
            <w:tcW w:type="dxa" w:w="18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8-10 semanas</w:t>
            </w:r>
          </w:p>
        </w:tc>
        <w:tc>
          <w:tcPr>
            <w:tcW w:type="dxa" w:w="16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14-16 pers-sem</w:t>
            </w:r>
          </w:p>
        </w:tc>
        <w:tc>
          <w:tcPr>
            <w:tcW w:type="dxa" w:w="16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Full-stack + tributarista</w:t>
            </w:r>
          </w:p>
        </w:tc>
      </w:tr>
      <w:tr>
        <w:tc>
          <w:tcPr>
            <w:tcW w:type="dxa" w:w="9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Fase 5</w:t>
            </w:r>
          </w:p>
        </w:tc>
        <w:tc>
          <w:tcPr>
            <w:tcW w:type="dxa" w:w="33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Contratación pública + SECOP II</w:t>
            </w:r>
          </w:p>
        </w:tc>
        <w:tc>
          <w:tcPr>
            <w:tcW w:type="dxa" w:w="18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8-10 semanas</w:t>
            </w:r>
          </w:p>
        </w:tc>
        <w:tc>
          <w:tcPr>
            <w:tcW w:type="dxa" w:w="16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14-18 pers-sem</w:t>
            </w:r>
          </w:p>
        </w:tc>
        <w:tc>
          <w:tcPr>
            <w:tcW w:type="dxa" w:w="16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Full-stack + abogado contratación</w:t>
            </w:r>
          </w:p>
        </w:tc>
      </w:tr>
      <w:tr>
        <w:tc>
          <w:tcPr>
            <w:tcW w:type="dxa" w:w="9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Fase 6</w:t>
            </w:r>
          </w:p>
        </w:tc>
        <w:tc>
          <w:tcPr>
            <w:tcW w:type="dxa" w:w="33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Nómina pública + PILA + retroactivos</w:t>
            </w:r>
          </w:p>
        </w:tc>
        <w:tc>
          <w:tcPr>
            <w:tcW w:type="dxa" w:w="18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6-8 semanas</w:t>
            </w:r>
          </w:p>
        </w:tc>
        <w:tc>
          <w:tcPr>
            <w:tcW w:type="dxa" w:w="16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10-12 pers-sem</w:t>
            </w:r>
          </w:p>
        </w:tc>
        <w:tc>
          <w:tcPr>
            <w:tcW w:type="dxa" w:w="16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Backend + nómina</w:t>
            </w:r>
          </w:p>
        </w:tc>
      </w:tr>
      <w:tr>
        <w:tc>
          <w:tcPr>
            <w:tcW w:type="dxa" w:w="9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Fase 7</w:t>
            </w:r>
          </w:p>
        </w:tc>
        <w:tc>
          <w:tcPr>
            <w:tcW w:type="dxa" w:w="33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Planeación + MGA + PDT</w:t>
            </w:r>
          </w:p>
        </w:tc>
        <w:tc>
          <w:tcPr>
            <w:tcW w:type="dxa" w:w="18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5-6 semanas</w:t>
            </w:r>
          </w:p>
        </w:tc>
        <w:tc>
          <w:tcPr>
            <w:tcW w:type="dxa" w:w="16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6-8 pers-sem</w:t>
            </w:r>
          </w:p>
        </w:tc>
        <w:tc>
          <w:tcPr>
            <w:tcW w:type="dxa" w:w="16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Full-stack + planeación</w:t>
            </w:r>
          </w:p>
        </w:tc>
      </w:tr>
      <w:tr>
        <w:tc>
          <w:tcPr>
            <w:tcW w:type="dxa" w:w="9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Fase 8</w:t>
            </w:r>
          </w:p>
        </w:tc>
        <w:tc>
          <w:tcPr>
            <w:tcW w:type="dxa" w:w="33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Activos del Estado + cobro coactivo + FUT</w:t>
            </w:r>
          </w:p>
        </w:tc>
        <w:tc>
          <w:tcPr>
            <w:tcW w:type="dxa" w:w="18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6-8 semanas</w:t>
            </w:r>
          </w:p>
        </w:tc>
        <w:tc>
          <w:tcPr>
            <w:tcW w:type="dxa" w:w="16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8-10 pers-sem</w:t>
            </w:r>
          </w:p>
        </w:tc>
        <w:tc>
          <w:tcPr>
            <w:tcW w:type="dxa" w:w="16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Full-stack</w:t>
            </w:r>
          </w:p>
        </w:tc>
      </w:tr>
      <w:tr>
        <w:tc>
          <w:tcPr>
            <w:tcW w:type="dxa" w:w="9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Fase 9</w:t>
            </w:r>
          </w:p>
        </w:tc>
        <w:tc>
          <w:tcPr>
            <w:tcW w:type="dxa" w:w="33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Salud pública: RIPS, EPS, glosas (nueva)</w:t>
            </w:r>
          </w:p>
        </w:tc>
        <w:tc>
          <w:tcPr>
            <w:tcW w:type="dxa" w:w="18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8-10 semanas</w:t>
            </w:r>
          </w:p>
        </w:tc>
        <w:tc>
          <w:tcPr>
            <w:tcW w:type="dxa" w:w="16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14-16 pers-sem</w:t>
            </w:r>
          </w:p>
        </w:tc>
        <w:tc>
          <w:tcPr>
            <w:tcW w:type="dxa" w:w="16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Full-stack + facturación salud</w:t>
            </w:r>
          </w:p>
        </w:tc>
      </w:tr>
      <w:tr>
        <w:tc>
          <w:tcPr>
            <w:tcW w:type="dxa" w:w="9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Fase 10</w:t>
            </w:r>
          </w:p>
        </w:tc>
        <w:tc>
          <w:tcPr>
            <w:tcW w:type="dxa" w:w="33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SGR + SGP (nueva)</w:t>
            </w:r>
          </w:p>
        </w:tc>
        <w:tc>
          <w:tcPr>
            <w:tcW w:type="dxa" w:w="18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6-8 semanas</w:t>
            </w:r>
          </w:p>
        </w:tc>
        <w:tc>
          <w:tcPr>
            <w:tcW w:type="dxa" w:w="16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10-12 pers-sem</w:t>
            </w:r>
          </w:p>
        </w:tc>
        <w:tc>
          <w:tcPr>
            <w:tcW w:type="dxa" w:w="16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Backend + fiscal territorial</w:t>
            </w:r>
          </w:p>
        </w:tc>
      </w:tr>
      <w:tr>
        <w:tc>
          <w:tcPr>
            <w:tcW w:type="dxa" w:w="9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Fase 11</w:t>
            </w:r>
          </w:p>
        </w:tc>
        <w:tc>
          <w:tcPr>
            <w:tcW w:type="dxa" w:w="33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Transparencia + disciplinario + roles (nueva)</w:t>
            </w:r>
          </w:p>
        </w:tc>
        <w:tc>
          <w:tcPr>
            <w:tcW w:type="dxa" w:w="18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5-6 semanas</w:t>
            </w:r>
          </w:p>
        </w:tc>
        <w:tc>
          <w:tcPr>
            <w:tcW w:type="dxa" w:w="16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8-10 pers-sem</w:t>
            </w:r>
          </w:p>
        </w:tc>
        <w:tc>
          <w:tcPr>
            <w:tcW w:type="dxa" w:w="16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Full-stack + jurídico disciplinario</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BD5E1" w:sz="1"/>
              <w:left w:val="single" w:color="CBD5E1" w:sz="1"/>
              <w:bottom w:val="single" w:color="CBD5E1" w:sz="1"/>
              <w:right w:val="single" w:color="CBD5E1" w:sz="1"/>
            </w:tcBorders>
            <w:shd w:fill="DBEAFE" w:val="clear"/>
            <w:tcMar>
              <w:top w:type="dxa" w:w="120"/>
              <w:left w:type="dxa" w:w="200"/>
              <w:bottom w:type="dxa" w:w="120"/>
              <w:right w:type="dxa" w:w="200"/>
            </w:tcMar>
          </w:tcPr>
          <w:p>
            <w:r>
              <w:rPr>
                <w:rFonts w:ascii="Arial" w:cs="Arial" w:eastAsia="Arial" w:hAnsi="Arial"/>
                <w:b/>
                <w:bCs/>
                <w:color w:val="1E3A5F"/>
                <w:sz w:val="21"/>
                <w:szCs w:val="21"/>
              </w:rPr>
              <w:t xml:space="preserve">🔢 Orden de magnitud total</w:t>
            </w:r>
          </w:p>
          <w:p>
            <w:pPr>
              <w:spacing w:after="0" w:before="40"/>
            </w:pPr>
            <w:r>
              <w:rPr>
                <w:rFonts w:ascii="Arial" w:cs="Arial" w:eastAsia="Arial" w:hAnsi="Arial"/>
                <w:color w:val="1E293B"/>
                <w:sz w:val="20"/>
                <w:szCs w:val="20"/>
              </w:rPr>
              <w:t xml:space="preserve">Sumando las 12 fases (0 a 11): aproximadamente 76-90 semanas de calendario si se ejecutan en serie, y un esfuerzo acumulado del orden de 120-150 persona-semana.</w:t>
            </w:r>
          </w:p>
          <w:p>
            <w:pPr>
              <w:spacing w:after="0" w:before="40"/>
            </w:pPr>
            <w:r>
              <w:rPr>
                <w:rFonts w:ascii="Arial" w:cs="Arial" w:eastAsia="Arial" w:hAnsi="Arial"/>
                <w:color w:val="1E293B"/>
                <w:sz w:val="20"/>
                <w:szCs w:val="20"/>
              </w:rPr>
              <w:t xml:space="preserve">En la práctica varias fases pueden correr en paralelo con equipos distintos, lo que podría comprimir el calendario a 12-16 meses con un equipo de 4-6 personas simultáneas.</w:t>
            </w:r>
          </w:p>
          <w:p>
            <w:pPr>
              <w:spacing w:after="0" w:before="40"/>
            </w:pPr>
            <w:r>
              <w:rPr>
                <w:rFonts w:ascii="Arial" w:cs="Arial" w:eastAsia="Arial" w:hAnsi="Arial"/>
                <w:color w:val="1E293B"/>
                <w:sz w:val="20"/>
                <w:szCs w:val="20"/>
              </w:rPr>
              <w:t xml:space="preserve">Esta estimación no incluye licenciamiento de terceros (p. ej. interoperabilidad X-Road, certificación ISO 27001) ni el costo del proceso de licitación en sí.</w:t>
            </w:r>
          </w:p>
        </w:tc>
      </w:tr>
    </w:tbl>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BD5E1" w:sz="1"/>
              <w:left w:val="single" w:color="CBD5E1" w:sz="1"/>
              <w:bottom w:val="single" w:color="CBD5E1" w:sz="1"/>
              <w:right w:val="single" w:color="CBD5E1" w:sz="1"/>
            </w:tcBorders>
            <w:shd w:fill="D1FAE5" w:val="clear"/>
            <w:tcMar>
              <w:top w:type="dxa" w:w="120"/>
              <w:left w:type="dxa" w:w="200"/>
              <w:bottom w:type="dxa" w:w="120"/>
              <w:right w:type="dxa" w:w="200"/>
            </w:tcMar>
          </w:tcPr>
          <w:p>
            <w:r>
              <w:rPr>
                <w:rFonts w:ascii="Arial" w:cs="Arial" w:eastAsia="Arial" w:hAnsi="Arial"/>
                <w:b/>
                <w:bCs/>
                <w:color w:val="065F46"/>
                <w:sz w:val="21"/>
                <w:szCs w:val="21"/>
              </w:rPr>
              <w:t xml:space="preserve">✅ Resultado: MerkaERP como ERP Público de Clase Enterprise</w:t>
            </w:r>
          </w:p>
          <w:p>
            <w:pPr>
              <w:spacing w:after="0" w:before="40"/>
            </w:pPr>
            <w:r>
              <w:rPr>
                <w:rFonts w:ascii="Arial" w:cs="Arial" w:eastAsia="Arial" w:hAnsi="Arial"/>
                <w:color w:val="1E293B"/>
                <w:sz w:val="20"/>
                <w:szCs w:val="20"/>
              </w:rPr>
              <w:t xml:space="preserve">Con los 11 macro-sistemas implementados — incluyendo salud pública, regalías, SGP, transparencia y control disciplinario — más los requisitos de arquitectura multi-entidad, seguridad y migración, MerkaERP puede operar como ERP oficial de:</w:t>
            </w:r>
          </w:p>
          <w:p>
            <w:pPr>
              <w:spacing w:after="0" w:before="40"/>
            </w:pPr>
            <w:r>
              <w:rPr>
                <w:rFonts w:ascii="Arial" w:cs="Arial" w:eastAsia="Arial" w:hAnsi="Arial"/>
                <w:color w:val="1E293B"/>
                <w:sz w:val="20"/>
                <w:szCs w:val="20"/>
              </w:rPr>
              <w:t xml:space="preserve">  • Alcaldías municipales de cualquier categoría (1ª a 6ª)</w:t>
            </w:r>
          </w:p>
          <w:p>
            <w:pPr>
              <w:spacing w:after="0" w:before="40"/>
            </w:pPr>
            <w:r>
              <w:rPr>
                <w:rFonts w:ascii="Arial" w:cs="Arial" w:eastAsia="Arial" w:hAnsi="Arial"/>
                <w:color w:val="1E293B"/>
                <w:sz w:val="20"/>
                <w:szCs w:val="20"/>
              </w:rPr>
              <w:t xml:space="preserve">  • Gobernaciones departamentales</w:t>
            </w:r>
          </w:p>
          <w:p>
            <w:pPr>
              <w:spacing w:after="0" w:before="40"/>
            </w:pPr>
            <w:r>
              <w:rPr>
                <w:rFonts w:ascii="Arial" w:cs="Arial" w:eastAsia="Arial" w:hAnsi="Arial"/>
                <w:color w:val="1E293B"/>
                <w:sz w:val="20"/>
                <w:szCs w:val="20"/>
              </w:rPr>
              <w:t xml:space="preserve">  • Hospitales públicos y ESE (Empresas Sociales del Estado)</w:t>
            </w:r>
          </w:p>
          <w:p>
            <w:pPr>
              <w:spacing w:after="0" w:before="40"/>
            </w:pPr>
            <w:r>
              <w:rPr>
                <w:rFonts w:ascii="Arial" w:cs="Arial" w:eastAsia="Arial" w:hAnsi="Arial"/>
                <w:color w:val="1E293B"/>
                <w:sz w:val="20"/>
                <w:szCs w:val="20"/>
              </w:rPr>
              <w:t xml:space="preserve">  • Establecimientos públicos del orden territorial</w:t>
            </w:r>
          </w:p>
          <w:p>
            <w:pPr>
              <w:spacing w:after="0" w:before="40"/>
            </w:pPr>
            <w:r>
              <w:rPr>
                <w:rFonts w:ascii="Arial" w:cs="Arial" w:eastAsia="Arial" w:hAnsi="Arial"/>
                <w:color w:val="1E293B"/>
                <w:sz w:val="20"/>
                <w:szCs w:val="20"/>
              </w:rPr>
              <w:t xml:space="preserve">  • Unidades Administrativas Especiales con y sin personería jurídica</w:t>
            </w:r>
          </w:p>
          <w:p>
            <w:pPr>
              <w:spacing w:after="0" w:before="40"/>
            </w:pPr>
            <w:r>
              <w:rPr>
                <w:rFonts w:ascii="Arial" w:cs="Arial" w:eastAsia="Arial" w:hAnsi="Arial"/>
                <w:color w:val="1E293B"/>
                <w:sz w:val="20"/>
                <w:szCs w:val="20"/>
              </w:rPr>
              <w:t xml:space="preserve"/>
            </w:r>
          </w:p>
          <w:p>
            <w:pPr>
              <w:spacing w:after="0" w:before="40"/>
            </w:pPr>
            <w:r>
              <w:rPr>
                <w:rFonts w:ascii="Arial" w:cs="Arial" w:eastAsia="Arial" w:hAnsi="Arial"/>
                <w:color w:val="1E293B"/>
                <w:sz w:val="20"/>
                <w:szCs w:val="20"/>
              </w:rPr>
              <w:t xml:space="preserve">Todos los reportes a Contraloría (SIA Observa), Contaduría (CHIP), Ministerio de Hacienda</w:t>
            </w:r>
          </w:p>
          <w:p>
            <w:pPr>
              <w:spacing w:after="0" w:before="40"/>
            </w:pPr>
            <w:r>
              <w:rPr>
                <w:rFonts w:ascii="Arial" w:cs="Arial" w:eastAsia="Arial" w:hAnsi="Arial"/>
                <w:color w:val="1E293B"/>
                <w:sz w:val="20"/>
                <w:szCs w:val="20"/>
              </w:rPr>
              <w:t xml:space="preserve">(SIIF/FUT) y Colombia Compra Eficiente (SECOP II), además de los reportes a ADRES/Supersalud (RIPS), DNP (SPGR/SGR) y SICODIS (SGP), se generan con un clic desde el sistema.</w:t>
            </w:r>
          </w:p>
        </w:tc>
      </w:tr>
    </w:tbl>
    <w:p>
      <w:pPr>
        <w:spacing w:after="0" w:before="160"/>
      </w:pPr>
      <w:r>
        <w:t xml:space="preserve"/>
      </w:r>
    </w:p>
    <w:p>
      <w:pPr>
        <w:pBdr>
          <w:top w:val="single" w:color="CBD5E1" w:sz="4" w:space="8"/>
        </w:pBdr>
        <w:spacing w:after="100" w:before="300"/>
        <w:jc w:val="center"/>
      </w:pPr>
      <w:r>
        <w:rPr>
          <w:rFonts w:ascii="Arial" w:cs="Arial" w:eastAsia="Arial" w:hAnsi="Arial"/>
          <w:i/>
          <w:iCs/>
          <w:color w:val="94A3B8"/>
          <w:sz w:val="18"/>
          <w:szCs w:val="18"/>
        </w:rPr>
        <w:t xml:space="preserve">MerkaERP Sector Público — Plan de Implementación v1.1  ·  Julio 2026</w:t>
      </w:r>
    </w:p>
    <w:sectPr>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E293B"/>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80"/>
      <w:outlineLvl w:val="0"/>
    </w:pPr>
    <w:rPr>
      <w:rFonts w:ascii="Arial" w:cs="Arial" w:eastAsia="Arial" w:hAnsi="Arial"/>
      <w:b/>
      <w:bCs/>
      <w:color w:val="1E3A5F"/>
      <w:sz w:val="38"/>
      <w:szCs w:val="38"/>
    </w:rPr>
  </w:style>
  <w:style w:type="paragraph" w:styleId="Heading2">
    <w:name w:val="Heading 2"/>
    <w:basedOn w:val="Normal"/>
    <w:next w:val="Normal"/>
    <w:qFormat/>
    <w:pPr>
      <w:spacing w:after="140" w:before="320"/>
      <w:outlineLvl w:val="1"/>
    </w:pPr>
    <w:rPr>
      <w:rFonts w:ascii="Arial" w:cs="Arial" w:eastAsia="Arial" w:hAnsi="Arial"/>
      <w:b/>
      <w:bCs/>
      <w:color w:val="1E3A5F"/>
      <w:sz w:val="28"/>
      <w:szCs w:val="28"/>
    </w:rPr>
  </w:style>
  <w:style w:type="paragraph" w:styleId="Heading3">
    <w:name w:val="Heading 3"/>
    <w:basedOn w:val="Normal"/>
    <w:next w:val="Normal"/>
    <w:qFormat/>
    <w:pPr>
      <w:spacing w:after="100" w:before="200"/>
      <w:outlineLvl w:val="2"/>
    </w:pPr>
    <w:rPr>
      <w:rFonts w:ascii="Arial" w:cs="Arial" w:eastAsia="Arial" w:hAnsi="Arial"/>
      <w:b/>
      <w:bCs/>
      <w:color w:val="1E293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2026-07-06T00:53:19.480Z</dcterms:created>
  <dcterms:modified xsi:type="dcterms:W3CDTF">2026-07-06T00:53:19.493Z</dcterms:modified>
</cp:coreProperties>
</file>

<file path=docProps/custom.xml><?xml version="1.0" encoding="utf-8"?>
<Properties xmlns="http://schemas.openxmlformats.org/officeDocument/2006/custom-properties" xmlns:vt="http://schemas.openxmlformats.org/officeDocument/2006/docPropsVTypes"/>
</file>