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lang w:val="es-MX"/>
        </w:rPr>
      </w:pPr>
      <w:r>
        <w:rPr>
          <w:b/>
          <w:lang w:val="es-MX"/>
        </w:rPr>
        <w:t>GUION PARA ANALISIS CUALITATIVA DE LAS ENTREVISTAS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i/>
        </w:rPr>
      </w:pPr>
      <w:r>
        <w:rPr>
          <w:i/>
        </w:rPr>
        <w:t>Instrucciones: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Lea las notas de las entrevistas, estudias el diagrama VENSIM (si existe).</w:t>
      </w:r>
    </w:p>
    <w:p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Llena la table abajo, usando un rengl</w:t>
      </w:r>
      <w:r>
        <w:rPr>
          <w:lang w:val="es-ES_tradnl"/>
        </w:rPr>
        <w:t>ón por cada entrevista.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es-MX"/>
        </w:rPr>
        <w:t xml:space="preserve">Cuando se acaba, añade otra reglón a la table para </w:t>
      </w:r>
      <w:r>
        <w:rPr>
          <w:i/>
          <w:lang w:val="es-MX"/>
        </w:rPr>
        <w:t xml:space="preserve">resumir todas las entrevistas, </w:t>
      </w:r>
      <w:r>
        <w:rPr>
          <w:lang w:val="es-MX"/>
        </w:rPr>
        <w:t xml:space="preserve">notando allí las repuestas más frecuentes (cualquier coincidencia en los opiniones).  </w:t>
      </w:r>
      <w:r>
        <w:rPr/>
        <w:t xml:space="preserve">Si no hay mucho coincidencia, notas </w:t>
      </w:r>
      <w:r>
        <w:rPr>
          <w:b/>
        </w:rPr>
        <w:t>las diferencias</w:t>
      </w:r>
      <w:r>
        <w:rPr/>
        <w:t xml:space="preserve"> allí.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pPr w:vertAnchor="text" w:horzAnchor="margin" w:leftFromText="141" w:rightFromText="141" w:tblpX="0" w:tblpY="49"/>
        <w:tblW w:w="1317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64"/>
        <w:gridCol w:w="1786"/>
        <w:gridCol w:w="2867"/>
        <w:gridCol w:w="1757"/>
        <w:gridCol w:w="1673"/>
        <w:gridCol w:w="1757"/>
        <w:gridCol w:w="1674"/>
      </w:tblGrid>
      <w:tr>
        <w:trPr>
          <w:trHeight w:val="332" w:hRule="atLeast"/>
        </w:trPr>
        <w:tc>
          <w:tcPr>
            <w:tcW w:w="1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ES_tradnl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ES_tradnl" w:eastAsia="en-US" w:bidi="ar-SA"/>
              </w:rPr>
            </w:r>
          </w:p>
        </w:tc>
        <w:tc>
          <w:tcPr>
            <w:tcW w:w="28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343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Agua</w:t>
            </w:r>
          </w:p>
        </w:tc>
        <w:tc>
          <w:tcPr>
            <w:tcW w:w="3431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Suelo</w:t>
            </w:r>
          </w:p>
        </w:tc>
      </w:tr>
      <w:tr>
        <w:trPr>
          <w:trHeight w:val="684" w:hRule="atLeast"/>
        </w:trPr>
        <w:tc>
          <w:tcPr>
            <w:tcW w:w="1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Sector</w:t>
            </w:r>
          </w:p>
        </w:tc>
        <w:tc>
          <w:tcPr>
            <w:tcW w:w="17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ES_tradnl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Código del entrevista</w:t>
            </w:r>
          </w:p>
        </w:tc>
        <w:tc>
          <w:tcPr>
            <w:tcW w:w="28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Notas relevantes (Características)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Influencia</w:t>
            </w:r>
          </w:p>
        </w:tc>
        <w:tc>
          <w:tcPr>
            <w:tcW w:w="1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Interés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Influencia</w:t>
            </w:r>
          </w:p>
        </w:tc>
        <w:tc>
          <w:tcPr>
            <w:tcW w:w="16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Interés</w:t>
            </w:r>
          </w:p>
        </w:tc>
      </w:tr>
      <w:tr>
        <w:trPr>
          <w:trHeight w:val="430" w:hRule="atLeast"/>
        </w:trPr>
        <w:tc>
          <w:tcPr>
            <w:tcW w:w="1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8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s-MX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s-MX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s-MX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s-MX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6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s-MX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W w:w="13192" w:type="dxa"/>
        <w:jc w:val="left"/>
        <w:tblInd w:w="-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527"/>
        <w:gridCol w:w="1331"/>
        <w:gridCol w:w="2509"/>
        <w:gridCol w:w="2804"/>
        <w:gridCol w:w="2214"/>
        <w:gridCol w:w="2807"/>
      </w:tblGrid>
      <w:tr>
        <w:trPr>
          <w:trHeight w:val="957" w:hRule="atLeast"/>
        </w:trPr>
        <w:tc>
          <w:tcPr>
            <w:tcW w:w="15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Sector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ES_tradnl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Código del entrevista</w:t>
            </w:r>
          </w:p>
        </w:tc>
        <w:tc>
          <w:tcPr>
            <w:tcW w:w="250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  <w:lang w:val="es-MX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s-MX" w:eastAsia="en-US" w:bidi="ar-SA"/>
              </w:rPr>
              <w:t>Preocupación principal acerca el agua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Causas principales</w:t>
            </w:r>
          </w:p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0"/>
                <w:szCs w:val="20"/>
                <w:lang w:val="es-MX"/>
              </w:rPr>
            </w:pPr>
            <w:r>
              <w:rPr>
                <w:rFonts w:eastAsia="" w:cs=""/>
                <w:kern w:val="0"/>
                <w:sz w:val="20"/>
                <w:szCs w:val="20"/>
                <w:lang w:val="es-MX" w:eastAsia="en-US" w:bidi="ar-SA"/>
              </w:rPr>
              <w:t>(ej., biofisicos, sociales, institucionales, cambio de uso de suelo, infrastructurales)</w:t>
            </w:r>
          </w:p>
        </w:tc>
        <w:tc>
          <w:tcPr>
            <w:tcW w:w="221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 xml:space="preserve">Mayores consequencias </w:t>
            </w:r>
          </w:p>
        </w:tc>
        <w:tc>
          <w:tcPr>
            <w:tcW w:w="280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en-US" w:bidi="ar-SA"/>
              </w:rPr>
              <w:t>Acciones (quién)</w:t>
            </w:r>
          </w:p>
        </w:tc>
      </w:tr>
      <w:tr>
        <w:trPr>
          <w:trHeight w:val="957" w:hRule="atLeast"/>
        </w:trPr>
        <w:tc>
          <w:tcPr>
            <w:tcW w:w="15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Ej. “Vivienda (Académica)”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XXXX</w:t>
            </w:r>
          </w:p>
        </w:tc>
        <w:tc>
          <w:tcPr>
            <w:tcW w:w="2509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3" w:left="318" w:right="-1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Aceso/ distribuci</w:t>
            </w:r>
            <w:r>
              <w:rPr>
                <w:rFonts w:eastAsia="" w:cs=""/>
                <w:kern w:val="0"/>
                <w:sz w:val="20"/>
                <w:szCs w:val="20"/>
                <w:lang w:val="es-ES_tradnl" w:eastAsia="en-US" w:bidi="ar-SA"/>
              </w:rPr>
              <w:t>ón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3" w:left="318" w:right="-1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Disponabilidad</w:t>
            </w:r>
          </w:p>
        </w:tc>
        <w:tc>
          <w:tcPr>
            <w:tcW w:w="280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Institucionales-sociales (sesgos políticos)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Infraestructurales (insuficiente capacidad)</w:t>
            </w:r>
          </w:p>
        </w:tc>
        <w:tc>
          <w:tcPr>
            <w:tcW w:w="221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Salud humano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Costos económicos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Inequidad social</w:t>
            </w:r>
          </w:p>
        </w:tc>
        <w:tc>
          <w:tcPr>
            <w:tcW w:w="280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en-US" w:bidi="ar-SA"/>
              </w:rPr>
              <w:t>Mobilización política - ciudadana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ind w:hanging="284" w:left="408" w:right="-199"/>
              <w:contextualSpacing/>
              <w:jc w:val="left"/>
              <w:rPr>
                <w:sz w:val="20"/>
                <w:szCs w:val="20"/>
                <w:lang w:val="es-MX"/>
              </w:rPr>
            </w:pPr>
            <w:r>
              <w:rPr>
                <w:rFonts w:eastAsia="" w:cs=""/>
                <w:kern w:val="0"/>
                <w:sz w:val="20"/>
                <w:szCs w:val="20"/>
                <w:lang w:val="es-MX" w:eastAsia="en-US" w:bidi="ar-SA"/>
              </w:rPr>
              <w:t>Adaptaciones en el hogar (cisternas, tinacos, etc)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  <w:bookmarkStart w:id="0" w:name="_GoBack"/>
      <w:bookmarkEnd w:id="0"/>
    </w:p>
    <w:sectPr>
      <w:type w:val="nextPage"/>
      <w:pgSz w:orient="landscape" w:w="15840" w:h="12240"/>
      <w:pgMar w:left="1440" w:right="1440" w:gutter="0" w:header="0" w:top="1797" w:footer="0" w:bottom="17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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d4a3c"/>
    <w:pPr>
      <w:widowControl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c57ca7"/>
    <w:pPr>
      <w:spacing w:before="0" w:after="0"/>
      <w:ind w:lef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c57c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LibreOffice/26.2.5.2$Windows_X86_64 LibreOffice_project/cd7284b4cbbfeb507e630c1aac019f4157393acb</Application>
  <AppVersion>15.0000</AppVersion>
  <Pages>1</Pages>
  <Words>144</Words>
  <Characters>924</Characters>
  <CharactersWithSpaces>1027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2015-04-24T21:53:00Z</dcterms:created>
  <dc:creator>heakin</dc:creator>
  <dc:description/>
  <dc:language>en-US</dc:language>
  <cp:lastModifiedBy/>
  <dcterms:modified xsi:type="dcterms:W3CDTF">2026-07-30T15:03:21Z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