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5A2B"/>
          <w:sz w:val="36"/>
          <w:szCs w:val="36"/>
        </w:rPr>
        <w:t xml:space="preserve">Asistente de consulta del quechua wanka</w:t>
      </w:r>
    </w:p>
    <w:p>
      <w:pPr>
        <w:spacing w:after="40"/>
      </w:pPr>
      <w:r>
        <w:rPr>
          <w:color w:val="5D574F"/>
          <w:sz w:val="26"/>
          <w:szCs w:val="26"/>
        </w:rPr>
        <w:t xml:space="preserve">Estado del proyecto y hoja de ruta</w:t>
      </w:r>
    </w:p>
    <w:p>
      <w:pPr>
        <w:pBdr>
          <w:bottom w:val="single" w:color="DED5C7" w:sz="6" w:space="6"/>
        </w:pBdr>
        <w:spacing w:after="260"/>
      </w:pPr>
      <w:r>
        <w:rPr>
          <w:color w:val="5D574F"/>
          <w:sz w:val="20"/>
          <w:szCs w:val="20"/>
        </w:rPr>
        <w:t xml:space="preserve">Taller de Proyectos 1 · 21 de septiembre de 2026</w:t>
      </w:r>
    </w:p>
    <w:p>
      <w:pPr>
        <w:spacing w:after="140"/>
      </w:pPr>
      <w:r>
        <w:t xml:space="preserve">Este documento recoge en qué punto quedó el trabajo y qué falta para completarlo, de modo que pueda retomarse más adelante sin tener que reconstruir el contexto.</w:t>
      </w:r>
    </w:p>
    <w:p>
      <w:pPr>
        <w:pStyle w:val="Heading1"/>
        <w:spacing w:after="180" w:before="340"/>
      </w:pPr>
      <w:r>
        <w:t xml:space="preserve">1. Dónde está todo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F0EBE2" w:val="clear"/>
            <w:tcMar>
              <w:top w:type="dxa" w:w="80"/>
              <w:left w:type="dxa" w:w="120"/>
              <w:bottom w:type="dxa" w:w="80"/>
              <w:right w:type="dxa" w:w="120"/>
            </w:tcMar>
          </w:tcPr>
          <w:p>
            <w:pPr>
              <w:spacing w:after="0"/>
            </w:pPr>
            <w:r>
              <w:rPr>
                <w:b/>
                <w:bCs/>
                <w:sz w:val="19"/>
                <w:szCs w:val="19"/>
              </w:rPr>
              <w:t xml:space="preserve">Elemento</w:t>
            </w:r>
          </w:p>
        </w:tc>
        <w:tc>
          <w:tcPr>
            <w:tcW w:type="dxa" w:w="6226"/>
            <w:shd w:fill="F0EBE2" w:val="clear"/>
            <w:tcMar>
              <w:top w:type="dxa" w:w="80"/>
              <w:left w:type="dxa" w:w="120"/>
              <w:bottom w:type="dxa" w:w="80"/>
              <w:right w:type="dxa" w:w="120"/>
            </w:tcMar>
          </w:tcPr>
          <w:p>
            <w:pPr>
              <w:spacing w:after="0"/>
            </w:pPr>
            <w:r>
              <w:rPr>
                <w:b/>
                <w:bCs/>
                <w:sz w:val="19"/>
                <w:szCs w:val="19"/>
              </w:rPr>
              <w:t xml:space="preserve">Ubicación</w:t>
            </w:r>
          </w:p>
        </w:tc>
      </w:tr>
      <w:tr>
        <w:tc>
          <w:tcPr>
            <w:tcW w:type="dxa" w:w="2800"/>
            <w:tcMar>
              <w:top w:type="dxa" w:w="80"/>
              <w:left w:type="dxa" w:w="120"/>
              <w:bottom w:type="dxa" w:w="80"/>
              <w:right w:type="dxa" w:w="120"/>
            </w:tcMar>
          </w:tcPr>
          <w:p>
            <w:pPr>
              <w:spacing w:after="0"/>
            </w:pPr>
            <w:r>
              <w:rPr>
                <w:b w:val="false"/>
                <w:bCs w:val="false"/>
                <w:sz w:val="19"/>
                <w:szCs w:val="19"/>
              </w:rPr>
              <w:t xml:space="preserve">Código del proyecto</w:t>
            </w:r>
          </w:p>
        </w:tc>
        <w:tc>
          <w:tcPr>
            <w:tcW w:type="dxa" w:w="6226"/>
            <w:tcMar>
              <w:top w:type="dxa" w:w="80"/>
              <w:left w:type="dxa" w:w="120"/>
              <w:bottom w:type="dxa" w:w="80"/>
              <w:right w:type="dxa" w:w="120"/>
            </w:tcMar>
          </w:tcPr>
          <w:p>
            <w:pPr>
              <w:spacing w:after="0"/>
            </w:pPr>
            <w:r>
              <w:rPr>
                <w:b w:val="false"/>
                <w:bCs w:val="false"/>
                <w:sz w:val="19"/>
                <w:szCs w:val="19"/>
              </w:rPr>
              <w:t xml:space="preserve">F:\App Quechua</w:t>
            </w:r>
          </w:p>
        </w:tc>
      </w:tr>
      <w:tr>
        <w:tc>
          <w:tcPr>
            <w:tcW w:type="dxa" w:w="2800"/>
            <w:tcMar>
              <w:top w:type="dxa" w:w="80"/>
              <w:left w:type="dxa" w:w="120"/>
              <w:bottom w:type="dxa" w:w="80"/>
              <w:right w:type="dxa" w:w="120"/>
            </w:tcMar>
          </w:tcPr>
          <w:p>
            <w:pPr>
              <w:spacing w:after="0"/>
            </w:pPr>
            <w:r>
              <w:rPr>
                <w:b w:val="false"/>
                <w:bCs w:val="false"/>
                <w:sz w:val="19"/>
                <w:szCs w:val="19"/>
              </w:rPr>
              <w:t xml:space="preserve">Repositorio público</w:t>
            </w:r>
          </w:p>
        </w:tc>
        <w:tc>
          <w:tcPr>
            <w:tcW w:type="dxa" w:w="6226"/>
            <w:tcMar>
              <w:top w:type="dxa" w:w="80"/>
              <w:left w:type="dxa" w:w="120"/>
              <w:bottom w:type="dxa" w:w="80"/>
              <w:right w:type="dxa" w:w="120"/>
            </w:tcMar>
          </w:tcPr>
          <w:p>
            <w:pPr>
              <w:spacing w:after="0"/>
            </w:pPr>
            <w:r>
              <w:rPr>
                <w:b w:val="false"/>
                <w:bCs w:val="false"/>
                <w:sz w:val="19"/>
                <w:szCs w:val="19"/>
              </w:rPr>
              <w:t xml:space="preserve">github.com/DalgomXD-byte/asistente-quechua-wanka</w:t>
            </w:r>
          </w:p>
        </w:tc>
      </w:tr>
      <w:tr>
        <w:tc>
          <w:tcPr>
            <w:tcW w:type="dxa" w:w="2800"/>
            <w:tcMar>
              <w:top w:type="dxa" w:w="80"/>
              <w:left w:type="dxa" w:w="120"/>
              <w:bottom w:type="dxa" w:w="80"/>
              <w:right w:type="dxa" w:w="120"/>
            </w:tcMar>
          </w:tcPr>
          <w:p>
            <w:pPr>
              <w:spacing w:after="0"/>
            </w:pPr>
            <w:r>
              <w:rPr>
                <w:b w:val="false"/>
                <w:bCs w:val="false"/>
                <w:sz w:val="19"/>
                <w:szCs w:val="19"/>
              </w:rPr>
              <w:t xml:space="preserve">Documentos académicos</w:t>
            </w:r>
          </w:p>
        </w:tc>
        <w:tc>
          <w:tcPr>
            <w:tcW w:type="dxa" w:w="6226"/>
            <w:tcMar>
              <w:top w:type="dxa" w:w="80"/>
              <w:left w:type="dxa" w:w="120"/>
              <w:bottom w:type="dxa" w:w="80"/>
              <w:right w:type="dxa" w:w="120"/>
            </w:tcMar>
          </w:tcPr>
          <w:p>
            <w:pPr>
              <w:spacing w:after="0"/>
            </w:pPr>
            <w:r>
              <w:rPr>
                <w:b w:val="false"/>
                <w:bCs w:val="false"/>
                <w:sz w:val="19"/>
                <w:szCs w:val="19"/>
              </w:rPr>
              <w:t xml:space="preserve">OneDrive\...\Tesis Jueves\App\Archivos</w:t>
            </w:r>
          </w:p>
        </w:tc>
      </w:tr>
      <w:tr>
        <w:tc>
          <w:tcPr>
            <w:tcW w:type="dxa" w:w="2800"/>
            <w:tcMar>
              <w:top w:type="dxa" w:w="80"/>
              <w:left w:type="dxa" w:w="120"/>
              <w:bottom w:type="dxa" w:w="80"/>
              <w:right w:type="dxa" w:w="120"/>
            </w:tcMar>
          </w:tcPr>
          <w:p>
            <w:pPr>
              <w:spacing w:after="0"/>
            </w:pPr>
            <w:r>
              <w:rPr>
                <w:b w:val="false"/>
                <w:bCs w:val="false"/>
                <w:sz w:val="19"/>
                <w:szCs w:val="19"/>
              </w:rPr>
              <w:t xml:space="preserve">Corpus y conjunto de evaluación</w:t>
            </w:r>
          </w:p>
        </w:tc>
        <w:tc>
          <w:tcPr>
            <w:tcW w:type="dxa" w:w="6226"/>
            <w:tcMar>
              <w:top w:type="dxa" w:w="80"/>
              <w:left w:type="dxa" w:w="120"/>
              <w:bottom w:type="dxa" w:w="80"/>
              <w:right w:type="dxa" w:w="120"/>
            </w:tcMar>
          </w:tcPr>
          <w:p>
            <w:pPr>
              <w:spacing w:after="0"/>
            </w:pPr>
            <w:r>
              <w:rPr>
                <w:b w:val="false"/>
                <w:bCs w:val="false"/>
                <w:sz w:val="19"/>
                <w:szCs w:val="19"/>
              </w:rPr>
              <w:t xml:space="preserve">F:\App Quechua\backend\data</w:t>
            </w:r>
          </w:p>
        </w:tc>
      </w:tr>
      <w:tr>
        <w:tc>
          <w:tcPr>
            <w:tcW w:type="dxa" w:w="2800"/>
            <w:tcMar>
              <w:top w:type="dxa" w:w="80"/>
              <w:left w:type="dxa" w:w="120"/>
              <w:bottom w:type="dxa" w:w="80"/>
              <w:right w:type="dxa" w:w="120"/>
            </w:tcMar>
          </w:tcPr>
          <w:p>
            <w:pPr>
              <w:spacing w:after="0"/>
            </w:pPr>
            <w:r>
              <w:rPr>
                <w:b w:val="false"/>
                <w:bCs w:val="false"/>
                <w:sz w:val="19"/>
                <w:szCs w:val="19"/>
              </w:rPr>
              <w:t xml:space="preserve">Guía de instalación</w:t>
            </w:r>
          </w:p>
        </w:tc>
        <w:tc>
          <w:tcPr>
            <w:tcW w:type="dxa" w:w="6226"/>
            <w:tcMar>
              <w:top w:type="dxa" w:w="80"/>
              <w:left w:type="dxa" w:w="120"/>
              <w:bottom w:type="dxa" w:w="80"/>
              <w:right w:type="dxa" w:w="120"/>
            </w:tcMar>
          </w:tcPr>
          <w:p>
            <w:pPr>
              <w:spacing w:after="0"/>
            </w:pPr>
            <w:r>
              <w:rPr>
                <w:b w:val="false"/>
                <w:bCs w:val="false"/>
                <w:sz w:val="19"/>
                <w:szCs w:val="19"/>
              </w:rPr>
              <w:t xml:space="preserve">docs/INSTALACION.md</w:t>
            </w:r>
          </w:p>
        </w:tc>
      </w:tr>
      <w:tr>
        <w:tc>
          <w:tcPr>
            <w:tcW w:type="dxa" w:w="2800"/>
            <w:tcMar>
              <w:top w:type="dxa" w:w="80"/>
              <w:left w:type="dxa" w:w="120"/>
              <w:bottom w:type="dxa" w:w="80"/>
              <w:right w:type="dxa" w:w="120"/>
            </w:tcMar>
          </w:tcPr>
          <w:p>
            <w:pPr>
              <w:spacing w:after="0"/>
            </w:pPr>
            <w:r>
              <w:rPr>
                <w:b w:val="false"/>
                <w:bCs w:val="false"/>
                <w:sz w:val="19"/>
                <w:szCs w:val="19"/>
              </w:rPr>
              <w:t xml:space="preserve">Guion de la demostración</w:t>
            </w:r>
          </w:p>
        </w:tc>
        <w:tc>
          <w:tcPr>
            <w:tcW w:type="dxa" w:w="6226"/>
            <w:tcMar>
              <w:top w:type="dxa" w:w="80"/>
              <w:left w:type="dxa" w:w="120"/>
              <w:bottom w:type="dxa" w:w="80"/>
              <w:right w:type="dxa" w:w="120"/>
            </w:tcMar>
          </w:tcPr>
          <w:p>
            <w:pPr>
              <w:spacing w:after="0"/>
            </w:pPr>
            <w:r>
              <w:rPr>
                <w:b w:val="false"/>
                <w:bCs w:val="false"/>
                <w:sz w:val="19"/>
                <w:szCs w:val="19"/>
              </w:rPr>
              <w:t xml:space="preserve">docs/GUION_DEMO.md</w:t>
            </w:r>
          </w:p>
        </w:tc>
      </w:tr>
      <w:tr>
        <w:tc>
          <w:tcPr>
            <w:tcW w:type="dxa" w:w="2800"/>
            <w:tcMar>
              <w:top w:type="dxa" w:w="80"/>
              <w:left w:type="dxa" w:w="120"/>
              <w:bottom w:type="dxa" w:w="80"/>
              <w:right w:type="dxa" w:w="120"/>
            </w:tcMar>
          </w:tcPr>
          <w:p>
            <w:pPr>
              <w:spacing w:after="0"/>
            </w:pPr>
            <w:r>
              <w:rPr>
                <w:b w:val="false"/>
                <w:bCs w:val="false"/>
                <w:sz w:val="19"/>
                <w:szCs w:val="19"/>
              </w:rPr>
              <w:t xml:space="preserve">Colección de Postman</w:t>
            </w:r>
          </w:p>
        </w:tc>
        <w:tc>
          <w:tcPr>
            <w:tcW w:type="dxa" w:w="6226"/>
            <w:tcMar>
              <w:top w:type="dxa" w:w="80"/>
              <w:left w:type="dxa" w:w="120"/>
              <w:bottom w:type="dxa" w:w="80"/>
              <w:right w:type="dxa" w:w="120"/>
            </w:tcMar>
          </w:tcPr>
          <w:p>
            <w:pPr>
              <w:spacing w:after="0"/>
            </w:pPr>
            <w:r>
              <w:rPr>
                <w:b w:val="false"/>
                <w:bCs w:val="false"/>
                <w:sz w:val="19"/>
                <w:szCs w:val="19"/>
              </w:rPr>
              <w:t xml:space="preserve">docs/Asistente_Quechua_Wanka.postman_collection.json</w:t>
            </w:r>
          </w:p>
        </w:tc>
      </w:tr>
    </w:tbl>
    <w:p>
      <w:pPr>
        <w:spacing w:after="140"/>
      </w:pPr>
      <w:r>
        <w:t xml:space="preserve"/>
      </w:r>
    </w:p>
    <w:p>
      <w:pPr>
        <w:spacing w:after="140"/>
        <w:rPr>
          <w:i/>
          <w:iCs/>
          <w:color w:val="5D574F"/>
          <w:sz w:val="20"/>
          <w:szCs w:val="20"/>
        </w:rPr>
      </w:pPr>
      <w:r>
        <w:rPr>
          <w:i/>
          <w:iCs/>
          <w:color w:val="5D574F"/>
          <w:sz w:val="20"/>
          <w:szCs w:val="20"/>
        </w:rPr>
        <w:t xml:space="preserve">La contraseña de PostgreSQL está en backend/.env, que no se versiona y por tanto no está en el repositorio público.</w:t>
      </w:r>
    </w:p>
    <w:p>
      <w:pPr>
        <w:pStyle w:val="Heading1"/>
        <w:spacing w:after="180" w:before="340"/>
      </w:pPr>
      <w:r>
        <w:t xml:space="preserve">2. Estado actual</w:t>
      </w:r>
    </w:p>
    <w:p>
      <w:pPr>
        <w:spacing w:after="140"/>
      </w:pPr>
      <w:r>
        <w:t xml:space="preserve">El PMV1 está terminado y verificado. Cumple los cuatro requisitos que exigía la consigna del curso —front-end, back-end, base de datos e integración con un servicio de inteligencia artificial— bajo arquitectura hexagonal.</w:t>
      </w:r>
    </w:p>
    <w:p>
      <w:pPr>
        <w:pStyle w:val="Heading2"/>
        <w:spacing w:after="140" w:before="260"/>
      </w:pPr>
      <w:r>
        <w:t xml:space="preserve">Historias de usuario cubiertas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rPr>
          <w:tblHeader/>
        </w:trPr>
        <w:tc>
          <w:tcPr>
            <w:tcW w:type="dxa" w:w="5400"/>
            <w:shd w:fill="F0EBE2" w:val="clear"/>
            <w:tcMar>
              <w:top w:type="dxa" w:w="80"/>
              <w:left w:type="dxa" w:w="120"/>
              <w:bottom w:type="dxa" w:w="80"/>
              <w:right w:type="dxa" w:w="120"/>
            </w:tcMar>
          </w:tcPr>
          <w:p>
            <w:pPr>
              <w:spacing w:after="0"/>
            </w:pPr>
            <w:r>
              <w:rPr>
                <w:b/>
                <w:bCs/>
                <w:sz w:val="19"/>
                <w:szCs w:val="19"/>
              </w:rPr>
              <w:t xml:space="preserve">Historia</w:t>
            </w:r>
          </w:p>
        </w:tc>
        <w:tc>
          <w:tcPr>
            <w:tcW w:type="dxa" w:w="3626"/>
            <w:shd w:fill="F0EBE2" w:val="clear"/>
            <w:tcMar>
              <w:top w:type="dxa" w:w="80"/>
              <w:left w:type="dxa" w:w="120"/>
              <w:bottom w:type="dxa" w:w="80"/>
              <w:right w:type="dxa" w:w="120"/>
            </w:tcMar>
          </w:tcPr>
          <w:p>
            <w:pPr>
              <w:spacing w:after="0"/>
            </w:pPr>
            <w:r>
              <w:rPr>
                <w:b/>
                <w:bCs/>
                <w:sz w:val="19"/>
                <w:szCs w:val="19"/>
              </w:rPr>
              <w:t xml:space="preserve">Estado</w:t>
            </w:r>
          </w:p>
        </w:tc>
      </w:tr>
      <w:tr>
        <w:tc>
          <w:tcPr>
            <w:tcW w:type="dxa" w:w="5400"/>
            <w:tcMar>
              <w:top w:type="dxa" w:w="80"/>
              <w:left w:type="dxa" w:w="120"/>
              <w:bottom w:type="dxa" w:w="80"/>
              <w:right w:type="dxa" w:w="120"/>
            </w:tcMar>
          </w:tcPr>
          <w:p>
            <w:pPr>
              <w:spacing w:after="0"/>
            </w:pPr>
            <w:r>
              <w:rPr>
                <w:b w:val="false"/>
                <w:bCs w:val="false"/>
                <w:sz w:val="19"/>
                <w:szCs w:val="19"/>
              </w:rPr>
              <w:t xml:space="preserve">HU-01 · Registro de fuentes con procedencia y licenciamiento</w:t>
            </w:r>
          </w:p>
        </w:tc>
        <w:tc>
          <w:tcPr>
            <w:tcW w:type="dxa" w:w="3626"/>
            <w:tcMar>
              <w:top w:type="dxa" w:w="80"/>
              <w:left w:type="dxa" w:w="120"/>
              <w:bottom w:type="dxa" w:w="80"/>
              <w:right w:type="dxa" w:w="120"/>
            </w:tcMar>
          </w:tcPr>
          <w:p>
            <w:pPr>
              <w:spacing w:after="0"/>
            </w:pPr>
            <w:r>
              <w:rPr>
                <w:b w:val="false"/>
                <w:bCs w:val="false"/>
                <w:sz w:val="19"/>
                <w:szCs w:val="19"/>
              </w:rPr>
              <w:t xml:space="preserve">Completa, con vista y CRUD</w:t>
            </w:r>
          </w:p>
        </w:tc>
      </w:tr>
      <w:tr>
        <w:tc>
          <w:tcPr>
            <w:tcW w:type="dxa" w:w="5400"/>
            <w:tcMar>
              <w:top w:type="dxa" w:w="80"/>
              <w:left w:type="dxa" w:w="120"/>
              <w:bottom w:type="dxa" w:w="80"/>
              <w:right w:type="dxa" w:w="120"/>
            </w:tcMar>
          </w:tcPr>
          <w:p>
            <w:pPr>
              <w:spacing w:after="0"/>
            </w:pPr>
            <w:r>
              <w:rPr>
                <w:b w:val="false"/>
                <w:bCs w:val="false"/>
                <w:sz w:val="19"/>
                <w:szCs w:val="19"/>
              </w:rPr>
              <w:t xml:space="preserve">HU-02 · Ingesta de PDF, segmentación e indexación</w:t>
            </w:r>
          </w:p>
        </w:tc>
        <w:tc>
          <w:tcPr>
            <w:tcW w:type="dxa" w:w="3626"/>
            <w:tcMar>
              <w:top w:type="dxa" w:w="80"/>
              <w:left w:type="dxa" w:w="120"/>
              <w:bottom w:type="dxa" w:w="80"/>
              <w:right w:type="dxa" w:w="120"/>
            </w:tcMar>
          </w:tcPr>
          <w:p>
            <w:pPr>
              <w:spacing w:after="0"/>
            </w:pPr>
            <w:r>
              <w:rPr>
                <w:b w:val="false"/>
                <w:bCs w:val="false"/>
                <w:sz w:val="19"/>
                <w:szCs w:val="19"/>
              </w:rPr>
              <w:t xml:space="preserve">Completa, con reindexación en caliente</w:t>
            </w:r>
          </w:p>
        </w:tc>
      </w:tr>
      <w:tr>
        <w:tc>
          <w:tcPr>
            <w:tcW w:type="dxa" w:w="5400"/>
            <w:tcMar>
              <w:top w:type="dxa" w:w="80"/>
              <w:left w:type="dxa" w:w="120"/>
              <w:bottom w:type="dxa" w:w="80"/>
              <w:right w:type="dxa" w:w="120"/>
            </w:tcMar>
          </w:tcPr>
          <w:p>
            <w:pPr>
              <w:spacing w:after="0"/>
            </w:pPr>
            <w:r>
              <w:rPr>
                <w:b w:val="false"/>
                <w:bCs w:val="false"/>
                <w:sz w:val="19"/>
                <w:szCs w:val="19"/>
              </w:rPr>
              <w:t xml:space="preserve">HU-03 · Consulta léxica</w:t>
            </w:r>
          </w:p>
        </w:tc>
        <w:tc>
          <w:tcPr>
            <w:tcW w:type="dxa" w:w="3626"/>
            <w:tcMar>
              <w:top w:type="dxa" w:w="80"/>
              <w:left w:type="dxa" w:w="120"/>
              <w:bottom w:type="dxa" w:w="80"/>
              <w:right w:type="dxa" w:w="120"/>
            </w:tcMar>
          </w:tcPr>
          <w:p>
            <w:pPr>
              <w:spacing w:after="0"/>
            </w:pPr>
            <w:r>
              <w:rPr>
                <w:b w:val="false"/>
                <w:bCs w:val="false"/>
                <w:sz w:val="19"/>
                <w:szCs w:val="19"/>
              </w:rPr>
              <w:t xml:space="preserve">Completa</w:t>
            </w:r>
          </w:p>
        </w:tc>
      </w:tr>
      <w:tr>
        <w:tc>
          <w:tcPr>
            <w:tcW w:type="dxa" w:w="5400"/>
            <w:tcMar>
              <w:top w:type="dxa" w:w="80"/>
              <w:left w:type="dxa" w:w="120"/>
              <w:bottom w:type="dxa" w:w="80"/>
              <w:right w:type="dxa" w:w="120"/>
            </w:tcMar>
          </w:tcPr>
          <w:p>
            <w:pPr>
              <w:spacing w:after="0"/>
            </w:pPr>
            <w:r>
              <w:rPr>
                <w:b w:val="false"/>
                <w:bCs w:val="false"/>
                <w:sz w:val="19"/>
                <w:szCs w:val="19"/>
              </w:rPr>
              <w:t xml:space="preserve">HU-05 · Multilingüismo con traducción previa</w:t>
            </w:r>
          </w:p>
        </w:tc>
        <w:tc>
          <w:tcPr>
            <w:tcW w:type="dxa" w:w="3626"/>
            <w:tcMar>
              <w:top w:type="dxa" w:w="80"/>
              <w:left w:type="dxa" w:w="120"/>
              <w:bottom w:type="dxa" w:w="80"/>
              <w:right w:type="dxa" w:w="120"/>
            </w:tcMar>
          </w:tcPr>
          <w:p>
            <w:pPr>
              <w:spacing w:after="0"/>
            </w:pPr>
            <w:r>
              <w:rPr>
                <w:b w:val="false"/>
                <w:bCs w:val="false"/>
                <w:sz w:val="19"/>
                <w:szCs w:val="19"/>
              </w:rPr>
              <w:t xml:space="preserve">Completa (era el criterio incumplido)</w:t>
            </w:r>
          </w:p>
        </w:tc>
      </w:tr>
      <w:tr>
        <w:tc>
          <w:tcPr>
            <w:tcW w:type="dxa" w:w="5400"/>
            <w:tcMar>
              <w:top w:type="dxa" w:w="80"/>
              <w:left w:type="dxa" w:w="120"/>
              <w:bottom w:type="dxa" w:w="80"/>
              <w:right w:type="dxa" w:w="120"/>
            </w:tcMar>
          </w:tcPr>
          <w:p>
            <w:pPr>
              <w:spacing w:after="0"/>
            </w:pPr>
            <w:r>
              <w:rPr>
                <w:b w:val="false"/>
                <w:bCs w:val="false"/>
                <w:sz w:val="19"/>
                <w:szCs w:val="19"/>
              </w:rPr>
              <w:t xml:space="preserve">HU-06 · Salvaguarda antialucinación</w:t>
            </w:r>
          </w:p>
        </w:tc>
        <w:tc>
          <w:tcPr>
            <w:tcW w:type="dxa" w:w="3626"/>
            <w:tcMar>
              <w:top w:type="dxa" w:w="80"/>
              <w:left w:type="dxa" w:w="120"/>
              <w:bottom w:type="dxa" w:w="80"/>
              <w:right w:type="dxa" w:w="120"/>
            </w:tcMar>
          </w:tcPr>
          <w:p>
            <w:pPr>
              <w:spacing w:after="0"/>
            </w:pPr>
            <w:r>
              <w:rPr>
                <w:b w:val="false"/>
                <w:bCs w:val="false"/>
                <w:sz w:val="19"/>
                <w:szCs w:val="19"/>
              </w:rPr>
              <w:t xml:space="preserve">Completa</w:t>
            </w:r>
          </w:p>
        </w:tc>
      </w:tr>
      <w:tr>
        <w:tc>
          <w:tcPr>
            <w:tcW w:type="dxa" w:w="5400"/>
            <w:tcMar>
              <w:top w:type="dxa" w:w="80"/>
              <w:left w:type="dxa" w:w="120"/>
              <w:bottom w:type="dxa" w:w="80"/>
              <w:right w:type="dxa" w:w="120"/>
            </w:tcMar>
          </w:tcPr>
          <w:p>
            <w:pPr>
              <w:spacing w:after="0"/>
            </w:pPr>
            <w:r>
              <w:rPr>
                <w:b w:val="false"/>
                <w:bCs w:val="false"/>
                <w:sz w:val="19"/>
                <w:szCs w:val="19"/>
              </w:rPr>
              <w:t xml:space="preserve">HU-07 · Trazabilidad documental</w:t>
            </w:r>
          </w:p>
        </w:tc>
        <w:tc>
          <w:tcPr>
            <w:tcW w:type="dxa" w:w="3626"/>
            <w:tcMar>
              <w:top w:type="dxa" w:w="80"/>
              <w:left w:type="dxa" w:w="120"/>
              <w:bottom w:type="dxa" w:w="80"/>
              <w:right w:type="dxa" w:w="120"/>
            </w:tcMar>
          </w:tcPr>
          <w:p>
            <w:pPr>
              <w:spacing w:after="0"/>
            </w:pPr>
            <w:r>
              <w:rPr>
                <w:b w:val="false"/>
                <w:bCs w:val="false"/>
                <w:sz w:val="19"/>
                <w:szCs w:val="19"/>
              </w:rPr>
              <w:t xml:space="preserve">Completa</w:t>
            </w:r>
          </w:p>
        </w:tc>
      </w:tr>
      <w:tr>
        <w:tc>
          <w:tcPr>
            <w:tcW w:type="dxa" w:w="5400"/>
            <w:tcMar>
              <w:top w:type="dxa" w:w="80"/>
              <w:left w:type="dxa" w:w="120"/>
              <w:bottom w:type="dxa" w:w="80"/>
              <w:right w:type="dxa" w:w="120"/>
            </w:tcMar>
          </w:tcPr>
          <w:p>
            <w:pPr>
              <w:spacing w:after="0"/>
            </w:pPr>
            <w:r>
              <w:rPr>
                <w:b w:val="false"/>
                <w:bCs w:val="false"/>
                <w:sz w:val="19"/>
                <w:szCs w:val="19"/>
              </w:rPr>
              <w:t xml:space="preserve">HU-04 · Consulta de contenido cultural</w:t>
            </w:r>
          </w:p>
        </w:tc>
        <w:tc>
          <w:tcPr>
            <w:tcW w:type="dxa" w:w="3626"/>
            <w:tcMar>
              <w:top w:type="dxa" w:w="80"/>
              <w:left w:type="dxa" w:w="120"/>
              <w:bottom w:type="dxa" w:w="80"/>
              <w:right w:type="dxa" w:w="120"/>
            </w:tcMar>
          </w:tcPr>
          <w:p>
            <w:pPr>
              <w:spacing w:after="0"/>
            </w:pPr>
            <w:r>
              <w:rPr>
                <w:b w:val="false"/>
                <w:bCs w:val="false"/>
                <w:sz w:val="19"/>
                <w:szCs w:val="19"/>
              </w:rPr>
              <w:t xml:space="preserve">No evaluada (ver sección 5)</w:t>
            </w:r>
          </w:p>
        </w:tc>
      </w:tr>
    </w:tbl>
    <w:p>
      <w:pPr>
        <w:pStyle w:val="Heading2"/>
        <w:spacing w:after="140" w:before="260"/>
      </w:pPr>
      <w:r>
        <w:t xml:space="preserve">Resultados medidos</w:t>
      </w:r>
    </w:p>
    <w:p>
      <w:pPr>
        <w:spacing w:after="140"/>
      </w:pPr>
      <w:r>
        <w:t xml:space="preserve">Todas las cifras proceden de ejecuciones reales sobre el corpus de 3 605 fragmentos y el conjunto de evaluación de 248 consultas. Son reproducibles con los guiones incluidos en 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shd w:fill="F0EBE2" w:val="clear"/>
            <w:tcMar>
              <w:top w:type="dxa" w:w="80"/>
              <w:left w:type="dxa" w:w="120"/>
              <w:bottom w:type="dxa" w:w="80"/>
              <w:right w:type="dxa" w:w="120"/>
            </w:tcMar>
          </w:tcPr>
          <w:p>
            <w:pPr>
              <w:spacing w:after="0"/>
            </w:pPr>
            <w:r>
              <w:rPr>
                <w:b/>
                <w:bCs/>
                <w:sz w:val="19"/>
                <w:szCs w:val="19"/>
              </w:rPr>
              <w:t xml:space="preserve">Métrica</w:t>
            </w:r>
          </w:p>
        </w:tc>
        <w:tc>
          <w:tcPr>
            <w:tcW w:type="dxa" w:w="4026"/>
            <w:shd w:fill="F0EBE2" w:val="clear"/>
            <w:tcMar>
              <w:top w:type="dxa" w:w="80"/>
              <w:left w:type="dxa" w:w="120"/>
              <w:bottom w:type="dxa" w:w="80"/>
              <w:right w:type="dxa" w:w="120"/>
            </w:tcMar>
          </w:tcPr>
          <w:p>
            <w:pPr>
              <w:spacing w:after="0"/>
            </w:pPr>
            <w:r>
              <w:rPr>
                <w:b/>
                <w:bCs/>
                <w:sz w:val="19"/>
                <w:szCs w:val="19"/>
              </w:rPr>
              <w:t xml:space="preserve">Valor</w:t>
            </w:r>
          </w:p>
        </w:tc>
      </w:tr>
      <w:tr>
        <w:tc>
          <w:tcPr>
            <w:tcW w:type="dxa" w:w="5000"/>
            <w:tcMar>
              <w:top w:type="dxa" w:w="80"/>
              <w:left w:type="dxa" w:w="120"/>
              <w:bottom w:type="dxa" w:w="80"/>
              <w:right w:type="dxa" w:w="120"/>
            </w:tcMar>
          </w:tcPr>
          <w:p>
            <w:pPr>
              <w:spacing w:after="0"/>
            </w:pPr>
            <w:r>
              <w:rPr>
                <w:b w:val="false"/>
                <w:bCs w:val="false"/>
                <w:sz w:val="19"/>
                <w:szCs w:val="19"/>
              </w:rPr>
              <w:t xml:space="preserve">recall@5 en español</w:t>
            </w:r>
          </w:p>
        </w:tc>
        <w:tc>
          <w:tcPr>
            <w:tcW w:type="dxa" w:w="4026"/>
            <w:tcMar>
              <w:top w:type="dxa" w:w="80"/>
              <w:left w:type="dxa" w:w="120"/>
              <w:bottom w:type="dxa" w:w="80"/>
              <w:right w:type="dxa" w:w="120"/>
            </w:tcMar>
          </w:tcPr>
          <w:p>
            <w:pPr>
              <w:spacing w:after="0"/>
            </w:pPr>
            <w:r>
              <w:rPr>
                <w:b w:val="false"/>
                <w:bCs w:val="false"/>
                <w:sz w:val="19"/>
                <w:szCs w:val="19"/>
              </w:rPr>
              <w:t xml:space="preserve">1.000</w:t>
            </w:r>
          </w:p>
        </w:tc>
      </w:tr>
      <w:tr>
        <w:tc>
          <w:tcPr>
            <w:tcW w:type="dxa" w:w="5000"/>
            <w:tcMar>
              <w:top w:type="dxa" w:w="80"/>
              <w:left w:type="dxa" w:w="120"/>
              <w:bottom w:type="dxa" w:w="80"/>
              <w:right w:type="dxa" w:w="120"/>
            </w:tcMar>
          </w:tcPr>
          <w:p>
            <w:pPr>
              <w:spacing w:after="0"/>
            </w:pPr>
            <w:r>
              <w:rPr>
                <w:b w:val="false"/>
                <w:bCs w:val="false"/>
                <w:sz w:val="19"/>
                <w:szCs w:val="19"/>
              </w:rPr>
              <w:t xml:space="preserve">recall@5 en inglés con traducción previa</w:t>
            </w:r>
          </w:p>
        </w:tc>
        <w:tc>
          <w:tcPr>
            <w:tcW w:type="dxa" w:w="4026"/>
            <w:tcMar>
              <w:top w:type="dxa" w:w="80"/>
              <w:left w:type="dxa" w:w="120"/>
              <w:bottom w:type="dxa" w:w="80"/>
              <w:right w:type="dxa" w:w="120"/>
            </w:tcMar>
          </w:tcPr>
          <w:p>
            <w:pPr>
              <w:spacing w:after="0"/>
            </w:pPr>
            <w:r>
              <w:rPr>
                <w:b w:val="false"/>
                <w:bCs w:val="false"/>
                <w:sz w:val="19"/>
                <w:szCs w:val="19"/>
              </w:rPr>
              <w:t xml:space="preserve">0.950 (frente a 0.175 sin ella)</w:t>
            </w:r>
          </w:p>
        </w:tc>
      </w:tr>
      <w:tr>
        <w:tc>
          <w:tcPr>
            <w:tcW w:type="dxa" w:w="5000"/>
            <w:tcMar>
              <w:top w:type="dxa" w:w="80"/>
              <w:left w:type="dxa" w:w="120"/>
              <w:bottom w:type="dxa" w:w="80"/>
              <w:right w:type="dxa" w:w="120"/>
            </w:tcMar>
          </w:tcPr>
          <w:p>
            <w:pPr>
              <w:spacing w:after="0"/>
            </w:pPr>
            <w:r>
              <w:rPr>
                <w:b w:val="false"/>
                <w:bCs w:val="false"/>
                <w:sz w:val="19"/>
                <w:szCs w:val="19"/>
              </w:rPr>
              <w:t xml:space="preserve">Consultas en inglés atendidas</w:t>
            </w:r>
          </w:p>
        </w:tc>
        <w:tc>
          <w:tcPr>
            <w:tcW w:type="dxa" w:w="4026"/>
            <w:tcMar>
              <w:top w:type="dxa" w:w="80"/>
              <w:left w:type="dxa" w:w="120"/>
              <w:bottom w:type="dxa" w:w="80"/>
              <w:right w:type="dxa" w:w="120"/>
            </w:tcMar>
          </w:tcPr>
          <w:p>
            <w:pPr>
              <w:spacing w:after="0"/>
            </w:pPr>
            <w:r>
              <w:rPr>
                <w:b w:val="false"/>
                <w:bCs w:val="false"/>
                <w:sz w:val="19"/>
                <w:szCs w:val="19"/>
              </w:rPr>
              <w:t xml:space="preserve">90 % (frente a 2,5 % sin traducción)</w:t>
            </w:r>
          </w:p>
        </w:tc>
      </w:tr>
      <w:tr>
        <w:tc>
          <w:tcPr>
            <w:tcW w:type="dxa" w:w="5000"/>
            <w:tcMar>
              <w:top w:type="dxa" w:w="80"/>
              <w:left w:type="dxa" w:w="120"/>
              <w:bottom w:type="dxa" w:w="80"/>
              <w:right w:type="dxa" w:w="120"/>
            </w:tcMar>
          </w:tcPr>
          <w:p>
            <w:pPr>
              <w:spacing w:after="0"/>
            </w:pPr>
            <w:r>
              <w:rPr>
                <w:b w:val="false"/>
                <w:bCs w:val="false"/>
                <w:sz w:val="19"/>
                <w:szCs w:val="19"/>
              </w:rPr>
              <w:t xml:space="preserve">MRR@10</w:t>
            </w:r>
          </w:p>
        </w:tc>
        <w:tc>
          <w:tcPr>
            <w:tcW w:type="dxa" w:w="4026"/>
            <w:tcMar>
              <w:top w:type="dxa" w:w="80"/>
              <w:left w:type="dxa" w:w="120"/>
              <w:bottom w:type="dxa" w:w="80"/>
              <w:right w:type="dxa" w:w="120"/>
            </w:tcMar>
          </w:tcPr>
          <w:p>
            <w:pPr>
              <w:spacing w:after="0"/>
            </w:pPr>
            <w:r>
              <w:rPr>
                <w:b w:val="false"/>
                <w:bCs w:val="false"/>
                <w:sz w:val="19"/>
                <w:szCs w:val="19"/>
              </w:rPr>
              <w:t xml:space="preserve">0.992</w:t>
            </w:r>
          </w:p>
        </w:tc>
      </w:tr>
      <w:tr>
        <w:tc>
          <w:tcPr>
            <w:tcW w:type="dxa" w:w="5000"/>
            <w:tcMar>
              <w:top w:type="dxa" w:w="80"/>
              <w:left w:type="dxa" w:w="120"/>
              <w:bottom w:type="dxa" w:w="80"/>
              <w:right w:type="dxa" w:w="120"/>
            </w:tcMar>
          </w:tcPr>
          <w:p>
            <w:pPr>
              <w:spacing w:after="0"/>
            </w:pPr>
            <w:r>
              <w:rPr>
                <w:b w:val="false"/>
                <w:bCs w:val="false"/>
                <w:sz w:val="19"/>
                <w:szCs w:val="19"/>
              </w:rPr>
              <w:t xml:space="preserve">Umbral de abstención calibrado</w:t>
            </w:r>
          </w:p>
        </w:tc>
        <w:tc>
          <w:tcPr>
            <w:tcW w:type="dxa" w:w="4026"/>
            <w:tcMar>
              <w:top w:type="dxa" w:w="80"/>
              <w:left w:type="dxa" w:w="120"/>
              <w:bottom w:type="dxa" w:w="80"/>
              <w:right w:type="dxa" w:w="120"/>
            </w:tcMar>
          </w:tcPr>
          <w:p>
            <w:pPr>
              <w:spacing w:after="0"/>
            </w:pPr>
            <w:r>
              <w:rPr>
                <w:b w:val="false"/>
                <w:bCs w:val="false"/>
                <w:sz w:val="19"/>
                <w:szCs w:val="19"/>
              </w:rPr>
              <w:t xml:space="preserve">0.48</w:t>
            </w:r>
          </w:p>
        </w:tc>
      </w:tr>
      <w:tr>
        <w:tc>
          <w:tcPr>
            <w:tcW w:type="dxa" w:w="5000"/>
            <w:tcMar>
              <w:top w:type="dxa" w:w="80"/>
              <w:left w:type="dxa" w:w="120"/>
              <w:bottom w:type="dxa" w:w="80"/>
              <w:right w:type="dxa" w:w="120"/>
            </w:tcMar>
          </w:tcPr>
          <w:p>
            <w:pPr>
              <w:spacing w:after="0"/>
            </w:pPr>
            <w:r>
              <w:rPr>
                <w:b w:val="false"/>
                <w:bCs w:val="false"/>
                <w:sz w:val="19"/>
                <w:szCs w:val="19"/>
              </w:rPr>
              <w:t xml:space="preserve">Falsos positivos fuera de cobertura</w:t>
            </w:r>
          </w:p>
        </w:tc>
        <w:tc>
          <w:tcPr>
            <w:tcW w:type="dxa" w:w="4026"/>
            <w:tcMar>
              <w:top w:type="dxa" w:w="80"/>
              <w:left w:type="dxa" w:w="120"/>
              <w:bottom w:type="dxa" w:w="80"/>
              <w:right w:type="dxa" w:w="120"/>
            </w:tcMar>
          </w:tcPr>
          <w:p>
            <w:pPr>
              <w:spacing w:after="0"/>
            </w:pPr>
            <w:r>
              <w:rPr>
                <w:b w:val="false"/>
                <w:bCs w:val="false"/>
                <w:sz w:val="19"/>
                <w:szCs w:val="19"/>
              </w:rPr>
              <w:t xml:space="preserve">0 de 28</w:t>
            </w:r>
          </w:p>
        </w:tc>
      </w:tr>
      <w:tr>
        <w:tc>
          <w:tcPr>
            <w:tcW w:type="dxa" w:w="5000"/>
            <w:tcMar>
              <w:top w:type="dxa" w:w="80"/>
              <w:left w:type="dxa" w:w="120"/>
              <w:bottom w:type="dxa" w:w="80"/>
              <w:right w:type="dxa" w:w="120"/>
            </w:tcMar>
          </w:tcPr>
          <w:p>
            <w:pPr>
              <w:spacing w:after="0"/>
            </w:pPr>
            <w:r>
              <w:rPr>
                <w:b w:val="false"/>
                <w:bCs w:val="false"/>
                <w:sz w:val="19"/>
                <w:szCs w:val="19"/>
              </w:rPr>
              <w:t xml:space="preserve">Consultas atendibles conservadas</w:t>
            </w:r>
          </w:p>
        </w:tc>
        <w:tc>
          <w:tcPr>
            <w:tcW w:type="dxa" w:w="4026"/>
            <w:tcMar>
              <w:top w:type="dxa" w:w="80"/>
              <w:left w:type="dxa" w:w="120"/>
              <w:bottom w:type="dxa" w:w="80"/>
              <w:right w:type="dxa" w:w="120"/>
            </w:tcMar>
          </w:tcPr>
          <w:p>
            <w:pPr>
              <w:spacing w:after="0"/>
            </w:pPr>
            <w:r>
              <w:rPr>
                <w:b w:val="false"/>
                <w:bCs w:val="false"/>
                <w:sz w:val="19"/>
                <w:szCs w:val="19"/>
              </w:rPr>
              <w:t xml:space="preserve">100 %</w:t>
            </w:r>
          </w:p>
        </w:tc>
      </w:tr>
      <w:tr>
        <w:tc>
          <w:tcPr>
            <w:tcW w:type="dxa" w:w="5000"/>
            <w:tcMar>
              <w:top w:type="dxa" w:w="80"/>
              <w:left w:type="dxa" w:w="120"/>
              <w:bottom w:type="dxa" w:w="80"/>
              <w:right w:type="dxa" w:w="120"/>
            </w:tcMar>
          </w:tcPr>
          <w:p>
            <w:pPr>
              <w:spacing w:after="0"/>
            </w:pPr>
            <w:r>
              <w:rPr>
                <w:b w:val="false"/>
                <w:bCs w:val="false"/>
                <w:sz w:val="19"/>
                <w:szCs w:val="19"/>
              </w:rPr>
              <w:t xml:space="preserve">Latencia de recuperación</w:t>
            </w:r>
          </w:p>
        </w:tc>
        <w:tc>
          <w:tcPr>
            <w:tcW w:type="dxa" w:w="4026"/>
            <w:tcMar>
              <w:top w:type="dxa" w:w="80"/>
              <w:left w:type="dxa" w:w="120"/>
              <w:bottom w:type="dxa" w:w="80"/>
              <w:right w:type="dxa" w:w="120"/>
            </w:tcMar>
          </w:tcPr>
          <w:p>
            <w:pPr>
              <w:spacing w:after="0"/>
            </w:pPr>
            <w:r>
              <w:rPr>
                <w:b w:val="false"/>
                <w:bCs w:val="false"/>
                <w:sz w:val="19"/>
                <w:szCs w:val="19"/>
              </w:rPr>
              <w:t xml:space="preserve">1,7 ms de media</w:t>
            </w:r>
          </w:p>
        </w:tc>
      </w:tr>
      <w:tr>
        <w:tc>
          <w:tcPr>
            <w:tcW w:type="dxa" w:w="5000"/>
            <w:tcMar>
              <w:top w:type="dxa" w:w="80"/>
              <w:left w:type="dxa" w:w="120"/>
              <w:bottom w:type="dxa" w:w="80"/>
              <w:right w:type="dxa" w:w="120"/>
            </w:tcMar>
          </w:tcPr>
          <w:p>
            <w:pPr>
              <w:spacing w:after="0"/>
            </w:pPr>
            <w:r>
              <w:rPr>
                <w:b w:val="false"/>
                <w:bCs w:val="false"/>
                <w:sz w:val="19"/>
                <w:szCs w:val="19"/>
              </w:rPr>
              <w:t xml:space="preserve">Latencia de respuesta completa</w:t>
            </w:r>
          </w:p>
        </w:tc>
        <w:tc>
          <w:tcPr>
            <w:tcW w:type="dxa" w:w="4026"/>
            <w:tcMar>
              <w:top w:type="dxa" w:w="80"/>
              <w:left w:type="dxa" w:w="120"/>
              <w:bottom w:type="dxa" w:w="80"/>
              <w:right w:type="dxa" w:w="120"/>
            </w:tcMar>
          </w:tcPr>
          <w:p>
            <w:pPr>
              <w:spacing w:after="0"/>
            </w:pPr>
            <w:r>
              <w:rPr>
                <w:b w:val="false"/>
                <w:bCs w:val="false"/>
                <w:sz w:val="19"/>
                <w:szCs w:val="19"/>
              </w:rPr>
              <w:t xml:space="preserve">3,5 s en español · 5,8 s en inglés</w:t>
            </w:r>
          </w:p>
        </w:tc>
      </w:tr>
      <w:tr>
        <w:tc>
          <w:tcPr>
            <w:tcW w:type="dxa" w:w="5000"/>
            <w:tcMar>
              <w:top w:type="dxa" w:w="80"/>
              <w:left w:type="dxa" w:w="120"/>
              <w:bottom w:type="dxa" w:w="80"/>
              <w:right w:type="dxa" w:w="120"/>
            </w:tcMar>
          </w:tcPr>
          <w:p>
            <w:pPr>
              <w:spacing w:after="0"/>
            </w:pPr>
            <w:r>
              <w:rPr>
                <w:b w:val="false"/>
                <w:bCs w:val="false"/>
                <w:sz w:val="19"/>
                <w:szCs w:val="19"/>
              </w:rPr>
              <w:t xml:space="preserve">Pruebas automatizadas</w:t>
            </w:r>
          </w:p>
        </w:tc>
        <w:tc>
          <w:tcPr>
            <w:tcW w:type="dxa" w:w="4026"/>
            <w:tcMar>
              <w:top w:type="dxa" w:w="80"/>
              <w:left w:type="dxa" w:w="120"/>
              <w:bottom w:type="dxa" w:w="80"/>
              <w:right w:type="dxa" w:w="120"/>
            </w:tcMar>
          </w:tcPr>
          <w:p>
            <w:pPr>
              <w:spacing w:after="0"/>
            </w:pPr>
            <w:r>
              <w:rPr>
                <w:b w:val="false"/>
                <w:bCs w:val="false"/>
                <w:sz w:val="19"/>
                <w:szCs w:val="19"/>
              </w:rPr>
              <w:t xml:space="preserve">27 de Python · 39 comprobaciones de Postman</w:t>
            </w:r>
          </w:p>
        </w:tc>
      </w:tr>
    </w:tbl>
    <w:p>
      <w:pPr>
        <w:pStyle w:val="Heading2"/>
        <w:spacing w:after="140" w:before="260"/>
      </w:pPr>
      <w:r>
        <w:t xml:space="preserve">Tres hallazgos que corrigen la prueba de concepto</w:t>
      </w:r>
    </w:p>
    <w:p>
      <w:pPr>
        <w:pStyle w:val="ListParagraph"/>
        <w:numPr>
          <w:ilvl w:val="0"/>
          <w:numId w:val="2"/>
        </w:numPr>
        <w:spacing w:after="90"/>
      </w:pPr>
      <w:r>
        <w:rPr>
          <w:b/>
          <w:bCs/>
        </w:rPr>
        <w:t xml:space="preserve">Umbral recalibrado. </w:t>
      </w:r>
      <w:r>
        <w:t xml:space="preserve">El primer umbral sin falsos positivos resultó ser 0,48 y no 0,41, y conserva el 100 % de las consultas atendibles en lugar del 85,6 % reportado. La diferencia procede de que el Documento 6 no fija la fórmula exacta de las estrategias E2 y E3.</w:t>
      </w:r>
    </w:p>
    <w:p>
      <w:pPr>
        <w:pStyle w:val="ListParagraph"/>
        <w:numPr>
          <w:ilvl w:val="0"/>
          <w:numId w:val="2"/>
        </w:numPr>
        <w:spacing w:after="90"/>
      </w:pPr>
      <w:r>
        <w:rPr>
          <w:b/>
          <w:bCs/>
        </w:rPr>
        <w:t xml:space="preserve">Capa determinista de lema. </w:t>
      </w:r>
      <w:r>
        <w:t xml:space="preserve">Un término muy frecuente en el corpus recibe un IDF bajo, de modo que su propia entrada de diccionario puede quedar por debajo del umbral. El caso medido es «perro», con 0,271. Cuando el término consultado coincide exactamente con el lema de una entrada lexicográfica se considera respaldo documental sin pasar por el umbral. No puede producir falsos positivos.</w:t>
      </w:r>
    </w:p>
    <w:p>
      <w:pPr>
        <w:pStyle w:val="ListParagraph"/>
        <w:numPr>
          <w:ilvl w:val="0"/>
          <w:numId w:val="2"/>
        </w:numPr>
        <w:spacing w:after="90"/>
      </w:pPr>
      <w:r>
        <w:rPr>
          <w:b/>
          <w:bCs/>
        </w:rPr>
        <w:t xml:space="preserve">Se traduce el término, no la pregunta. </w:t>
      </w:r>
      <w:r>
        <w:t xml:space="preserve">La prueba de concepto dejó el requisito RF-04 pendiente de recalibrar el umbral. La causa medida es que traducir la pregunta completa devuelve también su fraseo en español, que reintroduce las palabras que la depuración elimina. Traduciendo solo el término ya depurado, las consultas atendidas pasan del 40 % al 90 % sin modificar el umbral, de modo que la recalibración prevista en la condición C-4 no resulta necesaria.</w:t>
      </w:r>
    </w:p>
    <w:p>
      <w:pPr>
        <w:pStyle w:val="Heading1"/>
        <w:spacing w:after="180" w:before="340"/>
      </w:pPr>
      <w:r>
        <w:t xml:space="preserve">3. Hoja de ruta</w:t>
      </w:r>
    </w:p>
    <w:p>
      <w:pPr>
        <w:pStyle w:val="Heading2"/>
        <w:spacing w:after="140" w:before="260"/>
      </w:pPr>
      <w:r>
        <w:t xml:space="preserve">Fase A · Cerrar la entrega del curso</w:t>
      </w:r>
    </w:p>
    <w:p>
      <w:pPr>
        <w:spacing w:after="140"/>
      </w:pPr>
      <w:r>
        <w:t xml:space="preserve">No queda código. Solo dos tareas, y ninguna depende de nada más:</w:t>
      </w:r>
    </w:p>
    <w:p>
      <w:pPr>
        <w:pStyle w:val="ListParagraph"/>
        <w:numPr>
          <w:ilvl w:val="0"/>
          <w:numId w:val="2"/>
        </w:numPr>
        <w:spacing w:after="90"/>
      </w:pPr>
      <w:r>
        <w:rPr>
          <w:b/>
          <w:bCs/>
        </w:rPr>
        <w:t xml:space="preserve">Grabar el vídeo de demostración, </w:t>
      </w:r>
      <w:r>
        <w:t xml:space="preserve">siguiendo el guion de docs/GUION_DEMO.md.</w:t>
      </w:r>
    </w:p>
    <w:p>
      <w:pPr>
        <w:pStyle w:val="ListParagraph"/>
        <w:numPr>
          <w:ilvl w:val="0"/>
          <w:numId w:val="2"/>
        </w:numPr>
        <w:spacing w:after="90"/>
      </w:pPr>
      <w:r>
        <w:rPr>
          <w:b/>
          <w:bCs/>
        </w:rPr>
        <w:t xml:space="preserve">Avisar al docente </w:t>
      </w:r>
      <w:r>
        <w:t xml:space="preserve">de que la integración de inteligencia artificial se ejecuta en local y por eso no hay cuenta de proveedor ni clave de interfaz de programación. Conviene presentarlo como decisión de diseño derivada de RF-12 y RNF-06, antes de que lo descubra durante la evaluación.</w:t>
      </w:r>
    </w:p>
    <w:p>
      <w:pPr>
        <w:pStyle w:val="Heading2"/>
        <w:spacing w:after="140" w:before="260"/>
      </w:pPr>
      <w:r>
        <w:t xml:space="preserve">Fase B · PMV2, la analítica predictiva</w:t>
      </w:r>
    </w:p>
    <w:p>
      <w:pPr>
        <w:spacing w:after="140"/>
      </w:pPr>
      <w:r>
        <w:t xml:space="preserve">Corresponde a los requisitos RF-14, RF-15 y RF-16. Importante: ya no es prerrequisito del incremento móvil. En la planificación original lo era, porque preparaba el índice preindexado y el codificador exportado; al haber resultado léxica la recuperación, esa dependencia desapareció y ambas fases son independientes.</w:t>
      </w:r>
    </w:p>
    <w:p>
      <w:pPr>
        <w:pStyle w:val="ListParagraph"/>
        <w:numPr>
          <w:ilvl w:val="0"/>
          <w:numId w:val="2"/>
        </w:numPr>
        <w:spacing w:after="90"/>
      </w:pPr>
      <w:r>
        <w:rPr>
          <w:b/>
          <w:bCs/>
        </w:rPr>
        <w:t xml:space="preserve">Reunir historial suficiente. </w:t>
      </w:r>
      <w:r>
        <w:t xml:space="preserve">El sistema ya registra cada consulta y cada abstención en PostgreSQL. La historia HU-09 exige un mínimo de cien consultas.</w:t>
      </w:r>
    </w:p>
    <w:p>
      <w:pPr>
        <w:pStyle w:val="ListParagraph"/>
        <w:numPr>
          <w:ilvl w:val="0"/>
          <w:numId w:val="2"/>
        </w:numPr>
        <w:spacing w:after="90"/>
      </w:pPr>
      <w:r>
        <w:rPr>
          <w:b/>
          <w:bCs/>
        </w:rPr>
        <w:t xml:space="preserve">RF-14, clasificador de cobertura: </w:t>
      </w:r>
      <w:r>
        <w:t xml:space="preserve">estima la probabilidad de que una consulta tenga respaldo antes de invocar al generador.</w:t>
      </w:r>
    </w:p>
    <w:p>
      <w:pPr>
        <w:pStyle w:val="ListParagraph"/>
        <w:numPr>
          <w:ilvl w:val="0"/>
          <w:numId w:val="2"/>
        </w:numPr>
        <w:spacing w:after="90"/>
      </w:pPr>
      <w:r>
        <w:rPr>
          <w:b/>
          <w:bCs/>
        </w:rPr>
        <w:t xml:space="preserve">RF-15, umbral adaptativo: </w:t>
      </w:r>
      <w:r>
        <w:t xml:space="preserve">solo se adopta si mejora al umbral fijo en validación cruzada; en caso contrario se conserva el fijo y se reporta el resultado negativo.</w:t>
      </w:r>
    </w:p>
    <w:p>
      <w:pPr>
        <w:pStyle w:val="ListParagraph"/>
        <w:numPr>
          <w:ilvl w:val="0"/>
          <w:numId w:val="2"/>
        </w:numPr>
        <w:spacing w:after="90"/>
      </w:pPr>
      <w:r>
        <w:rPr>
          <w:b/>
          <w:bCs/>
        </w:rPr>
        <w:t xml:space="preserve">RF-16, demanda léxica: </w:t>
      </w:r>
      <w:r>
        <w:t xml:space="preserve">proyección de los campos semánticos con mayor demanda insatisfecha.</w:t>
      </w:r>
    </w:p>
    <w:p>
      <w:pPr>
        <w:spacing w:after="140"/>
        <w:rPr>
          <w:i/>
          <w:iCs/>
        </w:rPr>
      </w:pPr>
      <w:r>
        <w:rPr>
          <w:i/>
          <w:iCs/>
        </w:rPr>
        <w:t xml:space="preserve">Queda una decisión metodológica sin resolver: de dónde salen esas cien consultas, al no haber usuarios reales. La salida practicable es ejecutar el conjunto de evaluación contra el sistema, lo que genera historial auténtico aunque las consultas procedan del propio corpus. Es defendible si se declara, pero conviene consultarlo con el asesor.</w:t>
      </w:r>
    </w:p>
    <w:p>
      <w:pPr>
        <w:pStyle w:val="Heading2"/>
        <w:spacing w:after="140" w:before="260"/>
      </w:pPr>
      <w:r>
        <w:t xml:space="preserve">Fase C · PMV3, la aplicación móvil</w:t>
      </w:r>
    </w:p>
    <w:p>
      <w:pPr>
        <w:spacing w:after="140"/>
      </w:pPr>
      <w:r>
        <w:t xml:space="preserve">El teléfono disponible es un Redmi Note 15 Pro+ con Snapdragon 7s Gen 4 y entre 8 y 12 GB de memoria, muy por encima del mínimo de 4 GB declarado en el RNF-04. Eso permite mantener Qwen3.5-0.8B y no activar la sustitución prevista hacia Gemma 3 1B, conservando el tokenizador y, con él, la regla de abstención ya calibrada.</w:t>
      </w:r>
    </w:p>
    <w:p>
      <w:pPr>
        <w:spacing w:after="140"/>
      </w:pPr>
      <w:r>
        <w:t xml:space="preserve">Al ser la recuperación léxica, desaparecen el codificador de representaciones vectoriales, la base vectorial del dispositivo y la preindexación en tiempo de compilación. El paquete deja de estar al límite: quedan el modelo, 1,2 MB de corpus en texto y la aplicación.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1826"/>
      </w:tblGrid>
      <w:tr>
        <w:trPr>
          <w:tblHeader/>
        </w:trPr>
        <w:tc>
          <w:tcPr>
            <w:tcW w:type="dxa" w:w="4400"/>
            <w:shd w:fill="F0EBE2" w:val="clear"/>
            <w:tcMar>
              <w:top w:type="dxa" w:w="80"/>
              <w:left w:type="dxa" w:w="120"/>
              <w:bottom w:type="dxa" w:w="80"/>
              <w:right w:type="dxa" w:w="120"/>
            </w:tcMar>
          </w:tcPr>
          <w:p>
            <w:pPr>
              <w:spacing w:after="0"/>
            </w:pPr>
            <w:r>
              <w:rPr>
                <w:b/>
                <w:bCs/>
                <w:sz w:val="19"/>
                <w:szCs w:val="19"/>
              </w:rPr>
              <w:t xml:space="preserve">Tarea</w:t>
            </w:r>
          </w:p>
        </w:tc>
        <w:tc>
          <w:tcPr>
            <w:tcW w:type="dxa" w:w="2800"/>
            <w:shd w:fill="F0EBE2" w:val="clear"/>
            <w:tcMar>
              <w:top w:type="dxa" w:w="80"/>
              <w:left w:type="dxa" w:w="120"/>
              <w:bottom w:type="dxa" w:w="80"/>
              <w:right w:type="dxa" w:w="120"/>
            </w:tcMar>
          </w:tcPr>
          <w:p>
            <w:pPr>
              <w:spacing w:after="0"/>
            </w:pPr>
            <w:r>
              <w:rPr>
                <w:b/>
                <w:bCs/>
                <w:sz w:val="19"/>
                <w:szCs w:val="19"/>
              </w:rPr>
              <w:t xml:space="preserve">Dependencia</w:t>
            </w:r>
          </w:p>
        </w:tc>
        <w:tc>
          <w:tcPr>
            <w:tcW w:type="dxa" w:w="1826"/>
            <w:shd w:fill="F0EBE2" w:val="clear"/>
            <w:tcMar>
              <w:top w:type="dxa" w:w="80"/>
              <w:left w:type="dxa" w:w="120"/>
              <w:bottom w:type="dxa" w:w="80"/>
              <w:right w:type="dxa" w:w="120"/>
            </w:tcMar>
          </w:tcPr>
          <w:p>
            <w:pPr>
              <w:spacing w:after="0"/>
            </w:pPr>
            <w:r>
              <w:rPr>
                <w:b/>
                <w:bCs/>
                <w:sz w:val="19"/>
                <w:szCs w:val="19"/>
              </w:rPr>
              <w:t xml:space="preserve">Riesgo</w:t>
            </w:r>
          </w:p>
        </w:tc>
      </w:tr>
      <w:tr>
        <w:tc>
          <w:tcPr>
            <w:tcW w:type="dxa" w:w="4400"/>
            <w:tcMar>
              <w:top w:type="dxa" w:w="80"/>
              <w:left w:type="dxa" w:w="120"/>
              <w:bottom w:type="dxa" w:w="80"/>
              <w:right w:type="dxa" w:w="120"/>
            </w:tcMar>
          </w:tcPr>
          <w:p>
            <w:pPr>
              <w:spacing w:after="0"/>
            </w:pPr>
            <w:r>
              <w:rPr>
                <w:b w:val="false"/>
                <w:bCs w:val="false"/>
                <w:sz w:val="19"/>
                <w:szCs w:val="19"/>
              </w:rPr>
              <w:t xml:space="preserve">Portar la recuperación a Dart y verificarla contra el mismo conjunto de evaluación</w:t>
            </w:r>
          </w:p>
        </w:tc>
        <w:tc>
          <w:tcPr>
            <w:tcW w:type="dxa" w:w="2800"/>
            <w:tcMar>
              <w:top w:type="dxa" w:w="80"/>
              <w:left w:type="dxa" w:w="120"/>
              <w:bottom w:type="dxa" w:w="80"/>
              <w:right w:type="dxa" w:w="120"/>
            </w:tcMar>
          </w:tcPr>
          <w:p>
            <w:pPr>
              <w:spacing w:after="0"/>
            </w:pPr>
            <w:r>
              <w:rPr>
                <w:b w:val="false"/>
                <w:bCs w:val="false"/>
                <w:sz w:val="19"/>
                <w:szCs w:val="19"/>
              </w:rPr>
              <w:t xml:space="preserve">Ninguna; puede empezarse ya</w:t>
            </w:r>
          </w:p>
        </w:tc>
        <w:tc>
          <w:tcPr>
            <w:tcW w:type="dxa" w:w="1826"/>
            <w:tcMar>
              <w:top w:type="dxa" w:w="80"/>
              <w:left w:type="dxa" w:w="120"/>
              <w:bottom w:type="dxa" w:w="80"/>
              <w:right w:type="dxa" w:w="120"/>
            </w:tcMar>
          </w:tcPr>
          <w:p>
            <w:pPr>
              <w:spacing w:after="0"/>
            </w:pPr>
            <w:r>
              <w:rPr>
                <w:b w:val="false"/>
                <w:bCs w:val="false"/>
                <w:sz w:val="19"/>
                <w:szCs w:val="19"/>
              </w:rPr>
              <w:t xml:space="preserve">Bajo</w:t>
            </w:r>
          </w:p>
        </w:tc>
      </w:tr>
      <w:tr>
        <w:tc>
          <w:tcPr>
            <w:tcW w:type="dxa" w:w="4400"/>
            <w:tcMar>
              <w:top w:type="dxa" w:w="80"/>
              <w:left w:type="dxa" w:w="120"/>
              <w:bottom w:type="dxa" w:w="80"/>
              <w:right w:type="dxa" w:w="120"/>
            </w:tcMar>
          </w:tcPr>
          <w:p>
            <w:pPr>
              <w:spacing w:after="0"/>
            </w:pPr>
            <w:r>
              <w:rPr>
                <w:b w:val="false"/>
                <w:bCs w:val="false"/>
                <w:sz w:val="19"/>
                <w:szCs w:val="19"/>
              </w:rPr>
              <w:t xml:space="preserve">Medir la latencia del modelo en el teléfono</w:t>
            </w:r>
          </w:p>
        </w:tc>
        <w:tc>
          <w:tcPr>
            <w:tcW w:type="dxa" w:w="2800"/>
            <w:tcMar>
              <w:top w:type="dxa" w:w="80"/>
              <w:left w:type="dxa" w:w="120"/>
              <w:bottom w:type="dxa" w:w="80"/>
              <w:right w:type="dxa" w:w="120"/>
            </w:tcMar>
          </w:tcPr>
          <w:p>
            <w:pPr>
              <w:spacing w:after="0"/>
            </w:pPr>
            <w:r>
              <w:rPr>
                <w:b w:val="false"/>
                <w:bCs w:val="false"/>
                <w:sz w:val="19"/>
                <w:szCs w:val="19"/>
              </w:rPr>
              <w:t xml:space="preserve">Ninguna</w:t>
            </w:r>
          </w:p>
        </w:tc>
        <w:tc>
          <w:tcPr>
            <w:tcW w:type="dxa" w:w="1826"/>
            <w:tcMar>
              <w:top w:type="dxa" w:w="80"/>
              <w:left w:type="dxa" w:w="120"/>
              <w:bottom w:type="dxa" w:w="80"/>
              <w:right w:type="dxa" w:w="120"/>
            </w:tcMar>
          </w:tcPr>
          <w:p>
            <w:pPr>
              <w:spacing w:after="0"/>
            </w:pPr>
            <w:r>
              <w:rPr>
                <w:b w:val="false"/>
                <w:bCs w:val="false"/>
                <w:sz w:val="19"/>
                <w:szCs w:val="19"/>
              </w:rPr>
              <w:t xml:space="preserve">Bajo</w:t>
            </w:r>
          </w:p>
        </w:tc>
      </w:tr>
      <w:tr>
        <w:tc>
          <w:tcPr>
            <w:tcW w:type="dxa" w:w="4400"/>
            <w:tcMar>
              <w:top w:type="dxa" w:w="80"/>
              <w:left w:type="dxa" w:w="120"/>
              <w:bottom w:type="dxa" w:w="80"/>
              <w:right w:type="dxa" w:w="120"/>
            </w:tcMar>
          </w:tcPr>
          <w:p>
            <w:pPr>
              <w:spacing w:after="0"/>
            </w:pPr>
            <w:r>
              <w:rPr>
                <w:b w:val="false"/>
                <w:bCs w:val="false"/>
                <w:sz w:val="19"/>
                <w:szCs w:val="19"/>
              </w:rPr>
              <w:t xml:space="preserve">Decidir el camino de integración del generador</w:t>
            </w:r>
          </w:p>
        </w:tc>
        <w:tc>
          <w:tcPr>
            <w:tcW w:type="dxa" w:w="2800"/>
            <w:tcMar>
              <w:top w:type="dxa" w:w="80"/>
              <w:left w:type="dxa" w:w="120"/>
              <w:bottom w:type="dxa" w:w="80"/>
              <w:right w:type="dxa" w:w="120"/>
            </w:tcMar>
          </w:tcPr>
          <w:p>
            <w:pPr>
              <w:spacing w:after="0"/>
            </w:pPr>
            <w:r>
              <w:rPr>
                <w:b w:val="false"/>
                <w:bCs w:val="false"/>
                <w:sz w:val="19"/>
                <w:szCs w:val="19"/>
              </w:rPr>
              <w:t xml:space="preserve">Depende de la medición anterior</w:t>
            </w:r>
          </w:p>
        </w:tc>
        <w:tc>
          <w:tcPr>
            <w:tcW w:type="dxa" w:w="1826"/>
            <w:tcMar>
              <w:top w:type="dxa" w:w="80"/>
              <w:left w:type="dxa" w:w="120"/>
              <w:bottom w:type="dxa" w:w="80"/>
              <w:right w:type="dxa" w:w="120"/>
            </w:tcMar>
          </w:tcPr>
          <w:p>
            <w:pPr>
              <w:spacing w:after="0"/>
            </w:pPr>
            <w:r>
              <w:rPr>
                <w:b w:val="false"/>
                <w:bCs w:val="false"/>
                <w:sz w:val="19"/>
                <w:szCs w:val="19"/>
              </w:rPr>
              <w:t xml:space="preserve">Medio</w:t>
            </w:r>
          </w:p>
        </w:tc>
      </w:tr>
      <w:tr>
        <w:tc>
          <w:tcPr>
            <w:tcW w:type="dxa" w:w="4400"/>
            <w:tcMar>
              <w:top w:type="dxa" w:w="80"/>
              <w:left w:type="dxa" w:w="120"/>
              <w:bottom w:type="dxa" w:w="80"/>
              <w:right w:type="dxa" w:w="120"/>
            </w:tcMar>
          </w:tcPr>
          <w:p>
            <w:pPr>
              <w:spacing w:after="0"/>
            </w:pPr>
            <w:r>
              <w:rPr>
                <w:b w:val="false"/>
                <w:bCs w:val="false"/>
                <w:sz w:val="19"/>
                <w:szCs w:val="19"/>
              </w:rPr>
              <w:t xml:space="preserve">Cuantizar el modelo a GGUF de 4 bits</w:t>
            </w:r>
          </w:p>
        </w:tc>
        <w:tc>
          <w:tcPr>
            <w:tcW w:type="dxa" w:w="2800"/>
            <w:tcMar>
              <w:top w:type="dxa" w:w="80"/>
              <w:left w:type="dxa" w:w="120"/>
              <w:bottom w:type="dxa" w:w="80"/>
              <w:right w:type="dxa" w:w="120"/>
            </w:tcMar>
          </w:tcPr>
          <w:p>
            <w:pPr>
              <w:spacing w:after="0"/>
            </w:pPr>
            <w:r>
              <w:rPr>
                <w:b w:val="false"/>
                <w:bCs w:val="false"/>
                <w:sz w:val="19"/>
                <w:szCs w:val="19"/>
              </w:rPr>
              <w:t xml:space="preserve">Decisión anterior</w:t>
            </w:r>
          </w:p>
        </w:tc>
        <w:tc>
          <w:tcPr>
            <w:tcW w:type="dxa" w:w="1826"/>
            <w:tcMar>
              <w:top w:type="dxa" w:w="80"/>
              <w:left w:type="dxa" w:w="120"/>
              <w:bottom w:type="dxa" w:w="80"/>
              <w:right w:type="dxa" w:w="120"/>
            </w:tcMar>
          </w:tcPr>
          <w:p>
            <w:pPr>
              <w:spacing w:after="0"/>
            </w:pPr>
            <w:r>
              <w:rPr>
                <w:b w:val="false"/>
                <w:bCs w:val="false"/>
                <w:sz w:val="19"/>
                <w:szCs w:val="19"/>
              </w:rPr>
              <w:t xml:space="preserve">Bajo</w:t>
            </w:r>
          </w:p>
        </w:tc>
      </w:tr>
      <w:tr>
        <w:tc>
          <w:tcPr>
            <w:tcW w:type="dxa" w:w="4400"/>
            <w:tcMar>
              <w:top w:type="dxa" w:w="80"/>
              <w:left w:type="dxa" w:w="120"/>
              <w:bottom w:type="dxa" w:w="80"/>
              <w:right w:type="dxa" w:w="120"/>
            </w:tcMar>
          </w:tcPr>
          <w:p>
            <w:pPr>
              <w:spacing w:after="0"/>
            </w:pPr>
            <w:r>
              <w:rPr>
                <w:b w:val="false"/>
                <w:bCs w:val="false"/>
                <w:sz w:val="19"/>
                <w:szCs w:val="19"/>
              </w:rPr>
              <w:t xml:space="preserve">Enlazar el motor de inferencia desde Flutter</w:t>
            </w:r>
          </w:p>
        </w:tc>
        <w:tc>
          <w:tcPr>
            <w:tcW w:type="dxa" w:w="2800"/>
            <w:tcMar>
              <w:top w:type="dxa" w:w="80"/>
              <w:left w:type="dxa" w:w="120"/>
              <w:bottom w:type="dxa" w:w="80"/>
              <w:right w:type="dxa" w:w="120"/>
            </w:tcMar>
          </w:tcPr>
          <w:p>
            <w:pPr>
              <w:spacing w:after="0"/>
            </w:pPr>
            <w:r>
              <w:rPr>
                <w:b w:val="false"/>
                <w:bCs w:val="false"/>
                <w:sz w:val="19"/>
                <w:szCs w:val="19"/>
              </w:rPr>
              <w:t xml:space="preserve">Cuantización</w:t>
            </w:r>
          </w:p>
        </w:tc>
        <w:tc>
          <w:tcPr>
            <w:tcW w:type="dxa" w:w="1826"/>
            <w:tcMar>
              <w:top w:type="dxa" w:w="80"/>
              <w:left w:type="dxa" w:w="120"/>
              <w:bottom w:type="dxa" w:w="80"/>
              <w:right w:type="dxa" w:w="120"/>
            </w:tcMar>
          </w:tcPr>
          <w:p>
            <w:pPr>
              <w:spacing w:after="0"/>
            </w:pPr>
            <w:r>
              <w:rPr>
                <w:b w:val="false"/>
                <w:bCs w:val="false"/>
                <w:sz w:val="19"/>
                <w:szCs w:val="19"/>
              </w:rPr>
              <w:t xml:space="preserve">Alto</w:t>
            </w:r>
          </w:p>
        </w:tc>
      </w:tr>
      <w:tr>
        <w:tc>
          <w:tcPr>
            <w:tcW w:type="dxa" w:w="4400"/>
            <w:tcMar>
              <w:top w:type="dxa" w:w="80"/>
              <w:left w:type="dxa" w:w="120"/>
              <w:bottom w:type="dxa" w:w="80"/>
              <w:right w:type="dxa" w:w="120"/>
            </w:tcMar>
          </w:tcPr>
          <w:p>
            <w:pPr>
              <w:spacing w:after="0"/>
            </w:pPr>
            <w:r>
              <w:rPr>
                <w:b w:val="false"/>
                <w:bCs w:val="false"/>
                <w:sz w:val="19"/>
                <w:szCs w:val="19"/>
              </w:rPr>
              <w:t xml:space="preserve">Construir la interfaz en Flutter</w:t>
            </w:r>
          </w:p>
        </w:tc>
        <w:tc>
          <w:tcPr>
            <w:tcW w:type="dxa" w:w="2800"/>
            <w:tcMar>
              <w:top w:type="dxa" w:w="80"/>
              <w:left w:type="dxa" w:w="120"/>
              <w:bottom w:type="dxa" w:w="80"/>
              <w:right w:type="dxa" w:w="120"/>
            </w:tcMar>
          </w:tcPr>
          <w:p>
            <w:pPr>
              <w:spacing w:after="0"/>
            </w:pPr>
            <w:r>
              <w:rPr>
                <w:b w:val="false"/>
                <w:bCs w:val="false"/>
                <w:sz w:val="19"/>
                <w:szCs w:val="19"/>
              </w:rPr>
              <w:t xml:space="preserve">Ninguna real; ya existe en React</w:t>
            </w:r>
          </w:p>
        </w:tc>
        <w:tc>
          <w:tcPr>
            <w:tcW w:type="dxa" w:w="1826"/>
            <w:tcMar>
              <w:top w:type="dxa" w:w="80"/>
              <w:left w:type="dxa" w:w="120"/>
              <w:bottom w:type="dxa" w:w="80"/>
              <w:right w:type="dxa" w:w="120"/>
            </w:tcMar>
          </w:tcPr>
          <w:p>
            <w:pPr>
              <w:spacing w:after="0"/>
            </w:pPr>
            <w:r>
              <w:rPr>
                <w:b w:val="false"/>
                <w:bCs w:val="false"/>
                <w:sz w:val="19"/>
                <w:szCs w:val="19"/>
              </w:rPr>
              <w:t xml:space="preserve">Bajo</w:t>
            </w:r>
          </w:p>
        </w:tc>
      </w:tr>
      <w:tr>
        <w:tc>
          <w:tcPr>
            <w:tcW w:type="dxa" w:w="4400"/>
            <w:tcMar>
              <w:top w:type="dxa" w:w="80"/>
              <w:left w:type="dxa" w:w="120"/>
              <w:bottom w:type="dxa" w:w="80"/>
              <w:right w:type="dxa" w:w="120"/>
            </w:tcMar>
          </w:tcPr>
          <w:p>
            <w:pPr>
              <w:spacing w:after="0"/>
            </w:pPr>
            <w:r>
              <w:rPr>
                <w:b w:val="false"/>
                <w:bCs w:val="false"/>
                <w:sz w:val="19"/>
                <w:szCs w:val="19"/>
              </w:rPr>
              <w:t xml:space="preserve">Medir RNF-01, 02, 04 y 05 en modo avión</w:t>
            </w:r>
          </w:p>
        </w:tc>
        <w:tc>
          <w:tcPr>
            <w:tcW w:type="dxa" w:w="2800"/>
            <w:tcMar>
              <w:top w:type="dxa" w:w="80"/>
              <w:left w:type="dxa" w:w="120"/>
              <w:bottom w:type="dxa" w:w="80"/>
              <w:right w:type="dxa" w:w="120"/>
            </w:tcMar>
          </w:tcPr>
          <w:p>
            <w:pPr>
              <w:spacing w:after="0"/>
            </w:pPr>
            <w:r>
              <w:rPr>
                <w:b w:val="false"/>
                <w:bCs w:val="false"/>
                <w:sz w:val="19"/>
                <w:szCs w:val="19"/>
              </w:rPr>
              <w:t xml:space="preserve">Todo lo anterior</w:t>
            </w:r>
          </w:p>
        </w:tc>
        <w:tc>
          <w:tcPr>
            <w:tcW w:type="dxa" w:w="1826"/>
            <w:tcMar>
              <w:top w:type="dxa" w:w="80"/>
              <w:left w:type="dxa" w:w="120"/>
              <w:bottom w:type="dxa" w:w="80"/>
              <w:right w:type="dxa" w:w="120"/>
            </w:tcMar>
          </w:tcPr>
          <w:p>
            <w:pPr>
              <w:spacing w:after="0"/>
            </w:pPr>
            <w:r>
              <w:rPr>
                <w:b w:val="false"/>
                <w:bCs w:val="false"/>
                <w:sz w:val="19"/>
                <w:szCs w:val="19"/>
              </w:rPr>
              <w:t xml:space="preserve">Bajo</w:t>
            </w:r>
          </w:p>
        </w:tc>
      </w:tr>
    </w:tbl>
    <w:p>
      <w:pPr>
        <w:spacing w:after="140"/>
      </w:pPr>
      <w:r>
        <w:t xml:space="preserve"/>
      </w:r>
    </w:p>
    <w:p>
      <w:pPr>
        <w:spacing w:after="140"/>
      </w:pPr>
      <w:r>
        <w:t xml:space="preserve">El riesgo real de toda la fase se concentra en un único punto: enlazar el motor de inferencia desde Flutter. Lo demás es construcción previsible. Si la verificación de la recuperación en Dart reproduce los resultados de Python, el umbral se traslada sin recalibrar y la equivalencia entre plataformas pasa a ser un dato medido, que es justamente lo que el Documento 5 exigía como criterio de cierre.</w:t>
      </w:r>
    </w:p>
    <w:p>
      <w:pPr>
        <w:pStyle w:val="Heading1"/>
        <w:spacing w:after="180" w:before="340"/>
      </w:pPr>
      <w:r>
        <w:t xml:space="preserve">4. Secuencia recomendada</w:t>
      </w:r>
    </w:p>
    <w:p>
      <w:pPr>
        <w:spacing w:after="140"/>
      </w:pPr>
      <w:r>
        <w:t xml:space="preserve">Cerrar la fase A cuanto antes, porque no compite con nada. Después, en paralelo, portar la recuperación a Dart y medir el modelo en el teléfono: son independientes entre sí y desbloquean el resto del incremento móvil. La fase B puede abordarse en cualquier momento, y conviene dejarla para cuando esté resuelta su decisión metodológica.</w:t>
      </w:r>
    </w:p>
    <w:p>
      <w:pPr>
        <w:pStyle w:val="Heading1"/>
        <w:spacing w:after="180" w:before="340"/>
      </w:pPr>
      <w:r>
        <w:t xml:space="preserve">5. Lo que no se va a cerrar, y por qué</w:t>
      </w:r>
    </w:p>
    <w:p>
      <w:pPr>
        <w:pStyle w:val="ListParagraph"/>
        <w:numPr>
          <w:ilvl w:val="0"/>
          <w:numId w:val="2"/>
        </w:numPr>
        <w:spacing w:after="90"/>
      </w:pPr>
      <w:r>
        <w:rPr>
          <w:b/>
          <w:bCs/>
        </w:rPr>
        <w:t xml:space="preserve">HU-04, consulta de contenido cultural. </w:t>
      </w:r>
      <w:r>
        <w:t xml:space="preserve">El material en prosa se indexa y se recupera, pero medir si responde correctamente exige un conjunto de referencia con pasajes anotados, y construirlo requiere criterio lingüístico sobre la variedad wanka externo al equipo. El Documento 6 ya la declaró no evaluada por esa misma razón. Lo honesto es dejarla así y declararlo.</w:t>
      </w:r>
    </w:p>
    <w:p>
      <w:pPr>
        <w:pStyle w:val="ListParagraph"/>
        <w:numPr>
          <w:ilvl w:val="0"/>
          <w:numId w:val="2"/>
        </w:numPr>
        <w:spacing w:after="90"/>
      </w:pPr>
      <w:r>
        <w:rPr>
          <w:b/>
          <w:bCs/>
        </w:rPr>
        <w:t xml:space="preserve">Interpretación excesiva del generador. </w:t>
      </w:r>
      <w:r>
        <w:t xml:space="preserve">El umbral impide que el sistema invente una forma quechua, pero no que el modelo atribuya un significado que el fragmento no declara. Se detectó sobre la entrada de «perro», donde el modelo leyó «uña» como palabra castellana en lugar del morfema quechua. La instrucción se endureció y el caso concreto quedó resuelto, pero el riesgo se reduce, no se elimina.</w:t>
      </w:r>
    </w:p>
    <w:p>
      <w:pPr>
        <w:pStyle w:val="ListParagraph"/>
        <w:numPr>
          <w:ilvl w:val="0"/>
          <w:numId w:val="2"/>
        </w:numPr>
        <w:spacing w:after="90"/>
      </w:pPr>
      <w:r>
        <w:rPr>
          <w:b/>
          <w:bCs/>
        </w:rPr>
        <w:t xml:space="preserve">Las cifras son un límite superior. </w:t>
      </w:r>
      <w:r>
        <w:t xml:space="preserve">El conjunto de evaluación deriva del propio corpus indexado, de modo que sobrestima el desempeño en uso real. Un conjunto verdaderamente independiente exigiría consultas formuladas por docentes de Educación Intercultural Bilingüe o por hablantes de la variedad.</w:t>
      </w:r>
    </w:p>
    <w:p>
      <w:pPr>
        <w:pStyle w:val="ListParagraph"/>
        <w:numPr>
          <w:ilvl w:val="0"/>
          <w:numId w:val="2"/>
        </w:numPr>
        <w:spacing w:after="90"/>
      </w:pPr>
      <w:r>
        <w:rPr>
          <w:b/>
          <w:bCs/>
        </w:rPr>
        <w:t xml:space="preserve">El alcance declarado no cambia. </w:t>
      </w:r>
      <w:r>
        <w:t xml:space="preserve">El sistema seguirá siendo una herramienta de consulta sobre fuentes ya publicadas, sin sustituir la validación por hablantes de la comunidad ni constituirse en autoridad lingüística. Eso no es una tarea pendiente: es el alcance elegido.</w:t>
      </w:r>
    </w:p>
    <w:p>
      <w:pPr>
        <w:pStyle w:val="Heading1"/>
        <w:spacing w:after="180" w:before="340"/>
      </w:pPr>
      <w:r>
        <w:t xml:space="preserve">6. Cómo volver a levantarlo</w:t>
      </w:r>
    </w:p>
    <w:p>
      <w:pPr>
        <w:spacing w:after="140"/>
      </w:pPr>
      <w:r>
        <w:t xml:space="preserve">Desde F:\App Quechua, en dos terminales:</w:t>
      </w:r>
    </w:p>
    <w:p>
      <w:pPr>
        <w:pStyle w:val="ListParagraph"/>
        <w:numPr>
          <w:ilvl w:val="0"/>
          <w:numId w:val="2"/>
        </w:numPr>
        <w:spacing w:after="90"/>
      </w:pPr>
      <w:r>
        <w:t xml:space="preserve">cd backend · .venv\Scripts\activate · uvicorn main:app --port 8000</w:t>
      </w:r>
    </w:p>
    <w:p>
      <w:pPr>
        <w:pStyle w:val="ListParagraph"/>
        <w:numPr>
          <w:ilvl w:val="0"/>
          <w:numId w:val="2"/>
        </w:numPr>
        <w:spacing w:after="90"/>
      </w:pPr>
      <w:r>
        <w:t xml:space="preserve">cd frontend · npm run dev</w:t>
      </w:r>
    </w:p>
    <w:p>
      <w:pPr>
        <w:spacing w:after="140"/>
      </w:pPr>
      <w:r>
        <w:t xml:space="preserve">La aplicación queda en localhost:5173 y la interfaz de programación en localhost:8000/docs. Conviene arrancar el back-end un par de minutos antes de cualquier demostración: el modelo tarda cerca de un minuto en cargarse en memoria de vídeo, y hasta que termina la primera consulta sería lenta. Las pruebas se ejecutan con pytest tests/ desde backend.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A5A2B"/>
      <w:sz w:val="30"/>
      <w:szCs w:val="30"/>
    </w:rPr>
  </w:style>
  <w:style w:type="paragraph" w:styleId="Heading2">
    <w:name w:val="Heading 2"/>
    <w:basedOn w:val="Normal"/>
    <w:next w:val="Normal"/>
    <w:qFormat/>
    <w:rPr>
      <w:rFonts w:ascii="Calibri" w:cs="Calibri" w:eastAsia="Calibri" w:hAnsi="Calibri"/>
      <w:b/>
      <w:bCs/>
      <w:color w:val="1C1A1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2026-09-22T01:33:10.851Z</dcterms:created>
  <dcterms:modified xsi:type="dcterms:W3CDTF">2026-09-22T01:33:10.851Z</dcterms:modified>
</cp:coreProperties>
</file>

<file path=docProps/custom.xml><?xml version="1.0" encoding="utf-8"?>
<Properties xmlns="http://schemas.openxmlformats.org/officeDocument/2006/custom-properties" xmlns:vt="http://schemas.openxmlformats.org/officeDocument/2006/docPropsVTypes"/>
</file>