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A44" w:sz="18" w:space="6"/>
        </w:pBdr>
        <w:spacing w:after="0" w:before="400"/>
        <w:jc w:val="left"/>
      </w:pPr>
      <w:r>
        <w:rPr>
          <w:b/>
          <w:bCs/>
          <w:color w:val="1F2A44"/>
          <w:sz w:val="44"/>
          <w:szCs w:val="44"/>
        </w:rPr>
        <w:t xml:space="preserve">PUBLIC COMPANY INVESTMENT MEMO</w:t>
      </w:r>
    </w:p>
    <w:p>
      <w:pPr>
        <w:spacing w:after="60" w:before="160" w:line="276"/>
      </w:pPr>
      <w:r>
        <w:rPr>
          <w:b/>
          <w:bCs/>
          <w:color w:val="000000"/>
          <w:sz w:val="30"/>
          <w:szCs w:val="30"/>
        </w:rPr>
        <w:t xml:space="preserve">Uber Technologies, Inc.</w:t>
      </w:r>
      <w:r>
        <w:rPr>
          <w:color w:val="595959"/>
          <w:sz w:val="26"/>
          <w:szCs w:val="26"/>
        </w:rPr>
        <w:t xml:space="preserve">  (NYSE: UBER)</w:t>
      </w:r>
    </w:p>
    <w:p>
      <w:pPr>
        <w:spacing w:after="200" w:before="0" w:line="276"/>
      </w:pPr>
      <w:r>
        <w:rPr>
          <w:i/>
          <w:iCs/>
          <w:color w:val="595959"/>
          <w:sz w:val="22"/>
          <w:szCs w:val="22"/>
        </w:rPr>
        <w:t xml:space="preserve">Valuation &amp; Downside Stress Test  •  Is Uber attractively valued on growth, margin expansion, FCF generation and risk?</w:t>
      </w:r>
    </w:p>
    <w:p>
      <w:pPr>
        <w:tabs>
          <w:tab w:val="right" w:pos="9360"/>
        </w:tabs>
        <w:spacing w:after="60"/>
      </w:pPr>
      <w:r>
        <w:rPr>
          <w:sz w:val="20"/>
          <w:szCs w:val="20"/>
        </w:rPr>
        <w:t xml:space="preserve">Prepared by: Omar Quinn  (portfolio case study)</w:t>
      </w:r>
      <w:r>
        <w:rPr>
          <w:sz w:val="20"/>
          <w:szCs w:val="20"/>
        </w:rPr>
        <w:t xml:space="preserve">	Date: June 2026</w:t>
      </w:r>
    </w:p>
    <w:p>
      <w:pPr>
        <w:pBdr>
          <w:top w:val="single" w:color="C9D2DE" w:sz="6" w:space="4"/>
        </w:pBdr>
        <w:spacing w:after="80"/>
      </w:pPr>
      <w:r>
        <w:rPr>
          <w:b/>
          <w:bCs/>
          <w:sz w:val="22"/>
          <w:szCs w:val="22"/>
        </w:rPr>
        <w:t xml:space="preserve">Recommendation: </w:t>
      </w:r>
      <w:r>
        <w:rPr>
          <w:b/>
          <w:bCs/>
          <w:color w:val="2E7D32"/>
          <w:sz w:val="22"/>
          <w:szCs w:val="22"/>
        </w:rPr>
        <w:t xml:space="preserve">Qualified BUY / Accumulate (Constructive)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441" w:sz="4"/>
              <w:left w:val="single" w:color="D9A441" w:sz="4"/>
              <w:bottom w:val="single" w:color="D9A441" w:sz="4"/>
              <w:right w:val="single" w:color="D9A441" w:sz="4"/>
            </w:tcBorders>
            <w:shd w:fill="FCF6E8" w:val="clear"/>
            <w:tcMar>
              <w:top w:type="dxa" w:w="120"/>
              <w:left w:type="dxa" w:w="160"/>
              <w:bottom w:type="dxa" w:w="120"/>
              <w:right w:type="dxa" w:w="160"/>
            </w:tcMar>
          </w:tcPr>
          <w:p>
            <w:pPr>
              <w:spacing w:after="0" w:line="264"/>
            </w:pPr>
            <w:r>
              <w:rPr>
                <w:b/>
                <w:bCs/>
                <w:sz w:val="18"/>
                <w:szCs w:val="18"/>
              </w:rPr>
              <w:t xml:space="preserve">Disclaimer  </w:t>
            </w:r>
            <w:r>
              <w:rPr>
                <w:color w:val="5A4A1E"/>
                <w:sz w:val="18"/>
                <w:szCs w:val="18"/>
              </w:rPr>
              <w:t xml:space="preserve">This is an educational portfolio case study and NOT investment advice, nor a recommendation to buy or sell any security. The author is not a licensed financial advisor. All historical figures are drawn from cited public filings; all forward-looking estimates are clearly labelled assumptions and will differ from actual results. Readers should do their own research and consult a licensed professional.</w:t>
            </w:r>
          </w:p>
        </w:tc>
      </w:tr>
    </w:tbl>
    <w:p>
      <w:r>
        <w:br w:type="page"/>
      </w:r>
    </w:p>
    <w:p>
      <w:pPr>
        <w:spacing w:after="200"/>
      </w:pPr>
      <w:r>
        <w:rPr>
          <w:b/>
          <w:bCs/>
          <w:color w:val="1F2A44"/>
          <w:sz w:val="28"/>
          <w:szCs w:val="28"/>
        </w:rPr>
        <w:t xml:space="preserve">Contents</w:t>
      </w:r>
    </w:p>
    <w:p>
      <w:pPr>
        <w:tabs>
          <w:tab w:val="right" w:pos="9360" w:leader="dot"/>
        </w:tabs>
        <w:spacing w:after="100" w:line="276"/>
      </w:pPr>
      <w:r>
        <w:rPr>
          <w:sz w:val="22"/>
          <w:szCs w:val="22"/>
        </w:rPr>
        <w:t xml:space="preserve">1.  Executive Summary</w:t>
      </w:r>
      <w:r>
        <w:rPr>
          <w:sz w:val="22"/>
          <w:szCs w:val="22"/>
        </w:rPr>
        <w:t xml:space="preserve">	3</w:t>
      </w:r>
    </w:p>
    <w:p>
      <w:pPr>
        <w:tabs>
          <w:tab w:val="right" w:pos="9360" w:leader="dot"/>
        </w:tabs>
        <w:spacing w:after="100" w:line="276"/>
      </w:pPr>
      <w:r>
        <w:rPr>
          <w:sz w:val="22"/>
          <w:szCs w:val="22"/>
        </w:rPr>
        <w:t xml:space="preserve">2.  Company Overview</w:t>
      </w:r>
      <w:r>
        <w:rPr>
          <w:sz w:val="22"/>
          <w:szCs w:val="22"/>
        </w:rPr>
        <w:t xml:space="preserve">	3</w:t>
      </w:r>
    </w:p>
    <w:p>
      <w:pPr>
        <w:tabs>
          <w:tab w:val="right" w:pos="9360" w:leader="dot"/>
        </w:tabs>
        <w:spacing w:after="100" w:line="276"/>
      </w:pPr>
      <w:r>
        <w:rPr>
          <w:sz w:val="22"/>
          <w:szCs w:val="22"/>
        </w:rPr>
        <w:t xml:space="preserve">3.  Recent Earnings Review</w:t>
      </w:r>
      <w:r>
        <w:rPr>
          <w:sz w:val="22"/>
          <w:szCs w:val="22"/>
        </w:rPr>
        <w:t xml:space="preserve">	4</w:t>
      </w:r>
    </w:p>
    <w:p>
      <w:pPr>
        <w:tabs>
          <w:tab w:val="right" w:pos="9360" w:leader="dot"/>
        </w:tabs>
        <w:spacing w:after="100" w:line="276"/>
      </w:pPr>
      <w:r>
        <w:rPr>
          <w:sz w:val="22"/>
          <w:szCs w:val="22"/>
        </w:rPr>
        <w:t xml:space="preserve">4.  Financial Analysis</w:t>
      </w:r>
      <w:r>
        <w:rPr>
          <w:sz w:val="22"/>
          <w:szCs w:val="22"/>
        </w:rPr>
        <w:t xml:space="preserve">	4</w:t>
      </w:r>
    </w:p>
    <w:p>
      <w:pPr>
        <w:tabs>
          <w:tab w:val="right" w:pos="9360" w:leader="dot"/>
        </w:tabs>
        <w:spacing w:after="100" w:line="276"/>
      </w:pPr>
      <w:r>
        <w:rPr>
          <w:sz w:val="22"/>
          <w:szCs w:val="22"/>
        </w:rPr>
        <w:t xml:space="preserve">5.  Investment Thesis</w:t>
      </w:r>
      <w:r>
        <w:rPr>
          <w:sz w:val="22"/>
          <w:szCs w:val="22"/>
        </w:rPr>
        <w:t xml:space="preserve">	5</w:t>
      </w:r>
    </w:p>
    <w:p>
      <w:pPr>
        <w:tabs>
          <w:tab w:val="right" w:pos="9360" w:leader="dot"/>
        </w:tabs>
        <w:spacing w:after="100" w:line="276"/>
      </w:pPr>
      <w:r>
        <w:rPr>
          <w:sz w:val="22"/>
          <w:szCs w:val="22"/>
        </w:rPr>
        <w:t xml:space="preserve">6.  Bear Case &amp; Risk Analysis</w:t>
      </w:r>
      <w:r>
        <w:rPr>
          <w:sz w:val="22"/>
          <w:szCs w:val="22"/>
        </w:rPr>
        <w:t xml:space="preserve">	5</w:t>
      </w:r>
    </w:p>
    <w:p>
      <w:pPr>
        <w:tabs>
          <w:tab w:val="right" w:pos="9360" w:leader="dot"/>
        </w:tabs>
        <w:spacing w:after="100" w:line="276"/>
      </w:pPr>
      <w:r>
        <w:rPr>
          <w:sz w:val="22"/>
          <w:szCs w:val="22"/>
        </w:rPr>
        <w:t xml:space="preserve">7.  Valuation Model</w:t>
      </w:r>
      <w:r>
        <w:rPr>
          <w:sz w:val="22"/>
          <w:szCs w:val="22"/>
        </w:rPr>
        <w:t xml:space="preserve">	6</w:t>
      </w:r>
    </w:p>
    <w:p>
      <w:pPr>
        <w:tabs>
          <w:tab w:val="right" w:pos="9360" w:leader="dot"/>
        </w:tabs>
        <w:spacing w:after="100" w:line="276"/>
      </w:pPr>
      <w:r>
        <w:rPr>
          <w:sz w:val="22"/>
          <w:szCs w:val="22"/>
        </w:rPr>
        <w:t xml:space="preserve">8.  Scenario Analysis</w:t>
      </w:r>
      <w:r>
        <w:rPr>
          <w:sz w:val="22"/>
          <w:szCs w:val="22"/>
        </w:rPr>
        <w:t xml:space="preserve">	6</w:t>
      </w:r>
    </w:p>
    <w:p>
      <w:pPr>
        <w:tabs>
          <w:tab w:val="right" w:pos="9360" w:leader="dot"/>
        </w:tabs>
        <w:spacing w:after="100" w:line="276"/>
      </w:pPr>
      <w:r>
        <w:rPr>
          <w:sz w:val="22"/>
          <w:szCs w:val="22"/>
        </w:rPr>
        <w:t xml:space="preserve">9.  Downside Stress Test</w:t>
      </w:r>
      <w:r>
        <w:rPr>
          <w:sz w:val="22"/>
          <w:szCs w:val="22"/>
        </w:rPr>
        <w:t xml:space="preserve">	7</w:t>
      </w:r>
    </w:p>
    <w:p>
      <w:pPr>
        <w:tabs>
          <w:tab w:val="right" w:pos="9360" w:leader="dot"/>
        </w:tabs>
        <w:spacing w:after="100" w:line="276"/>
      </w:pPr>
      <w:r>
        <w:rPr>
          <w:sz w:val="22"/>
          <w:szCs w:val="22"/>
        </w:rPr>
        <w:t xml:space="preserve">10.  Sensitivity Tables</w:t>
      </w:r>
      <w:r>
        <w:rPr>
          <w:sz w:val="22"/>
          <w:szCs w:val="22"/>
        </w:rPr>
        <w:t xml:space="preserve">	7</w:t>
      </w:r>
    </w:p>
    <w:p>
      <w:pPr>
        <w:tabs>
          <w:tab w:val="right" w:pos="9360" w:leader="dot"/>
        </w:tabs>
        <w:spacing w:after="100" w:line="276"/>
      </w:pPr>
      <w:r>
        <w:rPr>
          <w:sz w:val="22"/>
          <w:szCs w:val="22"/>
        </w:rPr>
        <w:t xml:space="preserve">11.  Final Recommendation</w:t>
      </w:r>
      <w:r>
        <w:rPr>
          <w:sz w:val="22"/>
          <w:szCs w:val="22"/>
        </w:rPr>
        <w:t xml:space="preserve">	8</w:t>
      </w:r>
    </w:p>
    <w:p>
      <w:pPr>
        <w:spacing w:before="200"/>
      </w:pPr>
      <w:r>
        <w:rPr>
          <w:i/>
          <w:iCs/>
          <w:color w:val="595959"/>
          <w:sz w:val="18"/>
          <w:szCs w:val="18"/>
        </w:rPr>
        <w:t xml:space="preserve">Plus accompanying Excel valuation model (9 tabs): Executive Summary, Sources, Historical Financials, Assumptions, Forecast, Valuation, Scenario Analysis, Sensitivity Tables, Charts.</w:t>
      </w:r>
    </w:p>
    <w:p>
      <w:r>
        <w:br w:type="page"/>
      </w:r>
    </w:p>
    <w:p>
      <w:pPr>
        <w:pStyle w:val="Heading1"/>
      </w:pPr>
      <w:r>
        <w:t xml:space="preserve">1. Executive Summary</w:t>
      </w:r>
    </w:p>
    <w:p>
      <w:pPr>
        <w:spacing w:after="120" w:before="0" w:line="276"/>
      </w:pPr>
      <w:r>
        <w:t xml:space="preserve">Uber Technologies operates the leading global marketplace for ride-hailing (Mobility) and food/grocery delivery (Delivery), plus a smaller Freight brokerage. After years of cash burn, the business reached a clear inflection: in FY2025 it generated roughly </w:t>
      </w:r>
      <w:r>
        <w:rPr>
          <w:b/>
          <w:bCs/>
        </w:rPr>
        <w:t xml:space="preserve">$52.0bn of revenue, $193.5bn of gross bookings, $8.7bn of adjusted EBITDA and $9.8bn of free cash flow</w:t>
      </w:r>
      <w:r>
        <w:t xml:space="preserve">, its strongest year on record.</w:t>
      </w:r>
      <w:r>
        <w:rPr>
          <w:rStyle w:val="FootnoteReference"/>
        </w:rPr>
        <w:footnoteReference w:id="1"/>
      </w:r>
    </w:p>
    <w:p>
      <w:pPr>
        <w:spacing w:after="120" w:before="0" w:line="276"/>
      </w:pPr>
      <w:r>
        <w:t xml:space="preserve">This memo answers a single question: </w:t>
      </w:r>
      <w:r>
        <w:rPr>
          <w:i/>
          <w:iCs/>
        </w:rPr>
        <w:t xml:space="preserve">is Uber attractively valued given its growth, margin expansion, free-cash-flow generation and risk profile? </w:t>
      </w:r>
      <w:r>
        <w:t xml:space="preserve">Using an unlevered discounted-cash-flow (DCF) model with a probability-weighted scenario framework, the base case points to a fair value of roughly </w:t>
      </w:r>
      <w:r>
        <w:rPr>
          <w:b/>
          <w:bCs/>
        </w:rPr>
        <w:t xml:space="preserve">$103 per share versus a recent quote near $73</w:t>
      </w:r>
      <w:r>
        <w:rPr>
          <w:rStyle w:val="FootnoteReference"/>
        </w:rPr>
        <w:footnoteReference w:id="2"/>
      </w:r>
      <w:r>
        <w:t xml:space="preserve"> — implying meaningful upside. The probability-weighted fair value (25% bear / 50% base / 25% bull) is about </w:t>
      </w:r>
      <w:r>
        <w:rPr>
          <w:b/>
          <w:bCs/>
        </w:rPr>
        <w:t xml:space="preserve">$101, ~38% above the current price.</w:t>
      </w:r>
      <w:r>
        <w:rPr>
          <w:rStyle w:val="FootnoteReference"/>
        </w:rPr>
        <w:footnoteReference w:id="3"/>
      </w:r>
    </w:p>
    <w:p>
      <w:pPr>
        <w:spacing w:after="120" w:before="0" w:line="276"/>
      </w:pPr>
      <w:r>
        <w:t xml:space="preserve">The catch is the dispersion. The bear case — built around autonomous-vehicle (AV) disruption, stalling margins and weaker cash conversion — implies roughly </w:t>
      </w:r>
      <w:r>
        <w:rPr>
          <w:b/>
          <w:bCs/>
          <w:color w:val="B03A2E"/>
        </w:rPr>
        <w:t xml:space="preserve">$33 per share (a ~54% drawdown)</w:t>
      </w:r>
      <w:r>
        <w:t xml:space="preserve">; the bull case implies roughly </w:t>
      </w:r>
      <w:r>
        <w:rPr>
          <w:b/>
          <w:bCs/>
          <w:color w:val="2E7D32"/>
        </w:rPr>
        <w:t xml:space="preserve">$164 (~+124%)</w:t>
      </w:r>
      <w:r>
        <w:t xml:space="preserve">. That wide spread is the whole debate, and it is why the recommendation is a </w:t>
      </w:r>
      <w:r>
        <w:rPr>
          <w:b/>
          <w:bCs/>
        </w:rPr>
        <w:t xml:space="preserve">qualified buy with disciplined position sizing</w:t>
      </w:r>
      <w:r>
        <w:t xml:space="preserve">, not an unconditional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20"/>
        <w:gridCol w:w="2420"/>
        <w:gridCol w:w="1820"/>
      </w:tblGrid>
      <w:tr>
        <w:trPr>
          <w:tblHeader/>
        </w:trPr>
        <w:tc>
          <w:tcPr>
            <w:tcW w:type="dxa" w:w="27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left"/>
            </w:pPr>
            <w:r>
              <w:rPr>
                <w:b/>
                <w:bCs/>
                <w:color w:val="FFFFFF"/>
                <w:sz w:val="19"/>
                <w:szCs w:val="19"/>
              </w:rPr>
              <w:t xml:space="preserve">Scenario</w:t>
            </w:r>
          </w:p>
        </w:tc>
        <w:tc>
          <w:tcPr>
            <w:tcW w:type="dxa" w:w="24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Implied value / share</w:t>
            </w:r>
          </w:p>
        </w:tc>
        <w:tc>
          <w:tcPr>
            <w:tcW w:type="dxa" w:w="24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Upside / (downside)</w:t>
            </w:r>
          </w:p>
        </w:tc>
        <w:tc>
          <w:tcPr>
            <w:tcW w:type="dxa" w:w="18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Probability</w:t>
            </w:r>
          </w:p>
        </w:tc>
      </w:tr>
      <w:tr>
        <w:tc>
          <w:tcPr>
            <w:tcW w:type="dxa" w:w="27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bCs/>
                <w:sz w:val="19"/>
                <w:szCs w:val="19"/>
              </w:rPr>
              <w:t xml:space="preserve">Bear (stress)</w:t>
            </w:r>
          </w:p>
        </w:tc>
        <w:tc>
          <w:tcPr>
            <w:tcW w:type="dxa" w:w="24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B03A2E"/>
                <w:sz w:val="19"/>
                <w:szCs w:val="19"/>
              </w:rPr>
              <w:t xml:space="preserve">$33</w:t>
            </w:r>
          </w:p>
        </w:tc>
        <w:tc>
          <w:tcPr>
            <w:tcW w:type="dxa" w:w="24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B03A2E"/>
                <w:sz w:val="19"/>
                <w:szCs w:val="19"/>
              </w:rPr>
              <w:t xml:space="preserve">(54%)</w:t>
            </w:r>
          </w:p>
        </w:tc>
        <w:tc>
          <w:tcPr>
            <w:tcW w:type="dxa" w:w="18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25%</w:t>
            </w:r>
          </w:p>
        </w:tc>
      </w:tr>
      <w:tr>
        <w:tc>
          <w:tcPr>
            <w:tcW w:type="dxa" w:w="27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bCs/>
                <w:sz w:val="19"/>
                <w:szCs w:val="19"/>
              </w:rPr>
              <w:t xml:space="preserve">Base</w:t>
            </w:r>
          </w:p>
        </w:tc>
        <w:tc>
          <w:tcPr>
            <w:tcW w:type="dxa" w:w="24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bCs/>
                <w:color w:val="2E5496"/>
                <w:sz w:val="19"/>
                <w:szCs w:val="19"/>
              </w:rPr>
              <w:t xml:space="preserve">$103</w:t>
            </w:r>
          </w:p>
        </w:tc>
        <w:tc>
          <w:tcPr>
            <w:tcW w:type="dxa" w:w="24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2E7D32"/>
                <w:sz w:val="19"/>
                <w:szCs w:val="19"/>
              </w:rPr>
              <w:t xml:space="preserve">+41%</w:t>
            </w:r>
          </w:p>
        </w:tc>
        <w:tc>
          <w:tcPr>
            <w:tcW w:type="dxa" w:w="18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50%</w:t>
            </w:r>
          </w:p>
        </w:tc>
      </w:tr>
      <w:tr>
        <w:tc>
          <w:tcPr>
            <w:tcW w:type="dxa" w:w="27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bCs/>
                <w:sz w:val="19"/>
                <w:szCs w:val="19"/>
              </w:rPr>
              <w:t xml:space="preserve">Bull</w:t>
            </w:r>
          </w:p>
        </w:tc>
        <w:tc>
          <w:tcPr>
            <w:tcW w:type="dxa" w:w="24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2E7D32"/>
                <w:sz w:val="19"/>
                <w:szCs w:val="19"/>
              </w:rPr>
              <w:t xml:space="preserve">$164</w:t>
            </w:r>
          </w:p>
        </w:tc>
        <w:tc>
          <w:tcPr>
            <w:tcW w:type="dxa" w:w="24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2E7D32"/>
                <w:sz w:val="19"/>
                <w:szCs w:val="19"/>
              </w:rPr>
              <w:t xml:space="preserve">+124%</w:t>
            </w:r>
          </w:p>
        </w:tc>
        <w:tc>
          <w:tcPr>
            <w:tcW w:type="dxa" w:w="18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25%</w:t>
            </w:r>
          </w:p>
        </w:tc>
      </w:tr>
      <w:tr>
        <w:tc>
          <w:tcPr>
            <w:tcW w:type="dxa" w:w="27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bCs/>
                <w:sz w:val="19"/>
                <w:szCs w:val="19"/>
              </w:rPr>
              <w:t xml:space="preserve">Probability-weighted</w:t>
            </w:r>
          </w:p>
        </w:tc>
        <w:tc>
          <w:tcPr>
            <w:tcW w:type="dxa" w:w="24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bCs/>
                <w:sz w:val="19"/>
                <w:szCs w:val="19"/>
              </w:rPr>
              <w:t xml:space="preserve">$101</w:t>
            </w:r>
          </w:p>
        </w:tc>
        <w:tc>
          <w:tcPr>
            <w:tcW w:type="dxa" w:w="24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bCs/>
                <w:color w:val="2E7D32"/>
                <w:sz w:val="19"/>
                <w:szCs w:val="19"/>
              </w:rPr>
              <w:t xml:space="preserve">+38%</w:t>
            </w:r>
          </w:p>
        </w:tc>
        <w:tc>
          <w:tcPr>
            <w:tcW w:type="dxa" w:w="18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100%</w:t>
            </w:r>
          </w:p>
        </w:tc>
      </w:tr>
      <w:tr>
        <w:tc>
          <w:tcPr>
            <w:tcW w:type="dxa" w:w="27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bCs/>
                <w:sz w:val="19"/>
                <w:szCs w:val="19"/>
              </w:rPr>
              <w:t xml:space="preserve">Current price</w:t>
            </w:r>
          </w:p>
        </w:tc>
        <w:tc>
          <w:tcPr>
            <w:tcW w:type="dxa" w:w="24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sz w:val="19"/>
                <w:szCs w:val="19"/>
              </w:rPr>
              <w:t xml:space="preserve">$73</w:t>
            </w:r>
          </w:p>
        </w:tc>
        <w:tc>
          <w:tcPr>
            <w:tcW w:type="dxa" w:w="24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w:t>
            </w:r>
          </w:p>
        </w:tc>
        <w:tc>
          <w:tcPr>
            <w:tcW w:type="dxa" w:w="18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w:t>
            </w:r>
          </w:p>
        </w:tc>
      </w:tr>
    </w:tbl>
    <w:p>
      <w:pPr>
        <w:spacing w:after="120" w:before="20"/>
      </w:pPr>
      <w:r>
        <w:rPr>
          <w:i/>
          <w:iCs/>
          <w:color w:val="595959"/>
          <w:sz w:val="16"/>
          <w:szCs w:val="16"/>
        </w:rPr>
        <w:t xml:space="preserve">Source: accompanying Excel model (Scenario Analysis tab). Per-share figures rounded. Current price is an approximate market input.</w:t>
      </w:r>
    </w:p>
    <w:p>
      <w:pPr>
        <w:pStyle w:val="Heading1"/>
      </w:pPr>
      <w:r>
        <w:t xml:space="preserve">2. Company Overview</w:t>
      </w:r>
    </w:p>
    <w:p>
      <w:pPr>
        <w:spacing w:after="120" w:before="0" w:line="276"/>
      </w:pPr>
      <w:r>
        <w:t xml:space="preserve">Uber runs an asset-light, two-sided platform that matches consumer demand with independent driver- and courier-supply, taking a cut of each transaction. The reported </w:t>
      </w:r>
      <w:r>
        <w:rPr>
          <w:b/>
          <w:bCs/>
        </w:rPr>
        <w:t xml:space="preserve">gross bookings</w:t>
      </w:r>
      <w:r>
        <w:t xml:space="preserve"> figure is the total dollar value flowing across the platform; </w:t>
      </w:r>
      <w:r>
        <w:rPr>
          <w:b/>
          <w:bCs/>
        </w:rPr>
        <w:t xml:space="preserve">revenue</w:t>
      </w:r>
      <w:r>
        <w:t xml:space="preserve"> is Uber's net take after driver/merchant payments and incentives. The ratio between them — the </w:t>
      </w:r>
      <w:r>
        <w:rPr>
          <w:b/>
          <w:bCs/>
        </w:rPr>
        <w:t xml:space="preserve">take rate</w:t>
      </w:r>
      <w:r>
        <w:t xml:space="preserve"> — was approximately </w:t>
      </w:r>
      <w:r>
        <w:rPr>
          <w:b/>
          <w:bCs/>
        </w:rPr>
        <w:t xml:space="preserve">26.9% in FY2025.</w:t>
      </w:r>
      <w:r>
        <w:rPr>
          <w:rStyle w:val="FootnoteReference"/>
        </w:rPr>
        <w:footnoteReference w:id="4"/>
      </w:r>
    </w:p>
    <w:p>
      <w:pPr>
        <w:pStyle w:val="Heading2"/>
      </w:pPr>
      <w:r>
        <w:t xml:space="preserve">2.1 Segments</w:t>
      </w:r>
    </w:p>
    <w:p>
      <w:pPr>
        <w:pStyle w:val="ListParagraph"/>
        <w:numPr>
          <w:ilvl w:val="0"/>
          <w:numId w:val="2"/>
        </w:numPr>
        <w:spacing w:after="80" w:line="276"/>
      </w:pPr>
      <w:r>
        <w:rPr>
          <w:b/>
          <w:bCs/>
        </w:rPr>
        <w:t xml:space="preserve">Mobility — </w:t>
      </w:r>
      <w:r>
        <w:t xml:space="preserve">ride-hailing. The highest-margin segment and Uber's profit engine.</w:t>
      </w:r>
    </w:p>
    <w:p>
      <w:pPr>
        <w:pStyle w:val="ListParagraph"/>
        <w:numPr>
          <w:ilvl w:val="0"/>
          <w:numId w:val="2"/>
        </w:numPr>
        <w:spacing w:after="80" w:line="276"/>
      </w:pPr>
      <w:r>
        <w:rPr>
          <w:b/>
          <w:bCs/>
        </w:rPr>
        <w:t xml:space="preserve">Delivery — </w:t>
      </w:r>
      <w:r>
        <w:t xml:space="preserve">Uber Eats food and grocery. Now solidly profitable at the segment level and roughly comparable to Mobility in gross bookings.</w:t>
      </w:r>
    </w:p>
    <w:p>
      <w:pPr>
        <w:pStyle w:val="ListParagraph"/>
        <w:numPr>
          <w:ilvl w:val="0"/>
          <w:numId w:val="2"/>
        </w:numPr>
        <w:spacing w:after="80" w:line="276"/>
      </w:pPr>
      <w:r>
        <w:rPr>
          <w:b/>
          <w:bCs/>
        </w:rPr>
        <w:t xml:space="preserve">Freight — </w:t>
      </w:r>
      <w:r>
        <w:t xml:space="preserve">digital freight brokerage. Small and roughly break-even at the adjusted-EBITDA line.</w:t>
      </w:r>
    </w:p>
    <w:p>
      <w:pPr>
        <w:spacing w:after="120" w:before="0" w:line="276"/>
      </w:pPr>
      <w:r>
        <w:t xml:space="preserve">Cross-segment, </w:t>
      </w:r>
      <w:r>
        <w:rPr>
          <w:b/>
          <w:bCs/>
        </w:rPr>
        <w:t xml:space="preserve">Uber One</w:t>
      </w:r>
      <w:r>
        <w:t xml:space="preserve"> (the paid membership) had surpassed </w:t>
      </w:r>
      <w:r>
        <w:rPr>
          <w:b/>
          <w:bCs/>
        </w:rPr>
        <w:t xml:space="preserve">50 million members</w:t>
      </w:r>
      <w:r>
        <w:t xml:space="preserve"> by early 2026, supporting frequency and retention across both core segments.</w:t>
      </w:r>
      <w:r>
        <w:rPr>
          <w:rStyle w:val="FootnoteReference"/>
        </w:rPr>
        <w:footnoteReference w:id="5"/>
      </w:r>
    </w:p>
    <w:p>
      <w:pPr>
        <w:pStyle w:val="Heading2"/>
      </w:pPr>
      <w:r>
        <w:t xml:space="preserve">2.2 Balance sheet &amp; optionality</w:t>
      </w:r>
    </w:p>
    <w:p>
      <w:pPr>
        <w:spacing w:after="120" w:before="0" w:line="276"/>
      </w:pPr>
      <w:r>
        <w:t xml:space="preserve">At 31 December 2025 Uber held roughly </w:t>
      </w:r>
      <w:r>
        <w:rPr>
          <w:b/>
          <w:bCs/>
        </w:rPr>
        <w:t xml:space="preserve">$7.6bn of unrestricted cash and short-term investments</w:t>
      </w:r>
      <w:r>
        <w:t xml:space="preserve"> against about </w:t>
      </w:r>
      <w:r>
        <w:rPr>
          <w:b/>
          <w:bCs/>
        </w:rPr>
        <w:t xml:space="preserve">$10.5bn of long-term debt (net of current)</w:t>
      </w:r>
      <w:r>
        <w:t xml:space="preserve">, for net debt near </w:t>
      </w:r>
      <w:r>
        <w:rPr>
          <w:b/>
          <w:bCs/>
        </w:rPr>
        <w:t xml:space="preserve">$2.9bn</w:t>
      </w:r>
      <w:r>
        <w:t xml:space="preserve">. It also carries roughly </w:t>
      </w:r>
      <w:r>
        <w:rPr>
          <w:b/>
          <w:bCs/>
        </w:rPr>
        <w:t xml:space="preserve">$9.2bn of non-operating equity investments</w:t>
      </w:r>
      <w:r>
        <w:t xml:space="preserve"> (stakes in Aurora, Grab, Didi and others), which this model credits at a 30% haircut to reflect illiquidity and volatility.</w:t>
      </w:r>
      <w:r>
        <w:rPr>
          <w:rStyle w:val="FootnoteReference"/>
        </w:rPr>
        <w:footnoteReference w:id="6"/>
      </w:r>
    </w:p>
    <w:p>
      <w:pPr>
        <w:pStyle w:val="Heading1"/>
      </w:pPr>
      <w:r>
        <w:t xml:space="preserve">3. Recent Earnings Review</w:t>
      </w:r>
    </w:p>
    <w:p>
      <w:pPr>
        <w:pStyle w:val="Heading2"/>
      </w:pPr>
      <w:r>
        <w:t xml:space="preserve">3.1 FY2025 (full year)</w:t>
      </w:r>
    </w:p>
    <w:p>
      <w:pPr>
        <w:spacing w:after="120" w:before="0" w:line="276"/>
      </w:pPr>
      <w:r>
        <w:t xml:space="preserve">FY2025 was Uber's first fully GAAP-profitable year of scale. Revenue rose to </w:t>
      </w:r>
      <w:r>
        <w:rPr>
          <w:b/>
          <w:bCs/>
        </w:rPr>
        <w:t xml:space="preserve">$52.0bn</w:t>
      </w:r>
      <w:r>
        <w:t xml:space="preserve">, gross bookings to </w:t>
      </w:r>
      <w:r>
        <w:rPr>
          <w:b/>
          <w:bCs/>
        </w:rPr>
        <w:t xml:space="preserve">$193.5bn</w:t>
      </w:r>
      <w:r>
        <w:t xml:space="preserve">, and adjusted EBITDA to </w:t>
      </w:r>
      <w:r>
        <w:rPr>
          <w:b/>
          <w:bCs/>
        </w:rPr>
        <w:t xml:space="preserve">$8.7bn</w:t>
      </w:r>
      <w:r>
        <w:t xml:space="preserve">. Free cash flow reached </w:t>
      </w:r>
      <w:r>
        <w:rPr>
          <w:b/>
          <w:bCs/>
        </w:rPr>
        <w:t xml:space="preserve">$9.8bn</w:t>
      </w:r>
      <w:r>
        <w:t xml:space="preserve">. GAAP operating income was about </w:t>
      </w:r>
      <w:r>
        <w:rPr>
          <w:b/>
          <w:bCs/>
        </w:rPr>
        <w:t xml:space="preserve">$5.6bn</w:t>
      </w:r>
      <w:r>
        <w:t xml:space="preserve">; reported net income was elevated by a large deferred-tax benefit (including roughly a $5.0bn valuation-allowance release), so GAAP net income overstates the run-rate operating trend.</w:t>
      </w:r>
      <w:r>
        <w:rPr>
          <w:rStyle w:val="FootnoteReference"/>
        </w:rPr>
        <w:footnoteReference w:id="7"/>
      </w:r>
    </w:p>
    <w:p>
      <w:pPr>
        <w:pStyle w:val="Heading2"/>
      </w:pPr>
      <w:r>
        <w:t xml:space="preserve">3.2 Q1 2026</w:t>
      </w:r>
    </w:p>
    <w:p>
      <w:pPr>
        <w:spacing w:after="120" w:before="0" w:line="276"/>
      </w:pPr>
      <w:r>
        <w:t xml:space="preserve">In the quarter released 6 May 2026, revenue grew about </w:t>
      </w:r>
      <w:r>
        <w:rPr>
          <w:b/>
          <w:bCs/>
        </w:rPr>
        <w:t xml:space="preserve">14% year-on-year to ~$13.2bn</w:t>
      </w:r>
      <w:r>
        <w:t xml:space="preserve">; gross bookings rose roughly </w:t>
      </w:r>
      <w:r>
        <w:rPr>
          <w:b/>
          <w:bCs/>
        </w:rPr>
        <w:t xml:space="preserve">25% as reported (~21% in constant currency) to ~$53.7bn</w:t>
      </w:r>
      <w:r>
        <w:t xml:space="preserve">; adjusted EBITDA was about </w:t>
      </w:r>
      <w:r>
        <w:rPr>
          <w:b/>
          <w:bCs/>
        </w:rPr>
        <w:t xml:space="preserve">$2.5bn (+33%)</w:t>
      </w:r>
      <w:r>
        <w:t xml:space="preserve">; and free cash flow was roughly </w:t>
      </w:r>
      <w:r>
        <w:rPr>
          <w:b/>
          <w:bCs/>
        </w:rPr>
        <w:t xml:space="preserve">$2.3bn</w:t>
      </w:r>
      <w:r>
        <w:t xml:space="preserve">. GAAP net income of ~$0.3bn was depressed by a ~$1.5bn negative revaluation of equity investments — a non-cash, mark-to-market item. Management guided Q2 2026 gross bookings to ~$56–58bn (18–22% constant-currency growth).</w:t>
      </w:r>
      <w:r>
        <w:rPr>
          <w:rStyle w:val="FootnoteReference"/>
        </w:rPr>
        <w:footnoteReference w:id="8"/>
      </w:r>
    </w:p>
    <w:p>
      <w:pPr>
        <w:pStyle w:val="Heading1"/>
      </w:pPr>
      <w:r>
        <w:t xml:space="preserve">4. Financial Analysis</w:t>
      </w:r>
    </w:p>
    <w:p>
      <w:pPr>
        <w:spacing w:after="120" w:before="0" w:line="276"/>
      </w:pPr>
      <w:r>
        <w:t xml:space="preserve">The five-year trend shows the core of the bull case: rapid top-line compounding paired with a swing from cash burn to multi-billion-dollar free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left"/>
            </w:pPr>
            <w:r>
              <w:rPr>
                <w:b/>
                <w:bCs/>
                <w:color w:val="FFFFFF"/>
                <w:sz w:val="19"/>
                <w:szCs w:val="19"/>
              </w:rPr>
              <w:t xml:space="preserve">US$ millions</w:t>
            </w:r>
          </w:p>
        </w:tc>
        <w:tc>
          <w:tcPr>
            <w:tcW w:type="dxa" w:w="13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FY21</w:t>
            </w:r>
          </w:p>
        </w:tc>
        <w:tc>
          <w:tcPr>
            <w:tcW w:type="dxa" w:w="13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FY22</w:t>
            </w:r>
          </w:p>
        </w:tc>
        <w:tc>
          <w:tcPr>
            <w:tcW w:type="dxa" w:w="13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FY23</w:t>
            </w:r>
          </w:p>
        </w:tc>
        <w:tc>
          <w:tcPr>
            <w:tcW w:type="dxa" w:w="13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FY24</w:t>
            </w:r>
          </w:p>
        </w:tc>
        <w:tc>
          <w:tcPr>
            <w:tcW w:type="dxa" w:w="132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FY25</w:t>
            </w:r>
          </w:p>
        </w:tc>
      </w:tr>
      <w:tr>
        <w:tc>
          <w:tcPr>
            <w:tcW w:type="dxa" w:w="27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Gross bookings</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90,415</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115,395</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137,865</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162,773</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sz w:val="19"/>
                <w:szCs w:val="19"/>
              </w:rPr>
              <w:t xml:space="preserve">193,454</w:t>
            </w:r>
          </w:p>
        </w:tc>
      </w:tr>
      <w:tr>
        <w:tc>
          <w:tcPr>
            <w:tcW w:type="dxa" w:w="27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Revenue</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17,455</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31,877</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37,281</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43,978</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bCs/>
                <w:sz w:val="19"/>
                <w:szCs w:val="19"/>
              </w:rPr>
              <w:t xml:space="preserve">52,017</w:t>
            </w:r>
          </w:p>
        </w:tc>
      </w:tr>
      <w:tr>
        <w:tc>
          <w:tcPr>
            <w:tcW w:type="dxa" w:w="27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Adj. EBITDA</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B03A2E"/>
                <w:sz w:val="19"/>
                <w:szCs w:val="19"/>
              </w:rPr>
              <w:t xml:space="preserve">(774)</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1,713</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4,052</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6,484</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sz w:val="19"/>
                <w:szCs w:val="19"/>
              </w:rPr>
              <w:t xml:space="preserve">8,730</w:t>
            </w:r>
          </w:p>
        </w:tc>
      </w:tr>
      <w:tr>
        <w:tc>
          <w:tcPr>
            <w:tcW w:type="dxa" w:w="27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Free cash flow</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B03A2E"/>
                <w:sz w:val="19"/>
                <w:szCs w:val="19"/>
              </w:rPr>
              <w:t xml:space="preserve">(743)</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390</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3,362</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6,895</w:t>
            </w:r>
          </w:p>
        </w:tc>
        <w:tc>
          <w:tcPr>
            <w:tcW w:type="dxa" w:w="132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bCs/>
                <w:sz w:val="19"/>
                <w:szCs w:val="19"/>
              </w:rPr>
              <w:t xml:space="preserve">9,763</w:t>
            </w:r>
          </w:p>
        </w:tc>
      </w:tr>
      <w:tr>
        <w:tc>
          <w:tcPr>
            <w:tcW w:type="dxa" w:w="27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Net income (attrib.)</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B03A2E"/>
                <w:sz w:val="19"/>
                <w:szCs w:val="19"/>
              </w:rPr>
              <w:t xml:space="preserve">(496)</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B03A2E"/>
                <w:sz w:val="19"/>
                <w:szCs w:val="19"/>
              </w:rPr>
              <w:t xml:space="preserve">(9,141)</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1,887</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9,856</w:t>
            </w:r>
          </w:p>
        </w:tc>
        <w:tc>
          <w:tcPr>
            <w:tcW w:type="dxa" w:w="132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10,053</w:t>
            </w:r>
          </w:p>
        </w:tc>
      </w:tr>
    </w:tbl>
    <w:p>
      <w:pPr>
        <w:spacing w:after="120" w:before="20"/>
      </w:pPr>
      <w:r>
        <w:rPr>
          <w:i/>
          <w:iCs/>
          <w:color w:val="595959"/>
          <w:sz w:val="16"/>
          <w:szCs w:val="16"/>
        </w:rPr>
        <w:t xml:space="preserve">Source: Uber FY2021–FY2025 earnings releases / 10-K (SEC EDGAR). FY2025 net income includes a large deferred-tax benefit.</w:t>
      </w:r>
    </w:p>
    <w:p>
      <w:pPr>
        <w:spacing w:after="120" w:before="0" w:line="276"/>
      </w:pPr>
      <w:r>
        <w:t xml:space="preserve">Three observations. </w:t>
      </w:r>
      <w:r>
        <w:rPr>
          <w:b/>
          <w:bCs/>
        </w:rPr>
        <w:t xml:space="preserve">First</w:t>
      </w:r>
      <w:r>
        <w:t xml:space="preserve">, gross bookings have compounded at roughly a 21% annual rate over four years. </w:t>
      </w:r>
      <w:r>
        <w:rPr>
          <w:b/>
          <w:bCs/>
        </w:rPr>
        <w:t xml:space="preserve">Second</w:t>
      </w:r>
      <w:r>
        <w:t xml:space="preserve">, adjusted-EBITDA margin on gross bookings has expanded from negative to roughly </w:t>
      </w:r>
      <w:r>
        <w:rPr>
          <w:b/>
          <w:bCs/>
        </w:rPr>
        <w:t xml:space="preserve">4.5%</w:t>
      </w:r>
      <w:r>
        <w:t xml:space="preserve">, evidence of operating leverage as fixed costs scale. </w:t>
      </w:r>
      <w:r>
        <w:rPr>
          <w:b/>
          <w:bCs/>
        </w:rPr>
        <w:t xml:space="preserve">Third</w:t>
      </w:r>
      <w:r>
        <w:t xml:space="preserve">, free-cash-flow conversion is now high — FY2025 FCF actually exceeded adjusted EBITDA, helped by favourable working capital and the asset-light, low-capex model. The main caveat is that reported GAAP net income is flattered by tax items and is not a clean measure of operating progress.</w:t>
      </w:r>
    </w:p>
    <w:p>
      <w:pPr>
        <w:pStyle w:val="Heading1"/>
      </w:pPr>
      <w:r>
        <w:t xml:space="preserve">5. Investment Thesis</w:t>
      </w:r>
    </w:p>
    <w:p>
      <w:pPr>
        <w:spacing w:after="120" w:before="0" w:line="276"/>
      </w:pPr>
      <w:r>
        <w:rPr>
          <w:i/>
          <w:iCs/>
        </w:rPr>
        <w:t xml:space="preserve">The case a constructive investor would make:</w:t>
      </w:r>
    </w:p>
    <w:p>
      <w:pPr>
        <w:pStyle w:val="ListParagraph"/>
        <w:numPr>
          <w:ilvl w:val="0"/>
          <w:numId w:val="3"/>
        </w:numPr>
        <w:spacing w:after="80" w:line="276"/>
      </w:pPr>
      <w:r>
        <w:rPr>
          <w:b/>
          <w:bCs/>
        </w:rPr>
        <w:t xml:space="preserve">Category leadership with network effects. </w:t>
      </w:r>
      <w:r>
        <w:t xml:space="preserve">Scale in both Mobility and Delivery deepens the liquidity advantage — more riders attract more drivers and vice-versa — which is hard to replicate.</w:t>
      </w:r>
    </w:p>
    <w:p>
      <w:pPr>
        <w:pStyle w:val="ListParagraph"/>
        <w:numPr>
          <w:ilvl w:val="0"/>
          <w:numId w:val="3"/>
        </w:numPr>
        <w:spacing w:after="80" w:line="276"/>
      </w:pPr>
      <w:r>
        <w:rPr>
          <w:b/>
          <w:bCs/>
        </w:rPr>
        <w:t xml:space="preserve">Operating leverage still has room. </w:t>
      </w:r>
      <w:r>
        <w:t xml:space="preserve">Adjusted-EBITDA margin on gross bookings is expanding from a low base; modest further gains drive outsized profit growth.</w:t>
      </w:r>
    </w:p>
    <w:p>
      <w:pPr>
        <w:pStyle w:val="ListParagraph"/>
        <w:numPr>
          <w:ilvl w:val="0"/>
          <w:numId w:val="3"/>
        </w:numPr>
        <w:spacing w:after="80" w:line="276"/>
      </w:pPr>
      <w:r>
        <w:rPr>
          <w:b/>
          <w:bCs/>
        </w:rPr>
        <w:t xml:space="preserve">Free-cash-flow inflection. </w:t>
      </w:r>
      <w:r>
        <w:t xml:space="preserve">The move from negative FCF (2021) to ~$9.8bn (2025) with high EBITDA-to-FCF conversion changes the valuation math from 'story stock' to cash compounder.</w:t>
      </w:r>
    </w:p>
    <w:p>
      <w:pPr>
        <w:pStyle w:val="ListParagraph"/>
        <w:numPr>
          <w:ilvl w:val="0"/>
          <w:numId w:val="3"/>
        </w:numPr>
        <w:spacing w:after="80" w:line="276"/>
      </w:pPr>
      <w:r>
        <w:rPr>
          <w:b/>
          <w:bCs/>
        </w:rPr>
        <w:t xml:space="preserve">Balance-sheet optionality. </w:t>
      </w:r>
      <w:r>
        <w:t xml:space="preserve">Net cash-light leverage, ~$7.6bn liquidity and an active $3bn buyback give flexibility; equity stakes add embedded upside.</w:t>
      </w:r>
    </w:p>
    <w:p>
      <w:pPr>
        <w:pStyle w:val="ListParagraph"/>
        <w:numPr>
          <w:ilvl w:val="0"/>
          <w:numId w:val="3"/>
        </w:numPr>
        <w:spacing w:after="80" w:line="276"/>
      </w:pPr>
      <w:r>
        <w:rPr>
          <w:b/>
          <w:bCs/>
        </w:rPr>
        <w:t xml:space="preserve">AV as demand layer, not capex sink. </w:t>
      </w:r>
      <w:r>
        <w:t xml:space="preserve">Rather than building its own autonomous fleet, Uber is signing AV partnerships (e.g., Wayve, WeRide, Nuro and others), positioning to be the demand-aggregation layer for fleets it does not have to fund.</w:t>
      </w:r>
    </w:p>
    <w:p>
      <w:pPr>
        <w:pStyle w:val="Heading1"/>
      </w:pPr>
      <w:r>
        <w:t xml:space="preserve">6. Bear Case &amp; Risk Analysis</w:t>
      </w:r>
    </w:p>
    <w:p>
      <w:pPr>
        <w:spacing w:after="120" w:before="0" w:line="276"/>
      </w:pPr>
      <w:r>
        <w:rPr>
          <w:i/>
          <w:iCs/>
        </w:rPr>
        <w:t xml:space="preserve">The case a skeptic would make — and the risks that drive the downside scenario:</w:t>
      </w:r>
    </w:p>
    <w:p>
      <w:pPr>
        <w:pStyle w:val="ListParagraph"/>
        <w:numPr>
          <w:ilvl w:val="0"/>
          <w:numId w:val="2"/>
        </w:numPr>
        <w:spacing w:after="80" w:line="276"/>
      </w:pPr>
      <w:r>
        <w:rPr>
          <w:b/>
          <w:bCs/>
        </w:rPr>
        <w:t xml:space="preserve">Autonomous-vehicle disruption. </w:t>
      </w:r>
      <w:r>
        <w:t xml:space="preserve">If Waymo, Tesla or others scale robotaxis profitably, they could disintermediate Uber's driver marketplace or compress Mobility take rates. This is the single biggest swing factor and the reason the stock sits well off its 2025 highs.</w:t>
      </w:r>
    </w:p>
    <w:p>
      <w:pPr>
        <w:pStyle w:val="ListParagraph"/>
        <w:numPr>
          <w:ilvl w:val="0"/>
          <w:numId w:val="2"/>
        </w:numPr>
        <w:spacing w:after="80" w:line="276"/>
      </w:pPr>
      <w:r>
        <w:rPr>
          <w:b/>
          <w:bCs/>
        </w:rPr>
        <w:t xml:space="preserve">Regulatory &amp; labour. </w:t>
      </w:r>
      <w:r>
        <w:t xml:space="preserve">Driver-classification rulings (for example litigation around New York City driver pay rules) could raise costs or force reclassification of the workforce.</w:t>
      </w:r>
    </w:p>
    <w:p>
      <w:pPr>
        <w:pStyle w:val="ListParagraph"/>
        <w:numPr>
          <w:ilvl w:val="0"/>
          <w:numId w:val="2"/>
        </w:numPr>
        <w:spacing w:after="80" w:line="276"/>
      </w:pPr>
      <w:r>
        <w:rPr>
          <w:b/>
          <w:bCs/>
        </w:rPr>
        <w:t xml:space="preserve">Competition &amp; incentive wars. </w:t>
      </w:r>
      <w:r>
        <w:t xml:space="preserve">Aggressive pricing or incentives in rideshare and delivery can cap take rate and stall margin expansion.</w:t>
      </w:r>
    </w:p>
    <w:p>
      <w:pPr>
        <w:pStyle w:val="ListParagraph"/>
        <w:numPr>
          <w:ilvl w:val="0"/>
          <w:numId w:val="2"/>
        </w:numPr>
        <w:spacing w:after="80" w:line="276"/>
      </w:pPr>
      <w:r>
        <w:rPr>
          <w:b/>
          <w:bCs/>
        </w:rPr>
        <w:t xml:space="preserve">Valuation fragility. </w:t>
      </w:r>
      <w:r>
        <w:t xml:space="preserve">Because terminal value is a large share of the DCF (around 79% of enterprise value in the base case), the output is sensitive to small shifts in WACC and terminal growth.</w:t>
      </w:r>
    </w:p>
    <w:p>
      <w:pPr>
        <w:pStyle w:val="ListParagraph"/>
        <w:numPr>
          <w:ilvl w:val="0"/>
          <w:numId w:val="2"/>
        </w:numPr>
        <w:spacing w:after="80" w:line="276"/>
      </w:pPr>
      <w:r>
        <w:rPr>
          <w:b/>
          <w:bCs/>
        </w:rPr>
        <w:t xml:space="preserve">Macro sensitivity. </w:t>
      </w:r>
      <w:r>
        <w:t xml:space="preserve">Discretionary mobility and delivery demand soften in a downturn, pressuring both volume and margin.</w:t>
      </w:r>
    </w:p>
    <w:p>
      <w:pPr>
        <w:pStyle w:val="Heading1"/>
      </w:pPr>
      <w:r>
        <w:t xml:space="preserve">7. Valuation Model</w:t>
      </w:r>
    </w:p>
    <w:p>
      <w:pPr>
        <w:pStyle w:val="Heading2"/>
      </w:pPr>
      <w:r>
        <w:t xml:space="preserve">7.1 Methodology</w:t>
      </w:r>
    </w:p>
    <w:p>
      <w:pPr>
        <w:spacing w:after="120" w:before="0" w:line="276"/>
      </w:pPr>
      <w:r>
        <w:t xml:space="preserve">The model is an </w:t>
      </w:r>
      <w:r>
        <w:rPr>
          <w:b/>
          <w:bCs/>
        </w:rPr>
        <w:t xml:space="preserve">unlevered free-cash-flow DCF</w:t>
      </w:r>
      <w:r>
        <w:t xml:space="preserve"> over an explicit 2026–2030 horizon plus a Gordon-growth terminal value, cross-checked against an exit EV/EBITDA multiple. The build flows: </w:t>
      </w:r>
      <w:r>
        <w:rPr>
          <w:i/>
          <w:iCs/>
        </w:rPr>
        <w:t xml:space="preserve">gross bookings → revenue (take rate) → adjusted EBITDA (% of gross bookings) → less stock-based compensation and D&amp;A → EBIT → NOPAT → add back D&amp;A, less capex, +/− working capital → unlevered free cash flow.</w:t>
      </w:r>
    </w:p>
    <w:p>
      <w:pPr>
        <w:spacing w:after="120" w:before="0" w:line="276"/>
      </w:pPr>
      <w:r>
        <w:rPr>
          <w:b/>
          <w:bCs/>
        </w:rPr>
        <w:t xml:space="preserve">Conservatism note: </w:t>
      </w:r>
      <w:r>
        <w:t xml:space="preserve">stock-based compensation is treated as a </w:t>
      </w:r>
      <w:r>
        <w:rPr>
          <w:b/>
          <w:bCs/>
        </w:rPr>
        <w:t xml:space="preserve">real cash cost</w:t>
      </w:r>
      <w:r>
        <w:t xml:space="preserve"> (deducted pre-tax), which is more conservative than the company-defined free-cash-flow measure that adds it back. Enterprise value is bridged to equity value by subtracting net debt (~$2.9bn) and adding the equity-investment stakes at a 30% haircut (~$6.4bn credited), then divided by ~2,040m diluted shares.</w:t>
      </w:r>
      <w:r>
        <w:rPr>
          <w:rStyle w:val="FootnoteReference"/>
        </w:rPr>
        <w:footnoteReference w:id="9"/>
      </w:r>
    </w:p>
    <w:p>
      <w:pPr>
        <w:pStyle w:val="Heading2"/>
      </w:pPr>
      <w:r>
        <w:t xml:space="preserve">7.2 Key base-case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3000"/>
      </w:tblGrid>
      <w:tr>
        <w:trPr>
          <w:tblHeader/>
        </w:trPr>
        <w:tc>
          <w:tcPr>
            <w:tcW w:type="dxa" w:w="336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left"/>
            </w:pPr>
            <w:r>
              <w:rPr>
                <w:b/>
                <w:bCs/>
                <w:color w:val="FFFFFF"/>
                <w:sz w:val="19"/>
                <w:szCs w:val="19"/>
              </w:rPr>
              <w:t xml:space="preserve">Assumption (base case)</w:t>
            </w:r>
          </w:p>
        </w:tc>
        <w:tc>
          <w:tcPr>
            <w:tcW w:type="dxa" w:w="15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2026E</w:t>
            </w:r>
          </w:p>
        </w:tc>
        <w:tc>
          <w:tcPr>
            <w:tcW w:type="dxa" w:w="15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2030E</w:t>
            </w:r>
          </w:p>
        </w:tc>
        <w:tc>
          <w:tcPr>
            <w:tcW w:type="dxa" w:w="30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Basis</w:t>
            </w:r>
          </w:p>
        </w:tc>
      </w:tr>
      <w:tr>
        <w:tc>
          <w:tcPr>
            <w:tcW w:type="dxa" w:w="33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GB growth</w:t>
            </w:r>
          </w:p>
        </w:tc>
        <w:tc>
          <w:tcPr>
            <w:tcW w:type="dxa" w:w="15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18%</w:t>
            </w:r>
          </w:p>
        </w:tc>
        <w:tc>
          <w:tcPr>
            <w:tcW w:type="dxa" w:w="15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11%</w:t>
            </w:r>
          </w:p>
        </w:tc>
        <w:tc>
          <w:tcPr>
            <w:tcW w:type="dxa" w:w="3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595959"/>
                <w:sz w:val="19"/>
                <w:szCs w:val="19"/>
              </w:rPr>
              <w:t xml:space="preserve">decelerating</w:t>
            </w:r>
          </w:p>
        </w:tc>
      </w:tr>
      <w:tr>
        <w:tc>
          <w:tcPr>
            <w:tcW w:type="dxa" w:w="33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Adj. EBITDA margin (%GB)</w:t>
            </w:r>
          </w:p>
        </w:tc>
        <w:tc>
          <w:tcPr>
            <w:tcW w:type="dxa" w:w="15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4.8%</w:t>
            </w:r>
          </w:p>
        </w:tc>
        <w:tc>
          <w:tcPr>
            <w:tcW w:type="dxa" w:w="15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6.3%</w:t>
            </w:r>
          </w:p>
        </w:tc>
        <w:tc>
          <w:tcPr>
            <w:tcW w:type="dxa" w:w="3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595959"/>
                <w:sz w:val="19"/>
                <w:szCs w:val="19"/>
              </w:rPr>
              <w:t xml:space="preserve">expanding</w:t>
            </w:r>
          </w:p>
        </w:tc>
      </w:tr>
      <w:tr>
        <w:tc>
          <w:tcPr>
            <w:tcW w:type="dxa" w:w="33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Take rate</w:t>
            </w:r>
          </w:p>
        </w:tc>
        <w:tc>
          <w:tcPr>
            <w:tcW w:type="dxa" w:w="15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27%</w:t>
            </w:r>
          </w:p>
        </w:tc>
        <w:tc>
          <w:tcPr>
            <w:tcW w:type="dxa" w:w="15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27%</w:t>
            </w:r>
          </w:p>
        </w:tc>
        <w:tc>
          <w:tcPr>
            <w:tcW w:type="dxa" w:w="3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595959"/>
                <w:sz w:val="19"/>
                <w:szCs w:val="19"/>
              </w:rPr>
              <w:t xml:space="preserve">held flat</w:t>
            </w:r>
          </w:p>
        </w:tc>
      </w:tr>
      <w:tr>
        <w:tc>
          <w:tcPr>
            <w:tcW w:type="dxa" w:w="33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WACC</w:t>
            </w:r>
          </w:p>
        </w:tc>
        <w:tc>
          <w:tcPr>
            <w:tcW w:type="dxa" w:w="15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9.5%</w:t>
            </w:r>
          </w:p>
        </w:tc>
        <w:tc>
          <w:tcPr>
            <w:tcW w:type="dxa" w:w="15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9.5%</w:t>
            </w:r>
          </w:p>
        </w:tc>
        <w:tc>
          <w:tcPr>
            <w:tcW w:type="dxa" w:w="3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595959"/>
                <w:sz w:val="19"/>
                <w:szCs w:val="19"/>
              </w:rPr>
              <w:t xml:space="preserve">assumption</w:t>
            </w:r>
          </w:p>
        </w:tc>
      </w:tr>
      <w:tr>
        <w:tc>
          <w:tcPr>
            <w:tcW w:type="dxa" w:w="33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Terminal growth</w:t>
            </w:r>
          </w:p>
        </w:tc>
        <w:tc>
          <w:tcPr>
            <w:tcW w:type="dxa" w:w="15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3.0%</w:t>
            </w:r>
          </w:p>
        </w:tc>
        <w:tc>
          <w:tcPr>
            <w:tcW w:type="dxa" w:w="15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3.0%</w:t>
            </w:r>
          </w:p>
        </w:tc>
        <w:tc>
          <w:tcPr>
            <w:tcW w:type="dxa" w:w="3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color w:val="595959"/>
                <w:sz w:val="19"/>
                <w:szCs w:val="19"/>
              </w:rPr>
              <w:t xml:space="preserve">assumption</w:t>
            </w:r>
          </w:p>
        </w:tc>
      </w:tr>
    </w:tbl>
    <w:p>
      <w:pPr>
        <w:spacing w:after="120" w:before="20"/>
      </w:pPr>
      <w:r>
        <w:rPr>
          <w:i/>
          <w:iCs/>
          <w:color w:val="595959"/>
          <w:sz w:val="16"/>
          <w:szCs w:val="16"/>
        </w:rPr>
        <w:t xml:space="preserve">All forward assumptions are the author's modelling inputs, not company guidance. Full set on the Excel Assumptions tab.</w:t>
      </w:r>
    </w:p>
    <w:p>
      <w:pPr>
        <w:pStyle w:val="Heading2"/>
      </w:pPr>
      <w:r>
        <w:t xml:space="preserve">7.3 Base-case output</w:t>
      </w:r>
    </w:p>
    <w:p>
      <w:pPr>
        <w:spacing w:after="120" w:before="0" w:line="276"/>
      </w:pPr>
      <w:r>
        <w:t xml:space="preserve">Discounting the base-case unlevered FCF at a 9.5% WACC with 3.0% terminal growth yields an enterprise value of roughly </w:t>
      </w:r>
      <w:r>
        <w:rPr>
          <w:b/>
          <w:bCs/>
        </w:rPr>
        <w:t xml:space="preserve">$207bn</w:t>
      </w:r>
      <w:r>
        <w:t xml:space="preserve">, an equity value near </w:t>
      </w:r>
      <w:r>
        <w:rPr>
          <w:b/>
          <w:bCs/>
        </w:rPr>
        <w:t xml:space="preserve">$210bn</w:t>
      </w:r>
      <w:r>
        <w:t xml:space="preserve">, and an implied value of about </w:t>
      </w:r>
      <w:r>
        <w:rPr>
          <w:b/>
          <w:bCs/>
          <w:color w:val="2E7D32"/>
        </w:rPr>
        <w:t xml:space="preserve">$103 per share — roughly 41% above the ~$73 quote.</w:t>
      </w:r>
      <w:r>
        <w:t xml:space="preserve"> Terminal value is about 79% of enterprise value, underscoring sensitivity to the discount and growth assumptions.</w:t>
      </w:r>
    </w:p>
    <w:p>
      <w:pPr>
        <w:pStyle w:val="Heading1"/>
      </w:pPr>
      <w:r>
        <w:t xml:space="preserve">8. Scenario Analysis</w:t>
      </w:r>
    </w:p>
    <w:p>
      <w:pPr>
        <w:spacing w:after="120" w:before="0" w:line="276"/>
      </w:pPr>
      <w:r>
        <w:t xml:space="preserve">Each scenario re-runs the full DCF with its own growth, margin, FCF-conversion, WACC and terminal assumptions, rather than flexing a single variable. The bear case stacks slower bookings growth, stalling margins, weaker cash conversion, a higher WACC (11.0%) and lower terminal growth (2.0%); the bull case does the opposite (lower WACC 9.0%, higher terminal growth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left"/>
            </w:pPr>
            <w:r>
              <w:rPr>
                <w:b/>
                <w:bCs/>
                <w:color w:val="FFFFFF"/>
                <w:sz w:val="19"/>
                <w:szCs w:val="19"/>
              </w:rPr>
              <w:t xml:space="preserve">Per-share outcome</w:t>
            </w:r>
          </w:p>
        </w:tc>
        <w:tc>
          <w:tcPr>
            <w:tcW w:type="dxa" w:w="20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Bear</w:t>
            </w:r>
          </w:p>
        </w:tc>
        <w:tc>
          <w:tcPr>
            <w:tcW w:type="dxa" w:w="20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Base</w:t>
            </w:r>
          </w:p>
        </w:tc>
        <w:tc>
          <w:tcPr>
            <w:tcW w:type="dxa" w:w="200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Bull</w:t>
            </w:r>
          </w:p>
        </w:tc>
      </w:tr>
      <w:tr>
        <w:tc>
          <w:tcPr>
            <w:tcW w:type="dxa" w:w="33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2030E gross bookings ($bn)</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~$273</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~$418</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~$464</w:t>
            </w:r>
          </w:p>
        </w:tc>
      </w:tr>
      <w:tr>
        <w:tc>
          <w:tcPr>
            <w:tcW w:type="dxa" w:w="33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2030E adj. EBITDA ($bn)</w:t>
            </w:r>
          </w:p>
        </w:tc>
        <w:tc>
          <w:tcPr>
            <w:tcW w:type="dxa" w:w="2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~$12</w:t>
            </w:r>
          </w:p>
        </w:tc>
        <w:tc>
          <w:tcPr>
            <w:tcW w:type="dxa" w:w="2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~$26</w:t>
            </w:r>
          </w:p>
        </w:tc>
        <w:tc>
          <w:tcPr>
            <w:tcW w:type="dxa" w:w="2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~$33</w:t>
            </w:r>
          </w:p>
        </w:tc>
      </w:tr>
      <w:tr>
        <w:tc>
          <w:tcPr>
            <w:tcW w:type="dxa" w:w="33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bCs/>
                <w:sz w:val="19"/>
                <w:szCs w:val="19"/>
              </w:rPr>
              <w:t xml:space="preserve">Implied value / share</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color w:val="B03A2E"/>
                <w:sz w:val="19"/>
                <w:szCs w:val="19"/>
              </w:rPr>
              <w:t xml:space="preserve">$33</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color w:val="2E5496"/>
                <w:sz w:val="19"/>
                <w:szCs w:val="19"/>
              </w:rPr>
              <w:t xml:space="preserve">$103</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color w:val="2E7D32"/>
                <w:sz w:val="19"/>
                <w:szCs w:val="19"/>
              </w:rPr>
              <w:t xml:space="preserve">$164</w:t>
            </w:r>
          </w:p>
        </w:tc>
      </w:tr>
      <w:tr>
        <w:tc>
          <w:tcPr>
            <w:tcW w:type="dxa" w:w="33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Upside / (downside)</w:t>
            </w:r>
          </w:p>
        </w:tc>
        <w:tc>
          <w:tcPr>
            <w:tcW w:type="dxa" w:w="2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B03A2E"/>
                <w:sz w:val="19"/>
                <w:szCs w:val="19"/>
              </w:rPr>
              <w:t xml:space="preserve">(54%)</w:t>
            </w:r>
          </w:p>
        </w:tc>
        <w:tc>
          <w:tcPr>
            <w:tcW w:type="dxa" w:w="2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2E7D32"/>
                <w:sz w:val="19"/>
                <w:szCs w:val="19"/>
              </w:rPr>
              <w:t xml:space="preserve">+41%</w:t>
            </w:r>
          </w:p>
        </w:tc>
        <w:tc>
          <w:tcPr>
            <w:tcW w:type="dxa" w:w="200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color w:val="2E7D32"/>
                <w:sz w:val="19"/>
                <w:szCs w:val="19"/>
              </w:rPr>
              <w:t xml:space="preserve">+124%</w:t>
            </w:r>
          </w:p>
        </w:tc>
      </w:tr>
      <w:tr>
        <w:tc>
          <w:tcPr>
            <w:tcW w:type="dxa" w:w="33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Probability weight</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25%</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50%</w:t>
            </w:r>
          </w:p>
        </w:tc>
        <w:tc>
          <w:tcPr>
            <w:tcW w:type="dxa" w:w="200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25%</w:t>
            </w:r>
          </w:p>
        </w:tc>
      </w:tr>
    </w:tbl>
    <w:p>
      <w:pPr>
        <w:spacing w:after="120" w:before="20"/>
      </w:pPr>
      <w:r>
        <w:rPr>
          <w:i/>
          <w:iCs/>
          <w:color w:val="595959"/>
          <w:sz w:val="16"/>
          <w:szCs w:val="16"/>
        </w:rPr>
        <w:t xml:space="preserve">Source: Excel Scenario Analysis tab. 2030E gross-bookings/EBITDA figures rounded; per-share values rounded to the nearest dollar.</w:t>
      </w:r>
    </w:p>
    <w:p>
      <w:pPr>
        <w:spacing w:after="120" w:before="0" w:line="276"/>
      </w:pPr>
      <w:r>
        <w:t xml:space="preserve">The probability-weighted fair value is approximately </w:t>
      </w:r>
      <w:r>
        <w:rPr>
          <w:b/>
          <w:bCs/>
        </w:rPr>
        <w:t xml:space="preserve">$101 per share (~38% above the current price)</w:t>
      </w:r>
      <w:r>
        <w:t xml:space="preserve"> — modest net upside that masks a very wide range of outcomes.</w:t>
      </w:r>
    </w:p>
    <w:p>
      <w:pPr>
        <w:pStyle w:val="Heading1"/>
      </w:pPr>
      <w:r>
        <w:t xml:space="preserve">9. Downside Stress Test</w:t>
      </w:r>
    </w:p>
    <w:p>
      <w:pPr>
        <w:spacing w:after="120" w:before="0" w:line="276"/>
      </w:pPr>
      <w:r>
        <w:t xml:space="preserve">Because the bear case is the crux of the investment decision, the model stress-tests it directly. Discounting the bear-case unlevered free-cash-flow path across a grid of higher discount rates (10–14%) and lower terminal growth (1.0–3.0%) produces implied prices that cluster roughly in the </w:t>
      </w:r>
      <w:r>
        <w:rPr>
          <w:b/>
          <w:bCs/>
          <w:color w:val="B03A2E"/>
        </w:rPr>
        <w:t xml:space="preserve">$24–$41 range</w:t>
      </w:r>
      <w:r>
        <w:t xml:space="preserve"> — well below the current quote. In other words, if the AV-disruption thesis is right and margins stall, an investor could plausibly face a 45–65% drawdown from current levels.</w:t>
      </w:r>
    </w:p>
    <w:p>
      <w:pPr>
        <w:spacing w:after="120" w:before="0" w:line="276"/>
      </w:pPr>
      <w:r>
        <w:t xml:space="preserve">This is the disciplining insight of the memo: the upside is real, but the downside is severe and not remote. It argues for sizing the position so that a bear outcome is survivable, and for treating AV-deployment news as a key thesis-check.</w:t>
      </w:r>
    </w:p>
    <w:p>
      <w:pPr>
        <w:pStyle w:val="Heading1"/>
      </w:pPr>
      <w:r>
        <w:t xml:space="preserve">10. Sensitivity Tables</w:t>
      </w:r>
    </w:p>
    <w:p>
      <w:pPr>
        <w:spacing w:after="120" w:before="0" w:line="276"/>
      </w:pPr>
      <w:r>
        <w:t xml:space="preserve">The Excel model includes four two-way sensitivity grids (all live formulas). Representative base-case output — implied value per share as WACC and terminal growth vary —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left"/>
            </w:pPr>
            <w:r>
              <w:rPr>
                <w:b/>
                <w:bCs/>
                <w:color w:val="FFFFFF"/>
                <w:sz w:val="19"/>
                <w:szCs w:val="19"/>
              </w:rPr>
              <w:t xml:space="preserve">WACC ＼ term. g</w:t>
            </w:r>
          </w:p>
        </w:tc>
        <w:tc>
          <w:tcPr>
            <w:tcW w:type="dxa" w:w="144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2.0%</w:t>
            </w:r>
          </w:p>
        </w:tc>
        <w:tc>
          <w:tcPr>
            <w:tcW w:type="dxa" w:w="144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2.5%</w:t>
            </w:r>
          </w:p>
        </w:tc>
        <w:tc>
          <w:tcPr>
            <w:tcW w:type="dxa" w:w="144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3.0%</w:t>
            </w:r>
          </w:p>
        </w:tc>
        <w:tc>
          <w:tcPr>
            <w:tcW w:type="dxa" w:w="144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3.5%</w:t>
            </w:r>
          </w:p>
        </w:tc>
        <w:tc>
          <w:tcPr>
            <w:tcW w:type="dxa" w:w="1440"/>
            <w:tcBorders>
              <w:top w:val="single" w:color="C9D2DE" w:sz="1"/>
              <w:left w:val="single" w:color="C9D2DE" w:sz="1"/>
              <w:bottom w:val="single" w:color="C9D2DE" w:sz="1"/>
              <w:right w:val="single" w:color="C9D2DE" w:sz="1"/>
            </w:tcBorders>
            <w:shd w:fill="1F2A44" w:val="clear"/>
            <w:tcMar>
              <w:top w:type="dxa" w:w="60"/>
              <w:left w:type="dxa" w:w="110"/>
              <w:bottom w:type="dxa" w:w="60"/>
              <w:right w:type="dxa" w:w="110"/>
            </w:tcMar>
            <w:vAlign w:val="center"/>
          </w:tcPr>
          <w:p>
            <w:pPr>
              <w:spacing w:after="0" w:line="252"/>
              <w:jc w:val="right"/>
            </w:pPr>
            <w:r>
              <w:rPr>
                <w:b/>
                <w:bCs/>
                <w:color w:val="FFFFFF"/>
                <w:sz w:val="19"/>
                <w:szCs w:val="19"/>
              </w:rPr>
              <w:t xml:space="preserve">4.0%</w:t>
            </w:r>
          </w:p>
        </w:tc>
      </w:tr>
      <w:tr>
        <w:tc>
          <w:tcPr>
            <w:tcW w:type="dxa" w:w="21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8.5%</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$108</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$117</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$128</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$141</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$157</w:t>
            </w:r>
          </w:p>
        </w:tc>
      </w:tr>
      <w:tr>
        <w:tc>
          <w:tcPr>
            <w:tcW w:type="dxa" w:w="21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9.0%</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$98</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$105</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$114</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$124</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$137</w:t>
            </w:r>
          </w:p>
        </w:tc>
      </w:tr>
      <w:tr>
        <w:tc>
          <w:tcPr>
            <w:tcW w:type="dxa" w:w="21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bCs/>
                <w:sz w:val="19"/>
                <w:szCs w:val="19"/>
              </w:rPr>
              <w:t xml:space="preserve">9.5%</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$89</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$95</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bCs/>
                <w:color w:val="2E5496"/>
                <w:sz w:val="19"/>
                <w:szCs w:val="19"/>
              </w:rPr>
              <w:t xml:space="preserve">$103</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$112</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$122</w:t>
            </w:r>
          </w:p>
        </w:tc>
      </w:tr>
      <w:tr>
        <w:tc>
          <w:tcPr>
            <w:tcW w:type="dxa" w:w="216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left"/>
            </w:pPr>
            <w:r>
              <w:rPr>
                <w:b w:val="false"/>
                <w:bCs w:val="false"/>
                <w:sz w:val="19"/>
                <w:szCs w:val="19"/>
              </w:rPr>
              <w:t xml:space="preserve">10.0%</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$82</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$87</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$93</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$101</w:t>
            </w:r>
          </w:p>
        </w:tc>
        <w:tc>
          <w:tcPr>
            <w:tcW w:type="dxa" w:w="1440"/>
            <w:tcBorders>
              <w:top w:val="single" w:color="C9D2DE" w:sz="1"/>
              <w:left w:val="single" w:color="C9D2DE" w:sz="1"/>
              <w:bottom w:val="single" w:color="C9D2DE" w:sz="1"/>
              <w:right w:val="single" w:color="C9D2DE" w:sz="1"/>
            </w:tcBorders>
            <w:shd w:fill="F2F5FA" w:val="clear"/>
            <w:tcMar>
              <w:top w:type="dxa" w:w="60"/>
              <w:left w:type="dxa" w:w="110"/>
              <w:bottom w:type="dxa" w:w="60"/>
              <w:right w:type="dxa" w:w="110"/>
            </w:tcMar>
            <w:vAlign w:val="center"/>
          </w:tcPr>
          <w:p>
            <w:pPr>
              <w:spacing w:after="0" w:line="252"/>
              <w:jc w:val="right"/>
            </w:pPr>
            <w:r>
              <w:rPr>
                <w:b w:val="false"/>
                <w:bCs w:val="false"/>
                <w:sz w:val="19"/>
                <w:szCs w:val="19"/>
              </w:rPr>
              <w:t xml:space="preserve">$110</w:t>
            </w:r>
          </w:p>
        </w:tc>
      </w:tr>
      <w:tr>
        <w:tc>
          <w:tcPr>
            <w:tcW w:type="dxa" w:w="216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left"/>
            </w:pPr>
            <w:r>
              <w:rPr>
                <w:b w:val="false"/>
                <w:bCs w:val="false"/>
                <w:sz w:val="19"/>
                <w:szCs w:val="19"/>
              </w:rPr>
              <w:t xml:space="preserve">10.5%</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$76</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$80</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$85</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$91</w:t>
            </w:r>
          </w:p>
        </w:tc>
        <w:tc>
          <w:tcPr>
            <w:tcW w:type="dxa" w:w="1440"/>
            <w:tcBorders>
              <w:top w:val="single" w:color="C9D2DE" w:sz="1"/>
              <w:left w:val="single" w:color="C9D2DE" w:sz="1"/>
              <w:bottom w:val="single" w:color="C9D2DE" w:sz="1"/>
              <w:right w:val="single" w:color="C9D2DE" w:sz="1"/>
            </w:tcBorders>
            <w:tcMar>
              <w:top w:type="dxa" w:w="60"/>
              <w:left w:type="dxa" w:w="110"/>
              <w:bottom w:type="dxa" w:w="60"/>
              <w:right w:type="dxa" w:w="110"/>
            </w:tcMar>
            <w:vAlign w:val="center"/>
          </w:tcPr>
          <w:p>
            <w:pPr>
              <w:spacing w:after="0" w:line="252"/>
              <w:jc w:val="right"/>
            </w:pPr>
            <w:r>
              <w:rPr>
                <w:b w:val="false"/>
                <w:bCs w:val="false"/>
                <w:sz w:val="19"/>
                <w:szCs w:val="19"/>
              </w:rPr>
              <w:t xml:space="preserve">$99</w:t>
            </w:r>
          </w:p>
        </w:tc>
      </w:tr>
    </w:tbl>
    <w:p>
      <w:pPr>
        <w:spacing w:after="120" w:before="20"/>
      </w:pPr>
      <w:r>
        <w:rPr>
          <w:i/>
          <w:iCs/>
          <w:color w:val="595959"/>
          <w:sz w:val="16"/>
          <w:szCs w:val="16"/>
        </w:rPr>
        <w:t xml:space="preserve">Illustrative values from the Excel Sensitivity Tables tab (Table 1, base case). The model also includes margin × growth, exit-multiple × FCF-margin, and a dedicated bear-case WACC × growth grid.</w:t>
      </w:r>
    </w:p>
    <w:p>
      <w:pPr>
        <w:spacing w:after="120" w:before="0" w:line="276"/>
      </w:pPr>
      <w:r>
        <w:rPr>
          <w:i/>
          <w:iCs/>
        </w:rPr>
        <w:t xml:space="preserve">Read-through: even at a 10.5% WACC and only 2.0% terminal growth, the base-case structure still implies a price above the current quote — but the bear grid (separate table) shows how quickly that reverses once growth and margin assumptions are cut together.</w:t>
      </w:r>
    </w:p>
    <w:p>
      <w:pPr>
        <w:pStyle w:val="Heading1"/>
      </w:pPr>
      <w:r>
        <w:t xml:space="preserve">11. Final Recommendation</w:t>
      </w:r>
    </w:p>
    <w:p>
      <w:pPr>
        <w:spacing w:after="120" w:before="0" w:line="276"/>
      </w:pPr>
      <w:r>
        <w:rPr>
          <w:b/>
          <w:bCs/>
        </w:rPr>
        <w:t xml:space="preserve">Qualified BUY / Accumulate (Constructive). </w:t>
      </w:r>
      <w:r>
        <w:t xml:space="preserve">On a probability-weighted basis the model points to roughly </w:t>
      </w:r>
      <w:r>
        <w:rPr>
          <w:b/>
          <w:bCs/>
        </w:rPr>
        <w:t xml:space="preserve">38% upside</w:t>
      </w:r>
      <w:r>
        <w:t xml:space="preserve">, and the base case (~$103) sits comfortably above the current ~$73 quote. The investment merits — category leadership, expanding margins, a genuine free-cash-flow inflection and balance-sheet optionality — are intact and improving.</w:t>
      </w:r>
    </w:p>
    <w:p>
      <w:pPr>
        <w:spacing w:after="120" w:before="0" w:line="276"/>
      </w:pPr>
      <w:r>
        <w:t xml:space="preserve">The qualification matters. The bear case (~$33) is severe and tied to a real, unresolved question — whether autonomous vehicles disrupt or are absorbed by Uber's marketplace. The prudent stance is therefore to </w:t>
      </w:r>
      <w:r>
        <w:rPr>
          <w:b/>
          <w:bCs/>
        </w:rPr>
        <w:t xml:space="preserve">accumulate with disciplined position sizing</w:t>
      </w:r>
      <w:r>
        <w:t xml:space="preserve"> rather than concentrate, and to monitor the thesis actively.</w:t>
      </w:r>
    </w:p>
    <w:p>
      <w:pPr>
        <w:pStyle w:val="Heading2"/>
      </w:pPr>
      <w:r>
        <w:t xml:space="preserve">What to monitor</w:t>
      </w:r>
    </w:p>
    <w:p>
      <w:pPr>
        <w:pStyle w:val="ListParagraph"/>
        <w:numPr>
          <w:ilvl w:val="0"/>
          <w:numId w:val="2"/>
        </w:numPr>
        <w:spacing w:after="80" w:line="276"/>
      </w:pPr>
      <w:r>
        <w:t xml:space="preserve">Gross-bookings growth (constant currency) versus the ~18–22% guidance.</w:t>
      </w:r>
    </w:p>
    <w:p>
      <w:pPr>
        <w:pStyle w:val="ListParagraph"/>
        <w:numPr>
          <w:ilvl w:val="0"/>
          <w:numId w:val="2"/>
        </w:numPr>
        <w:spacing w:after="80" w:line="276"/>
      </w:pPr>
      <w:r>
        <w:t xml:space="preserve">Mobility and Delivery segment adjusted-EBITDA margin trajectory.</w:t>
      </w:r>
    </w:p>
    <w:p>
      <w:pPr>
        <w:pStyle w:val="ListParagraph"/>
        <w:numPr>
          <w:ilvl w:val="0"/>
          <w:numId w:val="2"/>
        </w:numPr>
        <w:spacing w:after="80" w:line="276"/>
      </w:pPr>
      <w:r>
        <w:t xml:space="preserve">Free-cash-flow conversion and the pace of the buyback.</w:t>
      </w:r>
    </w:p>
    <w:p>
      <w:pPr>
        <w:pStyle w:val="ListParagraph"/>
        <w:numPr>
          <w:ilvl w:val="0"/>
          <w:numId w:val="2"/>
        </w:numPr>
        <w:spacing w:after="80" w:line="276"/>
      </w:pPr>
      <w:r>
        <w:t xml:space="preserve">AV partnership rollout, city launches, and any impact on driver supply.</w:t>
      </w:r>
    </w:p>
    <w:p>
      <w:pPr>
        <w:pStyle w:val="ListParagraph"/>
        <w:numPr>
          <w:ilvl w:val="0"/>
          <w:numId w:val="2"/>
        </w:numPr>
        <w:spacing w:after="80" w:line="276"/>
      </w:pPr>
      <w:r>
        <w:t xml:space="preserve">Regulatory headlines on labour classification and antitrust.</w:t>
      </w:r>
    </w:p>
    <w:p>
      <w:pPr>
        <w:pBdr>
          <w:top w:val="single" w:color="C9D2DE" w:sz="6" w:space="6"/>
        </w:pBdr>
        <w:spacing w:after="0" w:before="160"/>
      </w:pPr>
      <w:r>
        <w:rPr>
          <w:b/>
          <w:bCs/>
          <w:i/>
          <w:iCs/>
          <w:color w:val="595959"/>
          <w:sz w:val="18"/>
          <w:szCs w:val="18"/>
        </w:rPr>
        <w:t xml:space="preserve">Reminder: </w:t>
      </w:r>
      <w:r>
        <w:rPr>
          <w:i/>
          <w:iCs/>
          <w:color w:val="595959"/>
          <w:sz w:val="18"/>
          <w:szCs w:val="18"/>
        </w:rPr>
        <w:t xml:space="preserve">this memo is an educational portfolio exercise, is not investment advice, and is not the work of a licensed financial advisor. Every historical figure is sourced to public filings; every forward estimate is a labelled assumption.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Uber Technologies, Q4 &amp; FY2025 earnings press release (Form 8-K, Ex-99.1), SEC EDGAR, CIK 0001543151.</w:t>
      </w:r>
    </w:p>
  </w:footnote>
  <w:footnote w:id="2">
    <w:p>
      <w:r>
        <w:rPr>
          <w:rStyle w:val="FootnoteReference"/>
        </w:rPr>
        <w:footnoteRef/>
      </w:r>
      <w:r>
        <w:rPr>
          <w:sz w:val="18"/>
          <w:szCs w:val="18"/>
        </w:rPr>
        <w:t xml:space="preserve">Market data (price, market capitalisation, 52-week range, analyst ratings) approximate, as of ~13 June 2026, from public quote sources; treated as a model input, not a precise figure.</w:t>
      </w:r>
    </w:p>
  </w:footnote>
  <w:footnote w:id="3">
    <w:p>
      <w:r>
        <w:rPr>
          <w:rStyle w:val="FootnoteReference"/>
        </w:rPr>
        <w:footnoteRef/>
      </w:r>
      <w:r>
        <w:rPr>
          <w:sz w:val="18"/>
          <w:szCs w:val="18"/>
        </w:rPr>
        <w:t xml:space="preserve">Author's modelling assumption — not a reported figure. See the accompanying Excel model (Assumptions tab) for the full set of inputs and their bases.</w:t>
      </w:r>
    </w:p>
  </w:footnote>
  <w:footnote w:id="4">
    <w:p>
      <w:r>
        <w:rPr>
          <w:rStyle w:val="FootnoteReference"/>
        </w:rPr>
        <w:footnoteRef/>
      </w:r>
      <w:r>
        <w:rPr>
          <w:sz w:val="18"/>
          <w:szCs w:val="18"/>
        </w:rPr>
        <w:t xml:space="preserve">Uber Technologies, Q4 &amp; FY2025 earnings press release (Form 8-K, Ex-99.1), SEC EDGAR, CIK 0001543151.</w:t>
      </w:r>
    </w:p>
  </w:footnote>
  <w:footnote w:id="5">
    <w:p>
      <w:r>
        <w:rPr>
          <w:rStyle w:val="FootnoteReference"/>
        </w:rPr>
        <w:footnoteRef/>
      </w:r>
      <w:r>
        <w:rPr>
          <w:sz w:val="18"/>
          <w:szCs w:val="18"/>
        </w:rPr>
        <w:t xml:space="preserve">Uber Technologies, Q1 2026 earnings press release (Form 8-K, Ex-99.1), released 6 May 2026, SEC EDGAR.</w:t>
      </w:r>
    </w:p>
  </w:footnote>
  <w:footnote w:id="6">
    <w:p>
      <w:r>
        <w:rPr>
          <w:rStyle w:val="FootnoteReference"/>
        </w:rPr>
        <w:footnoteRef/>
      </w:r>
      <w:r>
        <w:rPr>
          <w:sz w:val="18"/>
          <w:szCs w:val="18"/>
        </w:rPr>
        <w:t xml:space="preserve">Uber Technologies, FY2025 Form 10-K (period ending 12/31/2025), SEC EDGAR.</w:t>
      </w:r>
    </w:p>
  </w:footnote>
  <w:footnote w:id="7">
    <w:p>
      <w:r>
        <w:rPr>
          <w:rStyle w:val="FootnoteReference"/>
        </w:rPr>
        <w:footnoteRef/>
      </w:r>
      <w:r>
        <w:rPr>
          <w:sz w:val="18"/>
          <w:szCs w:val="18"/>
        </w:rPr>
        <w:t xml:space="preserve">Uber Technologies, Q4 &amp; FY2025 earnings press release (Form 8-K, Ex-99.1), SEC EDGAR, CIK 0001543151.</w:t>
      </w:r>
    </w:p>
  </w:footnote>
  <w:footnote w:id="8">
    <w:p>
      <w:r>
        <w:rPr>
          <w:rStyle w:val="FootnoteReference"/>
        </w:rPr>
        <w:footnoteRef/>
      </w:r>
      <w:r>
        <w:rPr>
          <w:sz w:val="18"/>
          <w:szCs w:val="18"/>
        </w:rPr>
        <w:t xml:space="preserve">Uber Technologies, Q1 2026 earnings press release (Form 8-K, Ex-99.1), released 6 May 2026, SEC EDGAR.</w:t>
      </w:r>
    </w:p>
  </w:footnote>
  <w:footnote w:id="9">
    <w:p>
      <w:r>
        <w:rPr>
          <w:rStyle w:val="FootnoteReference"/>
        </w:rPr>
        <w:footnoteRef/>
      </w:r>
      <w:r>
        <w:rPr>
          <w:sz w:val="18"/>
          <w:szCs w:val="18"/>
        </w:rPr>
        <w:t xml:space="preserve">Author's modelling assumption — not a reported figure. See the accompanying Excel model (Assumptions tab) for the full set of inputs and their bases.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2"/>
      </w:pBdr>
      <w:tabs>
        <w:tab w:val="right" w:pos="9360"/>
      </w:tabs>
    </w:pPr>
    <w:r>
      <w:rPr>
        <w:color w:val="595959"/>
        <w:sz w:val="16"/>
        <w:szCs w:val="16"/>
      </w:rPr>
      <w:t xml:space="preserve">Uber Technologies (NYSE: UBER) — Investment Memo</w:t>
    </w:r>
    <w:r>
      <w:rPr>
        <w:i/>
        <w:iCs/>
        <w:color w:val="595959"/>
        <w:sz w:val="16"/>
        <w:szCs w:val="16"/>
      </w:rPr>
      <w:t xml:space="preserve">	Portfolio case study —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DE" w:sz="8" w:space="4"/>
      </w:pBdr>
      <w:spacing w:after="160" w:before="32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Uber Technologies — Investment Memo</dc:title>
  <dc:creator>Omar Quinn</dc:creator>
  <cp:lastModifiedBy>Un-named</cp:lastModifiedBy>
  <cp:revision>1</cp:revision>
  <dcterms:created xsi:type="dcterms:W3CDTF">2026-06-17T05:45:50.205Z</dcterms:created>
  <dcterms:modified xsi:type="dcterms:W3CDTF">2026-06-17T05:45:50.205Z</dcterms:modified>
</cp:coreProperties>
</file>

<file path=docProps/custom.xml><?xml version="1.0" encoding="utf-8"?>
<Properties xmlns="http://schemas.openxmlformats.org/officeDocument/2006/custom-properties" xmlns:vt="http://schemas.openxmlformats.org/officeDocument/2006/docPropsVTypes"/>
</file>