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40" w:line="240" w:lineRule="auto"/>
        <w:pBdr>
          <w:top w:val="single" w:sz="36" w:space="0" w:color="4338CA"/>
        </w:pBdr>
      </w:pPr>
    </w:p>
    <w:p>
      <w:pPr>
        <w:bidi/>
        <w:spacing w:before="240" w:after="80" w:line="288" w:lineRule="auto"/>
      </w:pPr>
      <w:r>
        <w:rPr>
          <w:rFonts w:ascii="Tahoma" w:hAnsi="Tahoma" w:cs="Tahoma"/>
          <w:b/>
          <w:bCs/>
          <w:color w:val="C9A84C"/>
          <w:spacing w:val="40"/>
          <w:sz w:val="18"/>
          <w:szCs w:val="18"/>
        </w:rPr>
        <w:t xml:space="preserve">وثيقة البنية التحتية</w:t>
      </w:r>
    </w:p>
    <w:p>
      <w:pPr>
        <w:bidi/>
        <w:spacing w:before="0" w:after="120" w:line="288" w:lineRule="auto"/>
      </w:pPr>
      <w:r>
        <w:rPr>
          <w:rFonts w:ascii="Tahoma" w:hAnsi="Tahoma" w:cs="Tahoma"/>
          <w:b/>
          <w:bCs/>
          <w:color w:val="0F172A"/>
          <w:sz w:val="52"/>
          <w:szCs w:val="52"/>
        </w:rPr>
        <w:t xml:space="preserve">البنية التحتية للمشروع</w:t>
      </w:r>
    </w:p>
    <w:p>
      <w:pPr>
        <w:bidi/>
        <w:spacing w:before="0" w:after="240" w:line="324" w:lineRule="auto"/>
      </w:pPr>
      <w:r>
        <w:rPr>
          <w:rFonts w:ascii="Tahoma" w:hAnsi="Tahoma" w:cs="Tahoma"/>
          <w:color w:val="475569"/>
          <w:sz w:val="24"/>
          <w:szCs w:val="24"/>
        </w:rPr>
        <w:t xml:space="preserve">مجمع الملك سلمان العالمي للغة العربية — الموقع العام + لوحة التحكم الإدارية</w:t>
      </w:r>
    </w:p>
    <w:p>
      <w:pPr>
        <w:bidi/>
        <w:spacing w:before="0" w:after="240" w:line="240" w:lineRule="auto"/>
        <w:pBdr>
          <w:top w:val="single" w:sz="4" w:space="0" w:color="E2E8F0"/>
        </w:pBdr>
      </w:pPr>
    </w:p>
    <w:tbl>
      <w:tblPr>
        <w:tblW w:type="pct" w:w="5000"/>
        <w:tblLook w:firstColumn="1" w:firstRow="1" w:lastColumn="0" w:lastRow="0" w:noHBand="0" w:noVBand="1" w:val="04A0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right w:val="single" w:sz="36" w:space="0" w:color="C9A84C"/>
            </w:tcBorders>
          </w:tcPr>
          <w:p>
            <w:pPr>
              <w:bidi/>
              <w:spacing w:before="0" w:after="40" w:line="276" w:lineRule="auto"/>
            </w:pPr>
            <w:r>
              <w:rPr>
                <w:rFonts w:ascii="Tahoma" w:hAnsi="Tahoma" w:cs="Tahoma"/>
                <w:color w:val="475569"/>
                <w:spacing w:val="20"/>
                <w:sz w:val="16"/>
                <w:szCs w:val="16"/>
              </w:rPr>
              <w:t xml:space="preserve">المشروع</w:t>
            </w:r>
          </w:p>
          <w:p>
            <w:pPr>
              <w:bidi/>
              <w:spacing w:before="0" w:after="0" w:line="288" w:lineRule="auto"/>
            </w:pPr>
            <w:r>
              <w:rPr>
                <w:rFonts w:ascii="Tahoma" w:hAnsi="Tahoma" w:cs="Tahoma"/>
                <w:b/>
                <w:bCs/>
                <w:color w:val="0F172A"/>
                <w:sz w:val="22"/>
                <w:szCs w:val="22"/>
              </w:rPr>
              <w:t xml:space="preserve">المجمع — كرة أرضية + لوحة تحكم</w:t>
            </w:r>
          </w:p>
        </w:tc>
        <w:tc>
          <w:tcPr>
            <w:tcW w:type="dxa" w:w="4933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bidi/>
              <w:spacing w:before="0" w:after="40" w:line="276" w:lineRule="auto"/>
            </w:pPr>
            <w:r>
              <w:rPr>
                <w:rFonts w:ascii="Tahoma" w:hAnsi="Tahoma" w:cs="Tahoma"/>
                <w:color w:val="475569"/>
                <w:spacing w:val="20"/>
                <w:sz w:val="16"/>
                <w:szCs w:val="16"/>
              </w:rPr>
              <w:t xml:space="preserve">الوثيقة</w:t>
            </w:r>
          </w:p>
          <w:p>
            <w:pPr>
              <w:bidi/>
              <w:spacing w:before="0" w:after="0" w:line="288" w:lineRule="auto"/>
            </w:pPr>
            <w:r>
              <w:rPr>
                <w:rFonts w:ascii="Tahoma" w:hAnsi="Tahoma" w:cs="Tahoma"/>
                <w:b/>
                <w:bCs/>
                <w:color w:val="0F172A"/>
                <w:sz w:val="22"/>
                <w:szCs w:val="22"/>
              </w:rPr>
              <w:t xml:space="preserve">البنية التحتية</w:t>
            </w:r>
          </w:p>
        </w:tc>
      </w:tr>
      <w:tr>
        <w:tc>
          <w:tcPr>
            <w:tcW w:type="dxa" w:w="4933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right w:val="single" w:sz="36" w:space="0" w:color="C9A84C"/>
            </w:tcBorders>
          </w:tcPr>
          <w:p>
            <w:pPr>
              <w:bidi/>
              <w:spacing w:before="0" w:after="40" w:line="276" w:lineRule="auto"/>
            </w:pPr>
            <w:r>
              <w:rPr>
                <w:rFonts w:ascii="Tahoma" w:hAnsi="Tahoma" w:cs="Tahoma"/>
                <w:color w:val="475569"/>
                <w:spacing w:val="20"/>
                <w:sz w:val="16"/>
                <w:szCs w:val="16"/>
              </w:rPr>
              <w:t xml:space="preserve">التاريخ</w:t>
            </w:r>
          </w:p>
          <w:p>
            <w:pPr>
              <w:bidi/>
              <w:spacing w:before="0" w:after="0" w:line="288" w:lineRule="auto"/>
            </w:pPr>
            <w:r>
              <w:rPr>
                <w:rFonts w:ascii="Tahoma" w:hAnsi="Tahoma" w:cs="Tahoma"/>
                <w:b/>
                <w:bCs/>
                <w:color w:val="0F172A"/>
                <w:sz w:val="22"/>
                <w:szCs w:val="22"/>
              </w:rPr>
              <w:t xml:space="preserve">21 مايو 2026</w:t>
            </w:r>
          </w:p>
        </w:tc>
        <w:tc>
          <w:tcPr>
            <w:tcW w:type="dxa" w:w="4933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bidi/>
              <w:spacing w:before="0" w:after="40" w:line="276" w:lineRule="auto"/>
            </w:pPr>
            <w:r>
              <w:rPr>
                <w:rFonts w:ascii="Tahoma" w:hAnsi="Tahoma" w:cs="Tahoma"/>
                <w:color w:val="475569"/>
                <w:spacing w:val="20"/>
                <w:sz w:val="16"/>
                <w:szCs w:val="16"/>
              </w:rPr>
              <w:t xml:space="preserve">المرحلة</w:t>
            </w:r>
          </w:p>
          <w:p>
            <w:pPr>
              <w:bidi/>
              <w:spacing w:before="0" w:after="0" w:line="288" w:lineRule="auto"/>
            </w:pPr>
            <w:r>
              <w:rPr>
                <w:rFonts w:ascii="Tahoma" w:hAnsi="Tahoma" w:cs="Tahoma"/>
                <w:b/>
                <w:bCs/>
                <w:color w:val="0F172A"/>
                <w:sz w:val="22"/>
                <w:szCs w:val="22"/>
              </w:rPr>
              <w:t xml:space="preserve">ما قبل الإطلاق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16"/>
          <w:szCs w:val="16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مكونات المشروع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المكوّن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الوصف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الجمهور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الموقع العام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صفحة واحدة بكرة أرضية تفاعلية تعرض أنشطة المجمع حول العالم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الزوار العامون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لوحة التحكم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واجهة إدارية لإضافة الأنشطة وتعديلها وحذفها ونشرها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فريق المجمع فقط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إدارة المحتوى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يتحكم فريق المجمع في محتوى الموقع بالكامل عبر لوحة التحكم دون أي تدخل تقني.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يمكن حفظ النشاط كمسوّدة ثم نشره لاحقاً — لا يظهر على الموقع العام حتى يُنشر.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التغييرات المنشورة تنعكس فوراً على الموقع.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بيئتا التشغيل (Staging و Production)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يُنشر المشروع على بيئتين منفصلتين تماماً لضمان جودة الإصدارات وعدم تأثُّر المستخدمين بأي تغييرات قبل اعتمادها: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البيئة</w:t>
            </w:r>
          </w:p>
        </w:tc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النطاق</w:t>
            </w:r>
          </w:p>
        </w:tc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الغرض</w:t>
            </w:r>
          </w:p>
        </w:tc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الجمهور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بيئة التجربة (Staging)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staging.example.sa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اختبار التحديثات والمراجعة الداخلية قبل النشر الرسمي — نسخة مطابقة للإنتاج ببيانات اختبارية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فريق المجمع التقني والمحتوى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بيئة الإنتاج (Production)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example.sa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الموقع الفعلي المُتاح للعموم — يستقبل الزيارات الحقيقية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الزوار + فريق المجمع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كل بيئة معزولة بقاعدة بيانات وتخزين ومتغيرات بيئة (Environment Variables) مستقلة تماماً.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لا يُنشر أي تغيير على الإنتاج قبل اعتماده على بيئة التجربة.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الاستضافة والأمان والإتاحة العالية (High Availability)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صُمِّمت بنية الإنتاج لتكون عالية الإتاحة (HA) مبنيةً على Kubernetes (Oracle OKE)، بحيث لا يتسبب تعطُّل أي مكوِّن منفرد في توقُّف الموقع: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يعمل التطبيق داخل حاويات Docker تُدار بواسطة </w:t>
      </w:r>
      <w:r>
        <w:rPr>
          <w:rFonts w:ascii="Tahoma" w:hAnsi="Tahoma" w:cs="Tahoma"/>
          <w:b/>
          <w:bCs/>
        </w:rPr>
        <w:t xml:space="preserve">Kubernetes (Oracle OKE)</w:t>
      </w:r>
      <w:r>
        <w:rPr>
          <w:rFonts w:ascii="Tahoma" w:hAnsi="Tahoma" w:cs="Tahoma"/>
        </w:rPr>
        <w:t xml:space="preserve">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NGINX Ingress Controller:</w:t>
      </w:r>
      <w:r>
        <w:rPr>
          <w:rFonts w:ascii="Tahoma" w:hAnsi="Tahoma" w:cs="Tahoma"/>
        </w:rPr>
        <w:t xml:space="preserve"> نقطة الدخول الوحيدة المكشوفة للإنترنت داخل الـ cluster؛ يستقبل حركة HTTPS ويوزِّعها على pods التطبيق ويُجري فحوصات صحة دورية لاستبعاد أي pod متعطِّل تلقائياً.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تعدُّد نسخ التطبيق (Replicas):</w:t>
      </w:r>
      <w:r>
        <w:rPr>
          <w:rFonts w:ascii="Tahoma" w:hAnsi="Tahoma" w:cs="Tahoma"/>
        </w:rPr>
        <w:t xml:space="preserve"> نسختان على الأقل من pods التطبيق تعملان في وضع Active-Active داخل K8s Deployment مع استراتيجية RollingUpdate — لا يُزال أي pod قديم إلا بعد أن يصبح الجديد جاهزاً.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فحوصات الصحة (Health Probes):</w:t>
      </w:r>
      <w:r>
        <w:rPr>
          <w:rFonts w:ascii="Tahoma" w:hAnsi="Tahoma" w:cs="Tahoma"/>
        </w:rPr>
        <w:t xml:space="preserve"> كل pod يكشف مسارَين للـ K8s:
        </w:t>
      </w:r>
      <w:r>
        <w:rPr>
          <w:rFonts w:ascii="Tahoma" w:hAnsi="Tahoma" w:cs="Tahoma"/>
        </w:rPr>
        <w:t xml:space="preserve">
      </w:t>
      </w:r>
    </w:p>
    <w:p>
      <w:pPr>
        <w:pStyle w:val="ListBullet2"/>
        <w:bidi/>
        <w:spacing w:before="0" w:after="80" w:line="348" w:lineRule="auto"/>
      </w:pP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/api/health/live</w:t>
      </w:r>
      <w:r>
        <w:rPr>
          <w:rFonts w:ascii="Tahoma" w:hAnsi="Tahoma" w:cs="Tahoma"/>
        </w:rPr>
        <w:t xml:space="preserve"> — Liveness Probe: يتحقق من أن العملية حية؛ يُعيد K8s تشغيل الـ pod إذا فشل.</w:t>
      </w:r>
    </w:p>
    <w:p>
      <w:pPr>
        <w:pStyle w:val="ListBullet2"/>
        <w:bidi/>
        <w:spacing w:before="0" w:after="80" w:line="348" w:lineRule="auto"/>
      </w:pP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/api/health/ready</w:t>
      </w:r>
      <w:r>
        <w:rPr>
          <w:rFonts w:ascii="Tahoma" w:hAnsi="Tahoma" w:cs="Tahoma"/>
        </w:rPr>
        <w:t xml:space="preserve"> — Readiness Probe: يتحقق من اتصال قاعدة البيانات؛ يُوقف K8s توجيه الطلبات إلى الـ pod حتى ينجح.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قاعدة البيانات:</w:t>
      </w:r>
      <w:r>
        <w:rPr>
          <w:rFonts w:ascii="Tahoma" w:hAnsi="Tahoma" w:cs="Tahoma"/>
        </w:rPr>
        <w:t xml:space="preserve"> OCI Database with PostgreSQL كخدمة مُدارة خارج الـ cluster — تشمل نسخاً احتياطية يومية مدمجة وتحويلاً تلقائياً (Automatic Failover) عند التعطُّل.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نسخ احتياطي يومي (Backups):</w:t>
      </w:r>
      <w:r>
        <w:rPr>
          <w:rFonts w:ascii="Tahoma" w:hAnsi="Tahoma" w:cs="Tahoma"/>
        </w:rPr>
        <w:t xml:space="preserve"> تُدار بالكامل من Azure — نسخ احتياطية مشفَّرة تُحفَظ 30 يوماً على الأقل.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عزل البيئات:</w:t>
      </w:r>
      <w:r>
        <w:rPr>
          <w:rFonts w:ascii="Tahoma" w:hAnsi="Tahoma" w:cs="Tahoma"/>
        </w:rPr>
        <w:t xml:space="preserve"> لكل بيئة (staging/production) namespace Kubernetes مستقل مع secrets وconfigmap خاصَّين بها.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مراقبة (Monitoring):</w:t>
      </w:r>
      <w:r>
        <w:rPr>
          <w:rFonts w:ascii="Tahoma" w:hAnsi="Tahoma" w:cs="Tahoma"/>
        </w:rPr>
        <w:t xml:space="preserve"> مراقبة مستمرة لزمن الاستجابة، استهلاك الموارد، وحالة الـ pods مع تنبيهات فورية.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لوحة التحكم محمية بمصادقة قوية ومستبعدة من محركات البحث.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هدف مستوى الخدمة (SLA): إتاحة </w:t>
      </w:r>
      <w:r>
        <w:rPr>
          <w:rFonts w:ascii="Tahoma" w:hAnsi="Tahoma" w:cs="Tahoma"/>
          <w:b/>
          <w:bCs/>
        </w:rPr>
        <w:t xml:space="preserve">99.9%</w:t>
      </w:r>
      <w:r>
        <w:rPr>
          <w:rFonts w:ascii="Tahoma" w:hAnsi="Tahoma" w:cs="Tahoma"/>
        </w:rPr>
        <w:t xml:space="preserve"> شهرياً، مع زمن استرجاع (RTO) أقل من 15 دقيقة وزمن فقد بيانات (RPO) أقل من 5 دقائق.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متطلبات البنية التحتية السحابية (Azure)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تعتمد البنية على خدمات Azure المُدارة بدلاً من خوادم VPS مستقلة، مما يُقلِّل عبء الإدارة ويضمن الإتاحة العالية:</w:t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موارد Azure المطلوبة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الخدمة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الغرض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المواصفات المقترحة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Oracle Container Engine for Kubernetes (OKE)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تشغيل وإدارة حاويات التطبيق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Cluster واحد — node pool للإنتاج: نوع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Standard_D2s_v3</w:t>
            </w:r>
            <w:r>
              <w:rPr>
                <w:rFonts w:ascii="Tahoma" w:hAnsi="Tahoma" w:cs="Tahoma"/>
              </w:rPr>
              <w:t xml:space="preserve"> (2 vCPU / 8 GB) × 2 عقدة على الأقل؛ node pool للـ staging: عقدة واحدة من نفس النوع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Oracle Cloud Infrastructure Registry (OCIR)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تخزين صور Docker المبنية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Basic tier (يمكن ترقيته لـ Standard عند زيادة الحجم)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OCI Database with PostgreSQL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قاعدة البيانات المُدارة خارج الـ cluster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Burstable B2s للـ staging؛ General Purpose D2ds_v4 للإنتاج — مع تفعيل High Availability و Auto-backup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Azure DevOps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CI/CD Pipelines لبناء الصور ونشرها تلقائياً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مستودع Git + Pipelines + Variable Groups للأسرار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Kubernetes Namespaces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البيئة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Namespace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الغرض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بيئة التجربة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ksgaal-staging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تشغيل نسخة التجربة بإعدادات وأسرار مستقلة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بيئة الإنتاج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ksgaal-production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تشغيل نسخة الإنتاج بإعدادات وأسرار مستقلة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160" w:after="200" w:line="348" w:lineRule="auto"/>
        <w:shd w:val="clear" w:color="auto" w:fill="F8FAFC"/>
        <w:pBdr>
          <w:right w:val="single" w:sz="24" w:space="0" w:color="4338CA"/>
          <w:bottom w:val="single" w:sz="2" w:space="0" w:color="E2E8F0"/>
          <w:left w:val="single" w:sz="2" w:space="0" w:color="E2E8F0"/>
          <w:top w:val="single" w:sz="2" w:space="0" w:color="E2E8F0"/>
        </w:pBdr>
        <w:ind w:left="226" w:right="226"/>
      </w:pPr>
      <w:r>
        <w:rPr>
          <w:rFonts w:ascii="Tahoma" w:hAnsi="Tahoma" w:cs="Tahoma"/>
          <w:color w:val="0F172A"/>
        </w:rPr>
        <w:t xml:space="preserve">لا توجد خوادم VPS مستقلة — كل الحسابات تعمل داخل OKE على nodes يُديرها Azure تلقائياً. قاعدة البيانات PostgreSQL خارج الـ cluster تماماً كخدمة مُدارة.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بناء الحاويات (Docker)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يُبنى التطبيق كصورة Docker متعددة المراحل (Multi-Stage Build) لتقليل الحجم النهائي وضمان عدم تسريب أدوات التطوير في بيئة الإنتاج: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4933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الغرض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base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صورة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node:20-alpine</w:t>
            </w:r>
            <w:r>
              <w:rPr>
                <w:rFonts w:ascii="Tahoma" w:hAnsi="Tahoma" w:cs="Tahoma"/>
              </w:rPr>
              <w:t xml:space="preserve"> الأساسية مع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libc6-compat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deps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تثبيت حزم npm (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npm ci</w:t>
            </w:r>
            <w:r>
              <w:rPr>
                <w:rFonts w:ascii="Tahoma" w:hAnsi="Tahoma" w:cs="Tahoma"/>
              </w:rPr>
              <w:t xml:space="preserve">) ونسخ ملفات Prisma لتوليد الـ client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builder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استقبال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NEXT_PUBLIC_*</w:t>
            </w:r>
            <w:r>
              <w:rPr>
                <w:rFonts w:ascii="Tahoma" w:hAnsi="Tahoma" w:cs="Tahoma"/>
              </w:rPr>
              <w:t xml:space="preserve"> كـ build-args وتشغيل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prisma generate</w:t>
            </w:r>
            <w:r>
              <w:rPr>
                <w:rFonts w:ascii="Tahoma" w:hAnsi="Tahoma" w:cs="Tahoma"/>
              </w:rPr>
              <w:t xml:space="preserve"> ثم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npm run build</w:t>
            </w:r>
            <w:r>
              <w:rPr>
                <w:rFonts w:ascii="Tahoma" w:hAnsi="Tahoma" w:cs="Tahoma"/>
              </w:rPr>
              <w:t xml:space="preserve"> — ينتج standalone output في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.next/standalone/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runner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صورة نهائية خفيفة تحتوي فقط على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.next/standalone</w:t>
            </w:r>
            <w:r>
              <w:rPr>
                <w:rFonts w:ascii="Tahoma" w:hAnsi="Tahoma" w:cs="Tahoma"/>
              </w:rPr>
              <w:t xml:space="preserve"> والأصول الثابتة — تعمل بمستخدم غير root (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nextjs:1001</w:t>
            </w:r>
            <w:r>
              <w:rPr>
                <w:rFonts w:ascii="Tahoma" w:hAnsi="Tahoma" w:cs="Tahoma"/>
              </w:rPr>
              <w:t xml:space="preserve">)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Standalone Output:</w:t>
      </w:r>
      <w:r>
        <w:rPr>
          <w:rFonts w:ascii="Tahoma" w:hAnsi="Tahoma" w:cs="Tahoma"/>
        </w:rPr>
        <w:t xml:space="preserve"> يُفعَّل في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next.config.ts</w:t>
      </w:r>
      <w:r>
        <w:rPr>
          <w:rFonts w:ascii="Tahoma" w:hAnsi="Tahoma" w:cs="Tahoma"/>
        </w:rPr>
        <w:t xml:space="preserve"> بـ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output: "standalone"</w:t>
      </w:r>
      <w:r>
        <w:rPr>
          <w:rFonts w:ascii="Tahoma" w:hAnsi="Tahoma" w:cs="Tahoma"/>
        </w:rPr>
        <w:t xml:space="preserve"> — يُنتج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server.js</w:t>
      </w:r>
      <w:r>
        <w:rPr>
          <w:rFonts w:ascii="Tahoma" w:hAnsi="Tahoma" w:cs="Tahoma"/>
        </w:rPr>
        <w:t xml:space="preserve"> منفرداً لا يحتاج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node_modules</w:t>
      </w:r>
      <w:r>
        <w:rPr>
          <w:rFonts w:ascii="Tahoma" w:hAnsi="Tahoma" w:cs="Tahoma"/>
        </w:rPr>
        <w:t xml:space="preserve"> الكاملة عند التشغيل.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NEXT_PUBLIC_* build-time baking:</w:t>
      </w:r>
      <w:r>
        <w:rPr>
          <w:rFonts w:ascii="Tahoma" w:hAnsi="Tahoma" w:cs="Tahoma"/>
        </w:rPr>
        <w:t xml:space="preserve"> المتغيرات العامة (مثل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NEXT_PUBLIC_FRONTEND_URL</w:t>
      </w:r>
      <w:r>
        <w:rPr>
          <w:rFonts w:ascii="Tahoma" w:hAnsi="Tahoma" w:cs="Tahoma"/>
        </w:rPr>
        <w:t xml:space="preserve">) تُحقن وقت البناء عبر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--build-arg</w:t>
      </w:r>
      <w:r>
        <w:rPr>
          <w:rFonts w:ascii="Tahoma" w:hAnsi="Tahoma" w:cs="Tahoma"/>
        </w:rPr>
        <w:t xml:space="preserve">، لذا تُبنى صورة منفصلة لكل بيئة (staging ≠ production).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المنافذ المفتوحة واتجاه حركة البيانات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في بنية Kubernetes، نقطة الدخول الوحيدة للإنترنت هي </w:t>
      </w:r>
      <w:r>
        <w:rPr>
          <w:rFonts w:ascii="Tahoma" w:hAnsi="Tahoma" w:cs="Tahoma"/>
          <w:b/>
          <w:bCs/>
        </w:rPr>
        <w:t xml:space="preserve">NGINX Ingress Controller</w:t>
      </w:r>
      <w:r>
        <w:rPr>
          <w:rFonts w:ascii="Tahoma" w:hAnsi="Tahoma" w:cs="Tahoma"/>
        </w:rPr>
        <w:t xml:space="preserve"> الذي يحمل عنوان IP عاماً واحداً. جميع المنافذ الداخلية تبقى داخل الـ cluster: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المنفذ</w:t>
            </w:r>
          </w:p>
        </w:tc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البروتوكول</w:t>
            </w:r>
          </w:p>
        </w:tc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الاتجاه</w:t>
            </w:r>
          </w:p>
        </w:tc>
        <w:tc>
          <w:tcPr>
            <w:tcW w:type="dxa" w:w="2466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الغرض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80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HTTP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وارد — NGINX Ingress فقط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إعادة التوجيه التلقائي إلى HTTPS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443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HTTPS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وارد — NGINX Ingress فقط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حركة المرور العامة؛ TLS يُنهى عند الـ Ingress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3000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HTTP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داخلي — داخل الـ cluster فقط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منفذ التطبيق (Next.js) — لا يُكشف خارجياً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5432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TCP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صادر من الـ cluster إلى OCI Database with PostgreSQL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اتصال التطبيق بقاعدة البيانات الخارجية المُدارة</w:t>
            </w:r>
          </w:p>
        </w:tc>
      </w:tr>
      <w:tr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كل المنافذ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—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صادر</w:t>
            </w:r>
          </w:p>
        </w:tc>
        <w:tc>
          <w:tcPr>
            <w:tcW w:type="dxa" w:w="2466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سحب صور Docker من OCIR، تحديثات الحزم، اتصالات SSL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متطلبات الوصول والإعداد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لإتمام عملية الإعداد والنشر، يحتاج الفريق التقني إلى ما يلي من المجمع: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اشتراك Azure نشط مع صلاحية إنشاء موارد (Contributor أو Owner).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مشروع Azure DevOps مع صلاحية إنشاء Pipelines وVariable Groups وService Connections.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اسمَا نطاق الإنتاج والتجربة — سيزوِّد الفريق التقني المجمعَ بعنوان IP الـ Ingress Controller بعد اكتمال إعداد الـ cluster، ويتولى المجمع توجيه A Record كل نطاق إلى هذا العنوان من لوحة إدارة DNS الخاصة بهم.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ملفات شهادة SSL لكلا النطاقَين (ملف الشهادة، المفتاح الخاص، وسلسلة CA) — سيستلمها الفريق التقني ويثبِّتها كـ Kubernetes Secret على الـ Ingress Controller.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إعدادات SMTP (مضيف، منفذ، بيانات المصادقة) لإرسال رسائل OTP وإعادة تعيين كلمة المرور.</w:t>
      </w:r>
    </w:p>
    <w:p>
      <w:pPr>
        <w:bidi/>
        <w:spacing w:before="160" w:after="200" w:line="348" w:lineRule="auto"/>
        <w:shd w:val="clear" w:color="auto" w:fill="F8FAFC"/>
        <w:pBdr>
          <w:right w:val="single" w:sz="24" w:space="0" w:color="4338CA"/>
          <w:bottom w:val="single" w:sz="2" w:space="0" w:color="E2E8F0"/>
          <w:left w:val="single" w:sz="2" w:space="0" w:color="E2E8F0"/>
          <w:top w:val="single" w:sz="2" w:space="0" w:color="E2E8F0"/>
        </w:pBdr>
        <w:ind w:left="226" w:right="226"/>
      </w:pPr>
      <w:r>
        <w:rPr>
          <w:rFonts w:ascii="Tahoma" w:hAnsi="Tahoma" w:cs="Tahoma"/>
          <w:color w:val="0F172A"/>
        </w:rPr>
        <w:t xml:space="preserve">لا يلزم الوصول المباشر إلى خوادم VPS — إدارة OKE تتم من Azure Portal أو Azure CLI أو عبر Azure DevOps Pipelines.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النطاقات وشهادات SSL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المسؤول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التفاصيل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توفير اسمَي النطاق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المجمع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نطاق الإنتاج (مثل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example.sa</w:t>
            </w:r>
            <w:r>
              <w:rPr>
                <w:rFonts w:ascii="Tahoma" w:hAnsi="Tahoma" w:cs="Tahoma"/>
              </w:rPr>
              <w:t xml:space="preserve">) ونطاق التجربة (مثل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staging.example.sa</w:t>
            </w:r>
            <w:r>
              <w:rPr>
                <w:rFonts w:ascii="Tahoma" w:hAnsi="Tahoma" w:cs="Tahoma"/>
              </w:rPr>
              <w:t xml:space="preserve">)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ضبط سجلات DNS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المجمع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توجيه A Record لكل نطاق إلى عنوان IP الـ NGINX Ingress Controller — يزوِّد الفريق التقني المجمعَ بعنوان IP الـ Ingress بعد اكتمال إعداد الـ cluster، ويُجري المجمع التعديل من لوحة DNS الخاصة بهم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توفير شهادات SSL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المجمع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ملف الشهادة (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.crt</w:t>
            </w:r>
            <w:r>
              <w:rPr>
                <w:rFonts w:ascii="Tahoma" w:hAnsi="Tahoma" w:cs="Tahoma"/>
              </w:rPr>
              <w:t xml:space="preserve">)، المفتاح الخاص (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.key</w:t>
            </w:r>
            <w:r>
              <w:rPr>
                <w:rFonts w:ascii="Tahoma" w:hAnsi="Tahoma" w:cs="Tahoma"/>
              </w:rPr>
              <w:t xml:space="preserve">)، وسلسلة CA لكلا النطاقَين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تثبيت شهادات SSL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الفريق التقني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تحميل الشهادات كـ Kubernetes TLS Secret وربطها بإعداد الـ Ingress لكل بيئة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سير النشر والتسليم (Azure DevOps CI/CD)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النشر مؤتمَت بالكامل عبر Azure DevOps Pipelines — لا يتطلب أي تدخل يدوي على الخوادم: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</w:rPr>
        <w:t xml:space="preserve">الكود مخزَّن في مستودع Git مع فرعَين رئيسيَّين: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main</w:t>
      </w:r>
      <w:r>
        <w:rPr>
          <w:rFonts w:ascii="Tahoma" w:hAnsi="Tahoma" w:cs="Tahoma"/>
        </w:rPr>
        <w:t xml:space="preserve"> للإنتاج و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develop</w:t>
      </w:r>
      <w:r>
        <w:rPr>
          <w:rFonts w:ascii="Tahoma" w:hAnsi="Tahoma" w:cs="Tahoma"/>
        </w:rPr>
        <w:t xml:space="preserve"> للتجربة.</w:t>
      </w:r>
    </w:p>
    <w:p>
      <w:pPr>
        <w:pStyle w:val="ListBullet"/>
        <w:bidi/>
        <w:spacing w:before="0" w:after="80" w:line="348" w:lineRule="auto"/>
      </w:pPr>
      <w:r>
        <w:rPr>
          <w:rFonts w:ascii="Tahoma" w:hAnsi="Tahoma" w:cs="Tahoma"/>
          <w:b/>
          <w:bCs/>
        </w:rPr>
        <w:t xml:space="preserve">دورة النشر:</w:t>
      </w:r>
      <w:r>
        <w:rPr>
          <w:rFonts w:ascii="Tahoma" w:hAnsi="Tahoma" w:cs="Tahoma"/>
        </w:rPr>
        <w:t xml:space="preserve"> أي تحديث يُنشر أولاً على بيئة التجربة ← يُراجَع ويُعتمَد من فريق المجمع ← ثم يُدمج في </w:t>
      </w:r>
      <w:r>
        <w:rPr>
          <w:rFonts w:ascii="Consolas" w:hAnsi="Consolas" w:cs="Consolas"/>
          <w:color w:val="4338CA"/>
          <w:sz w:val="20"/>
          <w:szCs w:val="20"/>
          <w:shd w:val="clear" w:color="auto" w:fill="EEF2FF"/>
        </w:rPr>
        <w:t xml:space="preserve">main</w:t>
      </w:r>
      <w:r>
        <w:rPr>
          <w:rFonts w:ascii="Tahoma" w:hAnsi="Tahoma" w:cs="Tahoma"/>
        </w:rPr>
        <w:t xml:space="preserve"> وينشر على الإنتاج تلقائياً.</w:t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خطوات الـ Pipeline عند كل نشر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الخطوة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التفاصيل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1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بناء صورة Docker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يُشغَّل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docker build</w:t>
            </w:r>
            <w:r>
              <w:rPr>
                <w:rFonts w:ascii="Tahoma" w:hAnsi="Tahoma" w:cs="Tahoma"/>
              </w:rPr>
              <w:t xml:space="preserve"> مع تمرير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NEXT_PUBLIC_*</w:t>
            </w:r>
            <w:r>
              <w:rPr>
                <w:rFonts w:ascii="Tahoma" w:hAnsi="Tahoma" w:cs="Tahoma"/>
              </w:rPr>
              <w:t xml:space="preserve"> كـ build-args مأخوذة من Variable Group البيئة — تُنتج صورة مستقلة لكل بيئة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2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رفع الصورة إلى OCIR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docker push</w:t>
            </w:r>
            <w:r>
              <w:rPr>
                <w:rFonts w:ascii="Tahoma" w:hAnsi="Tahoma" w:cs="Tahoma"/>
              </w:rPr>
              <w:t xml:space="preserve"> إلى Oracle Cloud Infrastructure Registry بوسم يتضمن رقم البناء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3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إنشاء Kubernetes Secret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يُنشأ أو يُحدَّث secret يحتوي DATABASE_URL، JWT_SECRET، SMTP، بيانات الأدمن — القيم تأتي من ADO Secret Variables ولا تُسجَّل في أي ملف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4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تطبيق الـ overlay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kubectl apply -k overlays/staging/</w:t>
            </w:r>
            <w:r>
              <w:rPr>
                <w:rFonts w:ascii="Tahoma" w:hAnsi="Tahoma" w:cs="Tahoma"/>
              </w:rPr>
              <w:t xml:space="preserve"> أو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overlays/production/</w:t>
            </w:r>
            <w:r>
              <w:rPr>
                <w:rFonts w:ascii="Tahoma" w:hAnsi="Tahoma" w:cs="Tahoma"/>
              </w:rPr>
              <w:t xml:space="preserve"> — يُنشئ namespace ويُطبِّق ConfigMap وService وIngress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5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تشغيل ترحيل قاعدة البيانات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يُحذف Job القديم ثم يُطبَّق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migration-job.yaml</w:t>
            </w:r>
            <w:r>
              <w:rPr>
                <w:rFonts w:ascii="Tahoma" w:hAnsi="Tahoma" w:cs="Tahoma"/>
              </w:rPr>
              <w:t xml:space="preserve"> الذي يُشغِّل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prisma migrate deploy</w:t>
            </w:r>
            <w:r>
              <w:rPr>
                <w:rFonts w:ascii="Tahoma" w:hAnsi="Tahoma" w:cs="Tahoma"/>
              </w:rPr>
              <w:t xml:space="preserve"> — Pipeline يتوقف هنا في حال الفشل ولا ينتقل للنشر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6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انتظار اكتمال الترحيل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kubectl wait --for=condition=complete --timeout=300s job/ksgaal-activity-map-migrate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7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نشر التطبيق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kubectl apply -f base/deployment.yaml</w:t>
            </w:r>
            <w:r>
              <w:rPr>
                <w:rFonts w:ascii="Tahoma" w:hAnsi="Tahoma" w:cs="Tahoma"/>
              </w:rPr>
              <w:t xml:space="preserve"> — يُطبِّق RollingUpdate فلا يُزال pod قديم إلا بعد جاهزية الجديد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8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انتظار اكتمال الـ rollout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kubectl rollout status deployment/ksgaal-activity-map --timeout=300s</w:t>
            </w:r>
            <w:r>
              <w:rPr>
                <w:rFonts w:ascii="Tahoma" w:hAnsi="Tahoma" w:cs="Tahoma"/>
              </w:rPr>
              <w:t xml:space="preserve"> — يفشل الـ pipeline إذا لم تكتمل خلال 5 دقائق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9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اختبار دخاني (Smoke test)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التحقق من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/api/health/live</w:t>
            </w:r>
            <w:r>
              <w:rPr>
                <w:rFonts w:ascii="Tahoma" w:hAnsi="Tahoma" w:cs="Tahoma"/>
              </w:rPr>
              <w:t xml:space="preserve"> و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/api/health/ready</w:t>
            </w:r>
            <w:r>
              <w:rPr>
                <w:rFonts w:ascii="Tahoma" w:hAnsi="Tahoma" w:cs="Tahoma"/>
              </w:rPr>
              <w:t xml:space="preserve"> — كلاهما يجب أن يُعيد HTTP 200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160" w:after="200" w:line="348" w:lineRule="auto"/>
        <w:shd w:val="clear" w:color="auto" w:fill="F8FAFC"/>
        <w:pBdr>
          <w:right w:val="single" w:sz="24" w:space="0" w:color="4338CA"/>
          <w:bottom w:val="single" w:sz="2" w:space="0" w:color="E2E8F0"/>
          <w:left w:val="single" w:sz="2" w:space="0" w:color="E2E8F0"/>
          <w:top w:val="single" w:sz="2" w:space="0" w:color="E2E8F0"/>
        </w:pBdr>
        <w:ind w:left="226" w:right="226"/>
      </w:pPr>
      <w:r>
        <w:rPr>
          <w:rFonts w:ascii="Tahoma" w:hAnsi="Tahoma" w:cs="Tahoma"/>
          <w:color w:val="0F172A"/>
        </w:rPr>
        <w:t xml:space="preserve">جميع الأسرار (كلمات المرور، مفاتيح JWT، بيانات قاعدة البيانات) محفوظة في Azure DevOps Secret Variable Groups ولا تُخزَّن في ملفات الكود أو سجلات الـ pipeline.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تقنيات المنصة (Application Stack)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يوضِّح هذا القسم التقنيات المعتمدة في بناء المنصة، شاملاً محرك قاعدة البيانات والـ Application Stack الكاملة.</w:t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أولاً: محرك قاعدة البيانات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البند</w:t>
            </w:r>
          </w:p>
        </w:tc>
        <w:tc>
          <w:tcPr>
            <w:tcW w:type="dxa" w:w="4933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التفاصيل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نوع قاعدة البيانات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Relational (علائقية)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المحرك (Engine)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PostgreSQL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طريقة الوصول (ORM)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Prisma ORM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بروتوكول الاتصال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DATABASE_URL (postgresql://)</w:t>
            </w:r>
          </w:p>
        </w:tc>
      </w:tr>
      <w:tr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الكيانات الرئيسية</w:t>
            </w:r>
          </w:p>
        </w:tc>
        <w:tc>
          <w:tcPr>
            <w:tcW w:type="dxa" w:w="4933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Users · Organizations · Countries · Activities · Activity Types · Audit Logs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ثانياً: Application Stack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الطبقة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التقنية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الإصدار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Runtime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Node.js LTS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20 (مُثبَّت في Dockerfile وpackage.json engines)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Frontend Framework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Next.js (App Router، Standalone Output)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16.2.6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UI Library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React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19.2.0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Language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TypeScript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5.x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Styling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Tailwind CSS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4.x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ORM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Prisma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6.19.3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قاعدة البيانات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PostgreSQL (OCI Database with PostgreSQL)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16+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Validation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Zod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4.1.12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Animation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Framer Motion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12.x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3D Rendering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Three.js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0.184.0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Interactive Maps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MapLibre GL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5.24.0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Authentication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JWT (jose) + bcryptjs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jose 6.2.3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Forms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React Hook Form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7.66.1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ثالثاً: بنية النشر والتشغيل</w:t>
      </w:r>
    </w:p>
    <w:tbl>
      <w:tblPr>
        <w:tblW w:type="pct" w:w="5000"/>
        <w:tblLook w:firstColumn="1" w:firstRow="1" w:lastColumn="0" w:lastRow="0" w:noHBand="0" w:noVBand="1" w:val="04A0"/>
        <w:bidiVisual/>
        <w:tblCellMar>
          <w:top w:w="60" w:type="dxa"/>
          <w:bottom w:w="60" w:type="dxa"/>
          <w:left w:w="100" w:type="dxa"/>
          <w:right w:w="10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الطبقة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التقنية</w:t>
            </w:r>
          </w:p>
        </w:tc>
        <w:tc>
          <w:tcPr>
            <w:tcW w:type="dxa" w:w="3289"/>
            <w:shd w:val="clear" w:color="auto" w:fill="F8FAFC"/>
            <w:tcBorders>
              <w:bottom w:val="single" w:sz="12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  <w:b/>
                <w:bCs/>
                <w:color w:val="475569"/>
                <w:sz w:val="18"/>
                <w:szCs w:val="18"/>
              </w:rPr>
              <w:t xml:space="preserve">الدور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Container Runtime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Docker (Multi-Stage Build)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بناء صورة خفيفة بـ 4 مراحل — الصورة النهائية تعمل بـ </w:t>
            </w:r>
            <w:r>
              <w:rPr>
                <w:rFonts w:ascii="Consolas" w:hAnsi="Consolas" w:cs="Consolas"/>
                <w:color w:val="4338CA"/>
                <w:sz w:val="20"/>
                <w:szCs w:val="20"/>
                <w:shd w:val="clear" w:color="auto" w:fill="EEF2FF"/>
              </w:rPr>
              <w:t xml:space="preserve">node server.js</w:t>
            </w:r>
            <w:r>
              <w:rPr>
                <w:rFonts w:ascii="Tahoma" w:hAnsi="Tahoma" w:cs="Tahoma"/>
              </w:rPr>
              <w:t xml:space="preserve"> فقط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Container Orchestration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Kubernetes (Oracle OKE)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إدارة الـ pods، Rolling Updates، Health Probes، namespace isolation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Ingress Controller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NGINX Ingress Controller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نقطة الدخول الوحيدة — TLS termination + routing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Manifest Management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Kustomize (Overlays)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base مشترك + overlays مستقلة للـ staging والإنتاج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Container Registry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Oracle Cloud Infrastructure Registry (OCIR)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تخزين صور Docker المبنية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CI/CD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Azure DevOps Pipelines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بناء ورفع ونشر تلقائي عند كل push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Secrets Management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ADO Variable Groups + K8s Secrets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الأسرار محفوظة في ADO ومُمرَّرة عند النشر إلى K8s Secret — لا تُخزَّن في الكود</w:t>
            </w:r>
          </w:p>
        </w:tc>
      </w:tr>
      <w:tr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Database Migration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Kubernetes Job (prisma migrate deploy)</w:t>
            </w:r>
          </w:p>
        </w:tc>
        <w:tc>
          <w:tcPr>
            <w:tcW w:type="dxa" w:w="3289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spacing w:before="0" w:after="0" w:line="324" w:lineRule="auto"/>
            </w:pPr>
            <w:r>
              <w:rPr>
                <w:rFonts w:ascii="Tahoma" w:hAnsi="Tahoma" w:cs="Tahoma"/>
              </w:rPr>
              <w:t xml:space="preserve">يُشغَّل قبل كل نشر — الـ pipeline يتوقف إذا فشل</w:t>
            </w:r>
          </w:p>
        </w:tc>
      </w:tr>
    </w:tbl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160" w:after="200" w:line="348" w:lineRule="auto"/>
        <w:shd w:val="clear" w:color="auto" w:fill="F8FAFC"/>
        <w:pBdr>
          <w:right w:val="single" w:sz="24" w:space="0" w:color="4338CA"/>
          <w:bottom w:val="single" w:sz="2" w:space="0" w:color="E2E8F0"/>
          <w:left w:val="single" w:sz="2" w:space="0" w:color="E2E8F0"/>
          <w:top w:val="single" w:sz="2" w:space="0" w:color="E2E8F0"/>
        </w:pBdr>
        <w:ind w:left="226" w:right="226"/>
      </w:pPr>
      <w:r>
        <w:rPr>
          <w:rFonts w:ascii="Tahoma" w:hAnsi="Tahoma" w:cs="Tahoma"/>
          <w:color w:val="0F172A"/>
        </w:rPr>
        <w:t xml:space="preserve">جميع التقنيات المذكورة مفتوحة المصدر باستثناء خدمات Azure. إصدار Node.js مُثبَّت على 20 LTS في Dockerfile وفي حقل </w:t>
      </w:r>
      <w:r>
        <w:rPr>
          <w:rFonts w:ascii="Consolas" w:hAnsi="Consolas" w:cs="Consolas"/>
          <w:color w:val="0F172A"/>
          <w:sz w:val="20"/>
          <w:szCs w:val="20"/>
          <w:shd w:val="clear" w:color="auto" w:fill="EEF2FF"/>
        </w:rPr>
        <w:t xml:space="preserve">engines</w:t>
      </w:r>
      <w:r>
        <w:rPr>
          <w:rFonts w:ascii="Tahoma" w:hAnsi="Tahoma" w:cs="Tahoma"/>
          <w:color w:val="0F172A"/>
        </w:rPr>
        <w:t xml:space="preserve"> من </w:t>
      </w:r>
      <w:r>
        <w:rPr>
          <w:rFonts w:ascii="Consolas" w:hAnsi="Consolas" w:cs="Consolas"/>
          <w:color w:val="0F172A"/>
          <w:sz w:val="20"/>
          <w:szCs w:val="20"/>
          <w:shd w:val="clear" w:color="auto" w:fill="EEF2FF"/>
        </w:rPr>
        <w:t xml:space="preserve">package.json</w:t>
      </w:r>
      <w:r>
        <w:rPr>
          <w:rFonts w:ascii="Tahoma" w:hAnsi="Tahoma" w:cs="Tahoma"/>
          <w:color w:val="0F172A"/>
        </w:rPr>
        <w:t xml:space="preserve">.</w:t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60" w:after="160" w:line="300" w:lineRule="auto"/>
        <w:pBdr>
          <w:bottom w:val="single" w:sz="18" w:space="0" w:color="4338CA"/>
        </w:pBdr>
        <w:keepNext/>
      </w:pPr>
      <w:r>
        <w:rPr>
          <w:rFonts w:ascii="Tahoma" w:hAnsi="Tahoma" w:cs="Tahoma"/>
          <w:b/>
          <w:bCs/>
          <w:color w:val="0F172A"/>
          <w:sz w:val="32"/>
          <w:szCs w:val="32"/>
        </w:rPr>
        <w:t xml:space="preserve">المخططات البيانية</w:t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أ. بنية Kubernetes في وقت التشغيل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يوضِّح المخطط مكونات الـ cluster الكاملة: المستخدمون ← DNS ← NGINX Ingress ← Service ← Pods ← PostgreSQL + SMTP. يُبيِّن أيضاً ConfigMap وSecret وPrisma Migration Job.</w:t>
      </w:r>
    </w:p>
    <w:p>
      <w:pPr>
        <w:bidi/>
        <w:jc w:val="center"/>
        <w:spacing w:before="120" w:after="200" w:line="240" w:lineRule="auto"/>
      </w:pPr>
      <w:r>
        <w:drawing>
          <wp:inline xmlns:a="http://schemas.openxmlformats.org/drawingml/2006/main" xmlns:pic="http://schemas.openxmlformats.org/drawingml/2006/picture">
            <wp:extent cx="6048000" cy="3432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k8s-runtim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3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ب. تدفق طلب المستخدم العام (Public Request Flow)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مخطط تسلسلي يُتابع طلب HTTPS من الزائر العام حتى استجابة الصفحة، مع منطق Cache Hit / Cache Miss لبيانات الكرة الأرضية.</w:t>
      </w:r>
    </w:p>
    <w:p>
      <w:pPr>
        <w:bidi/>
        <w:jc w:val="center"/>
        <w:spacing w:before="120" w:after="200" w:line="240" w:lineRule="auto"/>
      </w:pPr>
      <w:r>
        <w:drawing>
          <wp:inline xmlns:a="http://schemas.openxmlformats.org/drawingml/2006/main" xmlns:pic="http://schemas.openxmlformats.org/drawingml/2006/picture">
            <wp:extent cx="6048000" cy="2679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public-reques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7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ج. تدفق مصادقة المدير ولوحة التحكم (Admin Auth Flow)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مخطط تسلسلي يُوضِّح خطوات تسجيل الدخول: التحقق من كلمة المرور ← إرسال OTP عبر SMTP ← التحقق من OTP ← إنشاء جلسة آمنة ← الوصول إلى لوحة التحكم.</w:t>
      </w:r>
    </w:p>
    <w:p>
      <w:pPr>
        <w:bidi/>
        <w:jc w:val="center"/>
        <w:spacing w:before="120" w:after="200" w:line="240" w:lineRule="auto"/>
      </w:pPr>
      <w:r>
        <w:drawing>
          <wp:inline xmlns:a="http://schemas.openxmlformats.org/drawingml/2006/main" xmlns:pic="http://schemas.openxmlformats.org/drawingml/2006/picture">
            <wp:extent cx="6048000" cy="4256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dmin-auth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5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80" w:line="300" w:lineRule="auto"/>
        <w:keepNext/>
      </w:pPr>
      <w:r>
        <w:rPr>
          <w:rFonts w:ascii="Tahoma" w:hAnsi="Tahoma" w:cs="Tahoma"/>
          <w:b/>
          <w:bCs/>
          <w:color w:val="4338CA"/>
          <w:sz w:val="26"/>
          <w:szCs w:val="26"/>
        </w:rPr>
        <w:t xml:space="preserve">د. خط أنابيب النشر التلقائي (Azure DevOps CI/CD Pipeline)</w:t>
      </w:r>
    </w:p>
    <w:p>
      <w:pPr>
        <w:bidi/>
        <w:spacing w:before="0" w:after="120" w:line="348" w:lineRule="auto"/>
      </w:pPr>
      <w:r>
        <w:rPr>
          <w:rFonts w:ascii="Tahoma" w:hAnsi="Tahoma" w:cs="Tahoma"/>
        </w:rPr>
        <w:t xml:space="preserve">يُبيِّن المخطط الرحلة الكاملة من لحظة دفع الكود حتى وصوله إلى الـ cluster: التحقق من الكود ← بناء صورة Docker ← رفعها إلى OCIR ← نشرها على K8s ← تشغيل Migration Job ← Rolling Update.</w:t>
      </w:r>
    </w:p>
    <w:p>
      <w:pPr>
        <w:bidi/>
        <w:jc w:val="center"/>
        <w:spacing w:before="120" w:after="200" w:line="240" w:lineRule="auto"/>
      </w:pPr>
      <w:r>
        <w:drawing>
          <wp:inline xmlns:a="http://schemas.openxmlformats.org/drawingml/2006/main" xmlns:pic="http://schemas.openxmlformats.org/drawingml/2006/picture">
            <wp:extent cx="6048000" cy="428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cicd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240" w:lineRule="auto"/>
      </w:pPr>
      <w:r>
        <w:rPr>
          <w:rFonts w:ascii="Tahoma" w:hAnsi="Tahoma" w:cs="Tahoma"/>
          <w:sz w:val="8"/>
          <w:szCs w:val="8"/>
        </w:rPr>
        <w:t xml:space="preserve"/>
      </w:r>
    </w:p>
    <w:p>
      <w:pPr>
        <w:bidi/>
        <w:spacing w:before="320" w:after="120" w:line="240" w:lineRule="auto"/>
        <w:pBdr>
          <w:top w:val="single" w:sz="6" w:space="0" w:color="E2E8F0"/>
        </w:pBdr>
      </w:pPr>
    </w:p>
    <w:tbl>
      <w:tblPr>
        <w:tblW w:type="pct" w:w="5000"/>
        <w:tblLook w:firstColumn="1" w:firstRow="1" w:lastColumn="0" w:lastRow="0" w:noHBand="0" w:noVBand="1" w:val="04A0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bidi/>
              <w:spacing w:before="0" w:after="0" w:line="288" w:lineRule="auto"/>
            </w:pPr>
            <w:r>
              <w:rPr>
                <w:rFonts w:ascii="Tahoma" w:hAnsi="Tahoma" w:cs="Tahoma"/>
                <w:color w:val="475569"/>
                <w:sz w:val="18"/>
                <w:szCs w:val="18"/>
              </w:rPr>
              <w:t xml:space="preserve">وثيقة البنية التحتية</w:t>
            </w:r>
          </w:p>
        </w:tc>
        <w:tc>
          <w:tcPr>
            <w:tcW w:type="dxa" w:w="4933"/>
          </w:tcPr>
          <w:p>
            <w:pPr>
              <w:bidi/>
              <w:spacing w:before="0" w:after="0" w:line="288" w:lineRule="auto"/>
              <w:jc w:val="left"/>
            </w:pPr>
            <w:r>
              <w:rPr>
                <w:rFonts w:ascii="Tahoma" w:hAnsi="Tahoma" w:cs="Tahoma"/>
                <w:color w:val="475569"/>
                <w:sz w:val="18"/>
                <w:szCs w:val="18"/>
              </w:rPr>
              <w:t xml:space="preserve">21 مايو 2026</w:t>
            </w:r>
          </w:p>
        </w:tc>
      </w:tr>
    </w:tbl>
    <w:sectPr w:rsidR="00FC693F" w:rsidRPr="0006063C" w:rsidSect="00034616">
      <w:pgSz w:w="11906" w:h="16838"/>
      <w:pgMar w:top="1020" w:right="1020" w:bottom="1134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bidi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