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Documentación de cumplimiento normativo</w:t>
      </w:r>
    </w:p>
    <w:p>
      <w:pPr>
        <w:pStyle w:val="BodyTextsub"/>
        <w:bidi w:val="0"/>
        <w:jc w:val="left"/>
        <w:rPr/>
      </w:pPr>
      <w:r>
        <w:rPr/>
        <w:t>ColaboraFP · Centro de Formación Profesional José Ramón Otero · Versión de 15 de octubre de 2026</w:t>
      </w:r>
    </w:p>
    <w:p>
      <w:pPr>
        <w:pStyle w:val="Heading2"/>
        <w:bidi w:val="0"/>
        <w:jc w:val="left"/>
        <w:rPr/>
      </w:pPr>
      <w:r>
        <w:rPr/>
        <w:t>1. Estado de cumplimiento</w:t>
      </w:r>
    </w:p>
    <w:tbl>
      <w:tblPr>
        <w:tblW w:w="10205" w:type="dxa"/>
        <w:jc w:val="left"/>
        <w:tblInd w:w="0" w:type="dxa"/>
        <w:tblLayout w:type="fixed"/>
        <w:tblCellMar>
          <w:top w:w="28" w:type="dxa"/>
          <w:left w:w="28" w:type="dxa"/>
          <w:bottom w:w="28" w:type="dxa"/>
          <w:right w:w="28" w:type="dxa"/>
        </w:tblCellMar>
      </w:tblPr>
      <w:tblGrid>
        <w:gridCol w:w="1630"/>
        <w:gridCol w:w="1938"/>
        <w:gridCol w:w="6637"/>
      </w:tblGrid>
      <w:tr>
        <w:trPr/>
        <w:tc>
          <w:tcPr>
            <w:tcW w:w="1630" w:type="dxa"/>
            <w:tcBorders/>
            <w:vAlign w:val="center"/>
          </w:tcPr>
          <w:p>
            <w:pPr>
              <w:pStyle w:val="TableHeading"/>
              <w:bidi w:val="0"/>
              <w:ind w:hanging="0" w:left="0" w:right="0"/>
              <w:jc w:val="left"/>
              <w:rPr/>
            </w:pPr>
            <w:r>
              <w:rPr/>
              <w:t>Ámbito</w:t>
            </w:r>
          </w:p>
        </w:tc>
        <w:tc>
          <w:tcPr>
            <w:tcW w:w="1938" w:type="dxa"/>
            <w:tcBorders/>
            <w:vAlign w:val="center"/>
          </w:tcPr>
          <w:p>
            <w:pPr>
              <w:pStyle w:val="TableHeading"/>
              <w:suppressLineNumbers/>
              <w:shd w:fill="171413" w:val="clear"/>
              <w:bidi w:val="0"/>
              <w:jc w:val="left"/>
              <w:rPr/>
            </w:pPr>
            <w:r>
              <w:rPr/>
              <w:t>Situación</w:t>
            </w:r>
          </w:p>
        </w:tc>
        <w:tc>
          <w:tcPr>
            <w:tcW w:w="6637" w:type="dxa"/>
            <w:tcBorders/>
            <w:vAlign w:val="center"/>
          </w:tcPr>
          <w:p>
            <w:pPr>
              <w:pStyle w:val="TableHeading"/>
              <w:suppressLineNumbers/>
              <w:shd w:fill="171413" w:val="clear"/>
              <w:bidi w:val="0"/>
              <w:jc w:val="left"/>
              <w:rPr/>
            </w:pPr>
            <w:r>
              <w:rPr/>
              <w:t>Cómo se cumple</w:t>
            </w:r>
          </w:p>
        </w:tc>
      </w:tr>
      <w:tr>
        <w:trPr/>
        <w:tc>
          <w:tcPr>
            <w:tcW w:w="1630" w:type="dxa"/>
            <w:tcBorders/>
            <w:vAlign w:val="center"/>
          </w:tcPr>
          <w:p>
            <w:pPr>
              <w:pStyle w:val="TableContents"/>
              <w:bidi w:val="0"/>
              <w:ind w:hanging="0" w:left="0" w:right="0"/>
              <w:jc w:val="left"/>
              <w:rPr/>
            </w:pPr>
            <w:r>
              <w:rPr/>
              <w:t>Protección de datos (RGPD / LOPDGDD)</w:t>
            </w:r>
          </w:p>
        </w:tc>
        <w:tc>
          <w:tcPr>
            <w:tcW w:w="1938" w:type="dxa"/>
            <w:tcBorders/>
            <w:shd w:fill="FDF5C4" w:val="clear"/>
            <w:vAlign w:val="center"/>
          </w:tcPr>
          <w:p>
            <w:pPr>
              <w:pStyle w:val="TableContents"/>
              <w:bidi w:val="0"/>
              <w:jc w:val="left"/>
              <w:rPr>
                <w:b/>
                <w:color w:val="684319"/>
              </w:rPr>
            </w:pPr>
            <w:r>
              <w:rPr>
                <w:b/>
                <w:color w:val="684319"/>
              </w:rPr>
              <w:t>Cumple, con 3 pasos administrativos (apartado 2)</w:t>
            </w:r>
          </w:p>
        </w:tc>
        <w:tc>
          <w:tcPr>
            <w:tcW w:w="6637" w:type="dxa"/>
            <w:tcBorders/>
            <w:vAlign w:val="center"/>
          </w:tcPr>
          <w:p>
            <w:pPr>
              <w:pStyle w:val="TableContents"/>
              <w:widowControl w:val="false"/>
              <w:suppressLineNumbers/>
              <w:bidi w:val="0"/>
              <w:jc w:val="left"/>
              <w:rPr/>
            </w:pPr>
            <w:r>
              <w:rPr/>
              <w:t>Política de privacidad (art. 13 RGPD); información básica en el punto de recogida; plazos de borrado automáticos (cierre a las 12 h; borrado en la fecha que fija el profesor, 60 días por defecto y 1 año como máximo); derecho de supresión desde el panel; datos en la UE; tipografías autoalojadas sin transferencias a Google Fonts; sin cookies ni analítica. Pendiente: aceptar los contratos de encargo de Google y Netlify, inscribir el tratamiento en el RAT y activar el TTL.</w:t>
            </w:r>
          </w:p>
        </w:tc>
      </w:tr>
      <w:tr>
        <w:trPr/>
        <w:tc>
          <w:tcPr>
            <w:tcW w:w="1630" w:type="dxa"/>
            <w:tcBorders/>
            <w:vAlign w:val="center"/>
          </w:tcPr>
          <w:p>
            <w:pPr>
              <w:pStyle w:val="TableContents"/>
              <w:bidi w:val="0"/>
              <w:ind w:hanging="0" w:left="0" w:right="0"/>
              <w:jc w:val="left"/>
              <w:rPr/>
            </w:pPr>
            <w:r>
              <w:rPr/>
              <w:t>Servicios de la sociedad de la información (LSSI)</w:t>
            </w:r>
          </w:p>
        </w:tc>
        <w:tc>
          <w:tcPr>
            <w:tcW w:w="1938" w:type="dxa"/>
            <w:tcBorders/>
            <w:shd w:fill="FDF5C4" w:val="clear"/>
            <w:vAlign w:val="center"/>
          </w:tcPr>
          <w:p>
            <w:pPr>
              <w:pStyle w:val="TableContents"/>
              <w:bidi w:val="0"/>
              <w:jc w:val="left"/>
              <w:rPr>
                <w:b/>
                <w:color w:val="684319"/>
              </w:rPr>
            </w:pPr>
            <w:r>
              <w:rPr>
                <w:b/>
                <w:color w:val="684319"/>
              </w:rPr>
              <w:t>Cumple al completar los datos del titular</w:t>
            </w:r>
          </w:p>
        </w:tc>
        <w:tc>
          <w:tcPr>
            <w:tcW w:w="6637" w:type="dxa"/>
            <w:tcBorders/>
            <w:vAlign w:val="center"/>
          </w:tcPr>
          <w:p>
            <w:pPr>
              <w:pStyle w:val="TableContents"/>
              <w:widowControl w:val="false"/>
              <w:suppressLineNumbers/>
              <w:bidi w:val="0"/>
              <w:jc w:val="left"/>
              <w:rPr/>
            </w:pPr>
            <w:r>
              <w:rPr/>
              <w:t xml:space="preserve">Aviso legal (art. 10), condiciones de uso, punto de contacto en el pie de todas las páginas y canal de notificación de contenidos (art. 16): botón «Notificar contenido» en cada recurso, con aviso en tiempo real al profesor y correo al centro. Falta rellenar NIF, razón social, dirección, correo y DPD (variables </w:t>
            </w:r>
            <w:r>
              <w:rPr>
                <w:rStyle w:val="SourceText"/>
              </w:rPr>
              <w:t>VITE_CENTRO_*</w:t>
            </w:r>
            <w:r>
              <w:rPr/>
              <w:t>).</w:t>
            </w:r>
          </w:p>
        </w:tc>
      </w:tr>
      <w:tr>
        <w:trPr/>
        <w:tc>
          <w:tcPr>
            <w:tcW w:w="1630" w:type="dxa"/>
            <w:tcBorders/>
            <w:vAlign w:val="center"/>
          </w:tcPr>
          <w:p>
            <w:pPr>
              <w:pStyle w:val="TableContents"/>
              <w:bidi w:val="0"/>
              <w:ind w:hanging="0" w:left="0" w:right="0"/>
              <w:jc w:val="left"/>
              <w:rPr/>
            </w:pPr>
            <w:r>
              <w:rPr/>
              <w:t>Seguridad</w:t>
            </w:r>
          </w:p>
        </w:tc>
        <w:tc>
          <w:tcPr>
            <w:tcW w:w="1938" w:type="dxa"/>
            <w:tcBorders/>
            <w:shd w:fill="E3EFE9" w:val="clear"/>
            <w:vAlign w:val="center"/>
          </w:tcPr>
          <w:p>
            <w:pPr>
              <w:pStyle w:val="TableContents"/>
              <w:bidi w:val="0"/>
              <w:jc w:val="left"/>
              <w:rPr>
                <w:b/>
                <w:color w:val="2F443B"/>
              </w:rPr>
            </w:pPr>
            <w:r>
              <w:rPr>
                <w:b/>
                <w:color w:val="2F443B"/>
              </w:rPr>
              <w:t>Cumple</w:t>
            </w:r>
          </w:p>
        </w:tc>
        <w:tc>
          <w:tcPr>
            <w:tcW w:w="6637" w:type="dxa"/>
            <w:tcBorders/>
            <w:vAlign w:val="center"/>
          </w:tcPr>
          <w:p>
            <w:pPr>
              <w:pStyle w:val="TableContents"/>
              <w:widowControl w:val="false"/>
              <w:suppressLineNumbers/>
              <w:bidi w:val="0"/>
              <w:jc w:val="left"/>
              <w:rPr/>
            </w:pPr>
            <w:r>
              <w:rPr/>
              <w:t>Contenido aislado por sala (imposible listar entre salas), PIN alfanumérico criptográfico no enumerable (≈887 millones de combinaciones) que solo se resuelve con la sala abierta, cierre automático, registro limitado al correo verificado del centro, reglas validadas en el servidor y cabeceras CSP, HSTS y Permissions-Policy.</w:t>
            </w:r>
          </w:p>
        </w:tc>
      </w:tr>
      <w:tr>
        <w:trPr/>
        <w:tc>
          <w:tcPr>
            <w:tcW w:w="1630" w:type="dxa"/>
            <w:tcBorders/>
            <w:vAlign w:val="center"/>
          </w:tcPr>
          <w:p>
            <w:pPr>
              <w:pStyle w:val="TableContents"/>
              <w:bidi w:val="0"/>
              <w:ind w:hanging="0" w:left="0" w:right="0"/>
              <w:jc w:val="left"/>
              <w:rPr/>
            </w:pPr>
            <w:r>
              <w:rPr/>
              <w:t>Propiedad intelectual</w:t>
            </w:r>
          </w:p>
        </w:tc>
        <w:tc>
          <w:tcPr>
            <w:tcW w:w="1938" w:type="dxa"/>
            <w:tcBorders/>
            <w:shd w:fill="E3EFE9" w:val="clear"/>
            <w:vAlign w:val="center"/>
          </w:tcPr>
          <w:p>
            <w:pPr>
              <w:pStyle w:val="TableContents"/>
              <w:bidi w:val="0"/>
              <w:jc w:val="left"/>
              <w:rPr>
                <w:b/>
                <w:color w:val="2F443B"/>
              </w:rPr>
            </w:pPr>
            <w:r>
              <w:rPr>
                <w:b/>
                <w:color w:val="2F443B"/>
              </w:rPr>
              <w:t>Cumple</w:t>
            </w:r>
          </w:p>
        </w:tc>
        <w:tc>
          <w:tcPr>
            <w:tcW w:w="6637" w:type="dxa"/>
            <w:tcBorders/>
            <w:vAlign w:val="center"/>
          </w:tcPr>
          <w:p>
            <w:pPr>
              <w:pStyle w:val="TableContents"/>
              <w:widowControl w:val="false"/>
              <w:suppressLineNumbers/>
              <w:bidi w:val="0"/>
              <w:jc w:val="left"/>
              <w:rPr/>
            </w:pPr>
            <w:r>
              <w:rPr/>
              <w:t>Condiciones de uso con declaración de autoría, cita de fuentes (art. 32 TRLPI) y licencia limitada a la sala y a su plazo; aceptación expresa al registrarse y al compartir; moderación previa de las aportaciones del alumnado.</w:t>
            </w:r>
          </w:p>
        </w:tc>
      </w:tr>
      <w:tr>
        <w:trPr/>
        <w:tc>
          <w:tcPr>
            <w:tcW w:w="1630" w:type="dxa"/>
            <w:tcBorders/>
            <w:vAlign w:val="center"/>
          </w:tcPr>
          <w:p>
            <w:pPr>
              <w:pStyle w:val="TableContents"/>
              <w:bidi w:val="0"/>
              <w:ind w:hanging="0" w:left="0" w:right="0"/>
              <w:jc w:val="left"/>
              <w:rPr/>
            </w:pPr>
            <w:r>
              <w:rPr/>
              <w:t>Accesibilidad (RD 1112/2018)</w:t>
            </w:r>
          </w:p>
        </w:tc>
        <w:tc>
          <w:tcPr>
            <w:tcW w:w="1938" w:type="dxa"/>
            <w:tcBorders/>
            <w:shd w:fill="E3EFE9" w:val="clear"/>
            <w:vAlign w:val="center"/>
          </w:tcPr>
          <w:p>
            <w:pPr>
              <w:pStyle w:val="TableContents"/>
              <w:bidi w:val="0"/>
              <w:jc w:val="left"/>
              <w:rPr>
                <w:b/>
                <w:color w:val="2F443B"/>
              </w:rPr>
            </w:pPr>
            <w:r>
              <w:rPr>
                <w:b/>
                <w:color w:val="2F443B"/>
              </w:rPr>
              <w:t>Cumple (WCAG 2.1 AA en la interfaz)</w:t>
            </w:r>
          </w:p>
        </w:tc>
        <w:tc>
          <w:tcPr>
            <w:tcW w:w="6637" w:type="dxa"/>
            <w:tcBorders/>
            <w:vAlign w:val="center"/>
          </w:tcPr>
          <w:p>
            <w:pPr>
              <w:pStyle w:val="TableContents"/>
              <w:widowControl w:val="false"/>
              <w:suppressLineNumbers/>
              <w:bidi w:val="0"/>
              <w:jc w:val="left"/>
              <w:rPr/>
            </w:pPr>
            <w:r>
              <w:rPr/>
              <w:t>0 incumplimientos en axe-core en 40 pantallas (claro y oscuro, escritorio y móvil), enlace de salto, foco controlado en diálogos, movimiento reducido y declaración de accesibilidad publicada. El contenido que suben los usuarios queda fuera de esa garantía y se declara.</w:t>
            </w:r>
          </w:p>
        </w:tc>
      </w:tr>
      <w:tr>
        <w:trPr/>
        <w:tc>
          <w:tcPr>
            <w:tcW w:w="1630" w:type="dxa"/>
            <w:tcBorders/>
            <w:vAlign w:val="center"/>
          </w:tcPr>
          <w:p>
            <w:pPr>
              <w:pStyle w:val="TableContents"/>
              <w:bidi w:val="0"/>
              <w:ind w:hanging="0" w:left="0" w:right="0"/>
              <w:jc w:val="left"/>
              <w:rPr/>
            </w:pPr>
            <w:r>
              <w:rPr/>
              <w:t>Reglamento europeo de IA</w:t>
            </w:r>
          </w:p>
        </w:tc>
        <w:tc>
          <w:tcPr>
            <w:tcW w:w="1938" w:type="dxa"/>
            <w:tcBorders/>
            <w:shd w:fill="EEEEEE" w:val="clear"/>
            <w:vAlign w:val="center"/>
          </w:tcPr>
          <w:p>
            <w:pPr>
              <w:pStyle w:val="TableContents"/>
              <w:bidi w:val="0"/>
              <w:jc w:val="left"/>
              <w:rPr>
                <w:b/>
              </w:rPr>
            </w:pPr>
            <w:r>
              <w:rPr>
                <w:b/>
              </w:rPr>
              <w:t>No aplica</w:t>
            </w:r>
          </w:p>
        </w:tc>
        <w:tc>
          <w:tcPr>
            <w:tcW w:w="6637" w:type="dxa"/>
            <w:tcBorders/>
            <w:vAlign w:val="center"/>
          </w:tcPr>
          <w:p>
            <w:pPr>
              <w:pStyle w:val="TableContents"/>
              <w:widowControl w:val="false"/>
              <w:suppressLineNumbers/>
              <w:bidi w:val="0"/>
              <w:jc w:val="left"/>
              <w:rPr/>
            </w:pPr>
            <w:r>
              <w:rPr/>
              <w:t>ColaboraFP no usa inteligencia artificial; así consta en el aviso legal.</w:t>
            </w:r>
          </w:p>
        </w:tc>
      </w:tr>
    </w:tbl>
    <w:p>
      <w:pPr>
        <w:pStyle w:val="Heading2"/>
        <w:bidi w:val="0"/>
        <w:jc w:val="left"/>
        <w:rPr/>
      </w:pPr>
      <w:r>
        <w:rPr/>
        <w:t>2. Pasos administrativos pendientes</w:t>
      </w:r>
    </w:p>
    <w:tbl>
      <w:tblPr>
        <w:tblW w:w="10205" w:type="dxa"/>
        <w:jc w:val="left"/>
        <w:tblInd w:w="0" w:type="dxa"/>
        <w:tblLayout w:type="fixed"/>
        <w:tblCellMar>
          <w:top w:w="28" w:type="dxa"/>
          <w:left w:w="28" w:type="dxa"/>
          <w:bottom w:w="28" w:type="dxa"/>
          <w:right w:w="28" w:type="dxa"/>
        </w:tblCellMar>
      </w:tblPr>
      <w:tblGrid>
        <w:gridCol w:w="226"/>
        <w:gridCol w:w="1860"/>
        <w:gridCol w:w="8119"/>
      </w:tblGrid>
      <w:tr>
        <w:trPr/>
        <w:tc>
          <w:tcPr>
            <w:tcW w:w="226" w:type="dxa"/>
            <w:tcBorders/>
            <w:vAlign w:val="center"/>
          </w:tcPr>
          <w:p>
            <w:pPr>
              <w:pStyle w:val="TableHeading"/>
              <w:bidi w:val="0"/>
              <w:ind w:hanging="0" w:left="0" w:right="0"/>
              <w:jc w:val="left"/>
              <w:rPr/>
            </w:pPr>
            <w:r>
              <w:rPr/>
              <w:t>#</w:t>
            </w:r>
          </w:p>
        </w:tc>
        <w:tc>
          <w:tcPr>
            <w:tcW w:w="1860" w:type="dxa"/>
            <w:tcBorders/>
            <w:vAlign w:val="center"/>
          </w:tcPr>
          <w:p>
            <w:pPr>
              <w:pStyle w:val="TableHeading"/>
              <w:suppressLineNumbers/>
              <w:shd w:fill="171413" w:val="clear"/>
              <w:bidi w:val="0"/>
              <w:jc w:val="left"/>
              <w:rPr/>
            </w:pPr>
            <w:r>
              <w:rPr/>
              <w:t>Paso</w:t>
            </w:r>
          </w:p>
        </w:tc>
        <w:tc>
          <w:tcPr>
            <w:tcW w:w="8119" w:type="dxa"/>
            <w:tcBorders/>
            <w:vAlign w:val="center"/>
          </w:tcPr>
          <w:p>
            <w:pPr>
              <w:pStyle w:val="TableHeading"/>
              <w:suppressLineNumbers/>
              <w:shd w:fill="171413" w:val="clear"/>
              <w:bidi w:val="0"/>
              <w:jc w:val="left"/>
              <w:rPr/>
            </w:pPr>
            <w:r>
              <w:rPr/>
              <w:t>Dónde y cómo</w:t>
            </w:r>
          </w:p>
        </w:tc>
      </w:tr>
      <w:tr>
        <w:trPr/>
        <w:tc>
          <w:tcPr>
            <w:tcW w:w="226" w:type="dxa"/>
            <w:tcBorders/>
            <w:vAlign w:val="center"/>
          </w:tcPr>
          <w:p>
            <w:pPr>
              <w:pStyle w:val="TableContents"/>
              <w:widowControl w:val="false"/>
              <w:suppressLineNumbers/>
              <w:bidi w:val="0"/>
              <w:jc w:val="left"/>
              <w:rPr/>
            </w:pPr>
            <w:r>
              <w:rPr/>
              <w:t>1</w:t>
            </w:r>
          </w:p>
        </w:tc>
        <w:tc>
          <w:tcPr>
            <w:tcW w:w="1860" w:type="dxa"/>
            <w:tcBorders/>
            <w:vAlign w:val="center"/>
          </w:tcPr>
          <w:p>
            <w:pPr>
              <w:pStyle w:val="TableContents"/>
              <w:bidi w:val="0"/>
              <w:jc w:val="left"/>
              <w:rPr>
                <w:b/>
              </w:rPr>
            </w:pPr>
            <w:r>
              <w:rPr>
                <w:b/>
              </w:rPr>
              <w:t>Publicar las nuevas reglas de Firestore</w:t>
            </w:r>
          </w:p>
        </w:tc>
        <w:tc>
          <w:tcPr>
            <w:tcW w:w="8119" w:type="dxa"/>
            <w:tcBorders/>
            <w:vAlign w:val="center"/>
          </w:tcPr>
          <w:p>
            <w:pPr>
              <w:pStyle w:val="TableContents"/>
              <w:widowControl w:val="false"/>
              <w:suppressLineNumbers/>
              <w:bidi w:val="0"/>
              <w:jc w:val="left"/>
              <w:rPr/>
            </w:pPr>
            <w:r>
              <w:rPr/>
              <w:t xml:space="preserve">Firebase → Firestore Database → Reglas → pegar </w:t>
            </w:r>
            <w:r>
              <w:rPr>
                <w:rStyle w:val="SourceText"/>
              </w:rPr>
              <w:t>colaborafp/firebase/firestore.rules</w:t>
            </w:r>
            <w:r>
              <w:rPr/>
              <w:t xml:space="preserve"> → Publicar. Sin este paso la nueva versión no funcionará.</w:t>
            </w:r>
          </w:p>
        </w:tc>
      </w:tr>
      <w:tr>
        <w:trPr/>
        <w:tc>
          <w:tcPr>
            <w:tcW w:w="226" w:type="dxa"/>
            <w:tcBorders/>
            <w:vAlign w:val="center"/>
          </w:tcPr>
          <w:p>
            <w:pPr>
              <w:pStyle w:val="TableContents"/>
              <w:widowControl w:val="false"/>
              <w:suppressLineNumbers/>
              <w:bidi w:val="0"/>
              <w:jc w:val="left"/>
              <w:rPr/>
            </w:pPr>
            <w:r>
              <w:rPr/>
              <w:t>2</w:t>
            </w:r>
          </w:p>
        </w:tc>
        <w:tc>
          <w:tcPr>
            <w:tcW w:w="1860" w:type="dxa"/>
            <w:tcBorders/>
            <w:vAlign w:val="center"/>
          </w:tcPr>
          <w:p>
            <w:pPr>
              <w:pStyle w:val="TableContents"/>
              <w:bidi w:val="0"/>
              <w:jc w:val="left"/>
              <w:rPr>
                <w:b/>
              </w:rPr>
            </w:pPr>
            <w:r>
              <w:rPr>
                <w:b/>
              </w:rPr>
              <w:t>Completar los datos del titular</w:t>
            </w:r>
          </w:p>
        </w:tc>
        <w:tc>
          <w:tcPr>
            <w:tcW w:w="8119" w:type="dxa"/>
            <w:tcBorders/>
            <w:vAlign w:val="center"/>
          </w:tcPr>
          <w:p>
            <w:pPr>
              <w:pStyle w:val="TableContents"/>
              <w:widowControl w:val="false"/>
              <w:suppressLineNumbers/>
              <w:bidi w:val="0"/>
              <w:jc w:val="left"/>
              <w:rPr/>
            </w:pPr>
            <w:r>
              <w:rPr/>
              <w:t xml:space="preserve">Netlify → Project configuration → Environment variables: </w:t>
            </w:r>
            <w:r>
              <w:rPr>
                <w:rStyle w:val="SourceText"/>
              </w:rPr>
              <w:t>VITE_CENTRO_TITULAR</w:t>
            </w:r>
            <w:r>
              <w:rPr/>
              <w:t xml:space="preserve">, </w:t>
            </w:r>
            <w:r>
              <w:rPr>
                <w:rStyle w:val="SourceText"/>
              </w:rPr>
              <w:t>VITE_CENTRO_NIF</w:t>
            </w:r>
            <w:r>
              <w:rPr/>
              <w:t xml:space="preserve">, </w:t>
            </w:r>
            <w:r>
              <w:rPr>
                <w:rStyle w:val="SourceText"/>
              </w:rPr>
              <w:t>VITE_CENTRO_DIRECCION</w:t>
            </w:r>
            <w:r>
              <w:rPr/>
              <w:t xml:space="preserve">, </w:t>
            </w:r>
            <w:r>
              <w:rPr>
                <w:rStyle w:val="SourceText"/>
              </w:rPr>
              <w:t>VITE_CENTRO_EMAIL</w:t>
            </w:r>
            <w:r>
              <w:rPr/>
              <w:t xml:space="preserve">, </w:t>
            </w:r>
            <w:r>
              <w:rPr>
                <w:rStyle w:val="SourceText"/>
              </w:rPr>
              <w:t>VITE_CENTRO_DPD</w:t>
            </w:r>
            <w:r>
              <w:rPr/>
              <w:t xml:space="preserve"> y, si procede, </w:t>
            </w:r>
            <w:r>
              <w:rPr>
                <w:rStyle w:val="SourceText"/>
              </w:rPr>
              <w:t>VITE_CENTRO_REGISTRO</w:t>
            </w:r>
            <w:r>
              <w:rPr/>
              <w:t xml:space="preserve"> y </w:t>
            </w:r>
            <w:r>
              <w:rPr>
                <w:rStyle w:val="SourceText"/>
              </w:rPr>
              <w:t>VITE_CENTRO_TELEFONO</w:t>
            </w:r>
            <w:r>
              <w:rPr/>
              <w:t>. Después: Deploys → Trigger deploy. Mientras falten, las páginas legales los muestran como «pendiente».</w:t>
            </w:r>
          </w:p>
        </w:tc>
      </w:tr>
      <w:tr>
        <w:trPr/>
        <w:tc>
          <w:tcPr>
            <w:tcW w:w="226" w:type="dxa"/>
            <w:tcBorders/>
            <w:vAlign w:val="center"/>
          </w:tcPr>
          <w:p>
            <w:pPr>
              <w:pStyle w:val="TableContents"/>
              <w:widowControl w:val="false"/>
              <w:suppressLineNumbers/>
              <w:bidi w:val="0"/>
              <w:jc w:val="left"/>
              <w:rPr/>
            </w:pPr>
            <w:r>
              <w:rPr/>
              <w:t>3</w:t>
            </w:r>
          </w:p>
        </w:tc>
        <w:tc>
          <w:tcPr>
            <w:tcW w:w="1860" w:type="dxa"/>
            <w:tcBorders/>
            <w:vAlign w:val="center"/>
          </w:tcPr>
          <w:p>
            <w:pPr>
              <w:pStyle w:val="TableContents"/>
              <w:widowControl w:val="false"/>
              <w:suppressLineNumbers/>
              <w:bidi w:val="0"/>
              <w:jc w:val="left"/>
              <w:rPr/>
            </w:pPr>
            <w:r>
              <w:rPr>
                <w:b/>
              </w:rPr>
              <w:t>Contrato de encargo con Google</w:t>
            </w:r>
            <w:r>
              <w:rPr/>
              <w:t xml:space="preserve"> (art. 28 RGPD)</w:t>
            </w:r>
          </w:p>
        </w:tc>
        <w:tc>
          <w:tcPr>
            <w:tcW w:w="8119" w:type="dxa"/>
            <w:tcBorders/>
            <w:vAlign w:val="center"/>
          </w:tcPr>
          <w:p>
            <w:pPr>
              <w:pStyle w:val="TableContents"/>
              <w:widowControl w:val="false"/>
              <w:suppressLineNumbers/>
              <w:bidi w:val="0"/>
              <w:jc w:val="left"/>
              <w:rPr/>
            </w:pPr>
            <w:r>
              <w:rPr/>
              <w:t>Revisar y aceptar las condiciones de tratamiento de datos de Firebase / Google Cloud (Data Processing and Security Terms) desde la configuración del proyecto o la sección de privacidad de la consola de Google Cloud, y archivar una copia. La ubicación exacta del botón puede variar según la versión de la consola.</w:t>
            </w:r>
          </w:p>
        </w:tc>
      </w:tr>
      <w:tr>
        <w:trPr/>
        <w:tc>
          <w:tcPr>
            <w:tcW w:w="226" w:type="dxa"/>
            <w:tcBorders/>
            <w:vAlign w:val="center"/>
          </w:tcPr>
          <w:p>
            <w:pPr>
              <w:pStyle w:val="TableContents"/>
              <w:widowControl w:val="false"/>
              <w:suppressLineNumbers/>
              <w:bidi w:val="0"/>
              <w:jc w:val="left"/>
              <w:rPr/>
            </w:pPr>
            <w:r>
              <w:rPr/>
              <w:t>4</w:t>
            </w:r>
          </w:p>
        </w:tc>
        <w:tc>
          <w:tcPr>
            <w:tcW w:w="1860" w:type="dxa"/>
            <w:tcBorders/>
            <w:vAlign w:val="center"/>
          </w:tcPr>
          <w:p>
            <w:pPr>
              <w:pStyle w:val="TableContents"/>
              <w:bidi w:val="0"/>
              <w:jc w:val="left"/>
              <w:rPr>
                <w:b/>
              </w:rPr>
            </w:pPr>
            <w:r>
              <w:rPr>
                <w:b/>
              </w:rPr>
              <w:t>Contrato de encargo con Netlify</w:t>
            </w:r>
          </w:p>
        </w:tc>
        <w:tc>
          <w:tcPr>
            <w:tcW w:w="8119" w:type="dxa"/>
            <w:tcBorders/>
            <w:vAlign w:val="center"/>
          </w:tcPr>
          <w:p>
            <w:pPr>
              <w:pStyle w:val="TableContents"/>
              <w:widowControl w:val="false"/>
              <w:suppressLineNumbers/>
              <w:bidi w:val="0"/>
              <w:jc w:val="left"/>
              <w:rPr/>
            </w:pPr>
            <w:r>
              <w:rPr/>
              <w:t>El Data Processing Addendum de Netlify se incorpora a sus condiciones de servicio: descargarlo desde la sección legal de netlify.com y archivarlo con la cuenta del centro.</w:t>
            </w:r>
          </w:p>
        </w:tc>
      </w:tr>
      <w:tr>
        <w:trPr/>
        <w:tc>
          <w:tcPr>
            <w:tcW w:w="226" w:type="dxa"/>
            <w:tcBorders/>
            <w:vAlign w:val="center"/>
          </w:tcPr>
          <w:p>
            <w:pPr>
              <w:pStyle w:val="TableContents"/>
              <w:widowControl w:val="false"/>
              <w:suppressLineNumbers/>
              <w:bidi w:val="0"/>
              <w:jc w:val="left"/>
              <w:rPr/>
            </w:pPr>
            <w:r>
              <w:rPr/>
              <w:t>5</w:t>
            </w:r>
          </w:p>
        </w:tc>
        <w:tc>
          <w:tcPr>
            <w:tcW w:w="1860" w:type="dxa"/>
            <w:tcBorders/>
            <w:vAlign w:val="center"/>
          </w:tcPr>
          <w:p>
            <w:pPr>
              <w:pStyle w:val="TableContents"/>
              <w:bidi w:val="0"/>
              <w:jc w:val="left"/>
              <w:rPr>
                <w:b/>
              </w:rPr>
            </w:pPr>
            <w:r>
              <w:rPr>
                <w:b/>
              </w:rPr>
              <w:t>Activar el borrado automático (TTL)</w:t>
            </w:r>
          </w:p>
        </w:tc>
        <w:tc>
          <w:tcPr>
            <w:tcW w:w="8119" w:type="dxa"/>
            <w:tcBorders/>
            <w:vAlign w:val="center"/>
          </w:tcPr>
          <w:p>
            <w:pPr>
              <w:pStyle w:val="TableContents"/>
              <w:widowControl w:val="false"/>
              <w:suppressLineNumbers/>
              <w:bidi w:val="0"/>
              <w:jc w:val="left"/>
              <w:rPr/>
            </w:pPr>
            <w:r>
              <w:rPr/>
              <w:t xml:space="preserve">Firestore → TTL (Time-to-live) → crear una política con el campo </w:t>
            </w:r>
            <w:r>
              <w:rPr>
                <w:rStyle w:val="SourceText"/>
              </w:rPr>
              <w:t>expire_at</w:t>
            </w:r>
            <w:r>
              <w:rPr/>
              <w:t xml:space="preserve"> para cada grupo de colecciones: </w:t>
            </w:r>
            <w:r>
              <w:rPr>
                <w:rStyle w:val="SourceText"/>
              </w:rPr>
              <w:t>rooms</w:t>
            </w:r>
            <w:r>
              <w:rPr/>
              <w:t xml:space="preserve">, </w:t>
            </w:r>
            <w:r>
              <w:rPr>
                <w:rStyle w:val="SourceText"/>
              </w:rPr>
              <w:t>pins</w:t>
            </w:r>
            <w:r>
              <w:rPr/>
              <w:t xml:space="preserve">, </w:t>
            </w:r>
            <w:r>
              <w:rPr>
                <w:rStyle w:val="SourceText"/>
              </w:rPr>
              <w:t>resources</w:t>
            </w:r>
            <w:r>
              <w:rPr/>
              <w:t xml:space="preserve">, </w:t>
            </w:r>
            <w:r>
              <w:rPr>
                <w:rStyle w:val="SourceText"/>
              </w:rPr>
              <w:t>chunks</w:t>
            </w:r>
            <w:r>
              <w:rPr/>
              <w:t xml:space="preserve"> y </w:t>
            </w:r>
            <w:r>
              <w:rPr>
                <w:rStyle w:val="SourceText"/>
              </w:rPr>
              <w:t>reports</w:t>
            </w:r>
            <w:r>
              <w:rPr/>
              <w:t>. Actúa como respaldo: el panel del profesor ya elimina lo caducado al entrar.</w:t>
            </w:r>
          </w:p>
        </w:tc>
      </w:tr>
      <w:tr>
        <w:trPr/>
        <w:tc>
          <w:tcPr>
            <w:tcW w:w="226" w:type="dxa"/>
            <w:tcBorders/>
            <w:vAlign w:val="center"/>
          </w:tcPr>
          <w:p>
            <w:pPr>
              <w:pStyle w:val="TableContents"/>
              <w:widowControl w:val="false"/>
              <w:suppressLineNumbers/>
              <w:bidi w:val="0"/>
              <w:jc w:val="left"/>
              <w:rPr/>
            </w:pPr>
            <w:r>
              <w:rPr/>
              <w:t>6</w:t>
            </w:r>
          </w:p>
        </w:tc>
        <w:tc>
          <w:tcPr>
            <w:tcW w:w="1860" w:type="dxa"/>
            <w:tcBorders/>
            <w:vAlign w:val="center"/>
          </w:tcPr>
          <w:p>
            <w:pPr>
              <w:pStyle w:val="TableContents"/>
              <w:bidi w:val="0"/>
              <w:jc w:val="left"/>
              <w:rPr>
                <w:b/>
              </w:rPr>
            </w:pPr>
            <w:r>
              <w:rPr>
                <w:b/>
              </w:rPr>
              <w:t>Comprobar la ubicación de los datos</w:t>
            </w:r>
          </w:p>
        </w:tc>
        <w:tc>
          <w:tcPr>
            <w:tcW w:w="8119" w:type="dxa"/>
            <w:tcBorders/>
            <w:vAlign w:val="center"/>
          </w:tcPr>
          <w:p>
            <w:pPr>
              <w:pStyle w:val="TableContents"/>
              <w:widowControl w:val="false"/>
              <w:suppressLineNumbers/>
              <w:bidi w:val="0"/>
              <w:jc w:val="left"/>
              <w:rPr/>
            </w:pPr>
            <w:r>
              <w:rPr/>
              <w:t xml:space="preserve">Firestore → Ubicación de la base de datos: debe ser europea (p. ej. </w:t>
            </w:r>
            <w:r>
              <w:rPr>
                <w:rStyle w:val="SourceText"/>
              </w:rPr>
              <w:t>eur3</w:t>
            </w:r>
            <w:r>
              <w:rPr/>
              <w:t>). Si no lo es, la política de privacidad debe ajustarse.</w:t>
            </w:r>
          </w:p>
        </w:tc>
      </w:tr>
      <w:tr>
        <w:trPr/>
        <w:tc>
          <w:tcPr>
            <w:tcW w:w="226" w:type="dxa"/>
            <w:tcBorders/>
            <w:vAlign w:val="center"/>
          </w:tcPr>
          <w:p>
            <w:pPr>
              <w:pStyle w:val="TableContents"/>
              <w:widowControl w:val="false"/>
              <w:suppressLineNumbers/>
              <w:bidi w:val="0"/>
              <w:jc w:val="left"/>
              <w:rPr/>
            </w:pPr>
            <w:r>
              <w:rPr/>
              <w:t>7</w:t>
            </w:r>
          </w:p>
        </w:tc>
        <w:tc>
          <w:tcPr>
            <w:tcW w:w="1860" w:type="dxa"/>
            <w:tcBorders/>
            <w:vAlign w:val="center"/>
          </w:tcPr>
          <w:p>
            <w:pPr>
              <w:pStyle w:val="TableContents"/>
              <w:bidi w:val="0"/>
              <w:jc w:val="left"/>
              <w:rPr>
                <w:b/>
              </w:rPr>
            </w:pPr>
            <w:r>
              <w:rPr>
                <w:b/>
              </w:rPr>
              <w:t>Retirar los datos de la versión anterior</w:t>
            </w:r>
          </w:p>
        </w:tc>
        <w:tc>
          <w:tcPr>
            <w:tcW w:w="8119" w:type="dxa"/>
            <w:tcBorders/>
            <w:vAlign w:val="center"/>
          </w:tcPr>
          <w:p>
            <w:pPr>
              <w:pStyle w:val="TableContents"/>
              <w:widowControl w:val="false"/>
              <w:suppressLineNumbers/>
              <w:bidi w:val="0"/>
              <w:jc w:val="left"/>
              <w:rPr/>
            </w:pPr>
            <w:r>
              <w:rPr/>
              <w:t xml:space="preserve">Las salas antiguas se migran solas (plazo de 60 días, modificable, y PIN nuevo) cuando su profesor entra en el panel. Pasados unos días, cuando todo el profesorado haya entrado, eliminar lo que quede en las colecciones antiguas </w:t>
            </w:r>
            <w:r>
              <w:rPr>
                <w:rStyle w:val="SourceText"/>
              </w:rPr>
              <w:t>resources</w:t>
            </w:r>
            <w:r>
              <w:rPr/>
              <w:t xml:space="preserve"> y </w:t>
            </w:r>
            <w:r>
              <w:rPr>
                <w:rStyle w:val="SourceText"/>
              </w:rPr>
              <w:t>fileChunks</w:t>
            </w:r>
            <w:r>
              <w:rPr/>
              <w:t>. Solo el profesor dueño puede leerlas.</w:t>
            </w:r>
          </w:p>
        </w:tc>
      </w:tr>
      <w:tr>
        <w:trPr/>
        <w:tc>
          <w:tcPr>
            <w:tcW w:w="226" w:type="dxa"/>
            <w:tcBorders/>
            <w:vAlign w:val="center"/>
          </w:tcPr>
          <w:p>
            <w:pPr>
              <w:pStyle w:val="TableContents"/>
              <w:widowControl w:val="false"/>
              <w:suppressLineNumbers/>
              <w:bidi w:val="0"/>
              <w:jc w:val="left"/>
              <w:rPr/>
            </w:pPr>
            <w:r>
              <w:rPr/>
              <w:t>8</w:t>
            </w:r>
          </w:p>
        </w:tc>
        <w:tc>
          <w:tcPr>
            <w:tcW w:w="1860" w:type="dxa"/>
            <w:tcBorders/>
            <w:vAlign w:val="center"/>
          </w:tcPr>
          <w:p>
            <w:pPr>
              <w:pStyle w:val="TableContents"/>
              <w:bidi w:val="0"/>
              <w:jc w:val="left"/>
              <w:rPr>
                <w:b/>
              </w:rPr>
            </w:pPr>
            <w:r>
              <w:rPr>
                <w:b/>
              </w:rPr>
              <w:t>Inscribir el tratamiento en el RAT</w:t>
            </w:r>
          </w:p>
        </w:tc>
        <w:tc>
          <w:tcPr>
            <w:tcW w:w="8119" w:type="dxa"/>
            <w:tcBorders/>
            <w:vAlign w:val="center"/>
          </w:tcPr>
          <w:p>
            <w:pPr>
              <w:pStyle w:val="TableContents"/>
              <w:widowControl w:val="false"/>
              <w:suppressLineNumbers/>
              <w:bidi w:val="0"/>
              <w:jc w:val="left"/>
              <w:rPr/>
            </w:pPr>
            <w:r>
              <w:rPr/>
              <w:t>Añadir la ficha del apartado 3 al Registro de Actividades de Tratamiento del centro (art. 30 RGPD) e informar al Delegado de Protección de Datos.</w:t>
            </w:r>
          </w:p>
        </w:tc>
      </w:tr>
      <w:tr>
        <w:trPr/>
        <w:tc>
          <w:tcPr>
            <w:tcW w:w="226" w:type="dxa"/>
            <w:tcBorders/>
            <w:vAlign w:val="center"/>
          </w:tcPr>
          <w:p>
            <w:pPr>
              <w:pStyle w:val="TableContents"/>
              <w:widowControl w:val="false"/>
              <w:suppressLineNumbers/>
              <w:bidi w:val="0"/>
              <w:jc w:val="left"/>
              <w:rPr/>
            </w:pPr>
            <w:r>
              <w:rPr/>
              <w:t>9</w:t>
            </w:r>
          </w:p>
        </w:tc>
        <w:tc>
          <w:tcPr>
            <w:tcW w:w="1860" w:type="dxa"/>
            <w:tcBorders/>
            <w:vAlign w:val="center"/>
          </w:tcPr>
          <w:p>
            <w:pPr>
              <w:pStyle w:val="TableContents"/>
              <w:bidi w:val="0"/>
              <w:jc w:val="left"/>
              <w:rPr>
                <w:b/>
              </w:rPr>
            </w:pPr>
            <w:r>
              <w:rPr>
                <w:b/>
              </w:rPr>
              <w:t>Revisión periódica</w:t>
            </w:r>
          </w:p>
        </w:tc>
        <w:tc>
          <w:tcPr>
            <w:tcW w:w="8119" w:type="dxa"/>
            <w:tcBorders/>
            <w:vAlign w:val="center"/>
          </w:tcPr>
          <w:p>
            <w:pPr>
              <w:pStyle w:val="TableContents"/>
              <w:widowControl w:val="false"/>
              <w:suppressLineNumbers/>
              <w:bidi w:val="0"/>
              <w:jc w:val="left"/>
              <w:rPr/>
            </w:pPr>
            <w:r>
              <w:rPr/>
              <w:t>Revisar la declaración de accesibilidad y estas medidas al menos una vez al año o cuando cambie la aplicación.</w:t>
            </w:r>
          </w:p>
        </w:tc>
      </w:tr>
    </w:tbl>
    <w:p>
      <w:pPr>
        <w:pStyle w:val="Heading2"/>
        <w:bidi w:val="0"/>
        <w:jc w:val="left"/>
        <w:rPr/>
      </w:pPr>
      <w:r>
        <w:rPr/>
        <w:t>3. Ficha para el Registro de Actividades de Tratamiento</w:t>
      </w:r>
    </w:p>
    <w:tbl>
      <w:tblPr>
        <w:tblW w:w="10205" w:type="dxa"/>
        <w:jc w:val="left"/>
        <w:tblInd w:w="0" w:type="dxa"/>
        <w:tblLayout w:type="fixed"/>
        <w:tblCellMar>
          <w:top w:w="28" w:type="dxa"/>
          <w:left w:w="28" w:type="dxa"/>
          <w:bottom w:w="28" w:type="dxa"/>
          <w:right w:w="28" w:type="dxa"/>
        </w:tblCellMar>
      </w:tblPr>
      <w:tblGrid>
        <w:gridCol w:w="1852"/>
        <w:gridCol w:w="8353"/>
      </w:tblGrid>
      <w:tr>
        <w:trPr/>
        <w:tc>
          <w:tcPr>
            <w:tcW w:w="1852" w:type="dxa"/>
            <w:tcBorders/>
            <w:vAlign w:val="center"/>
          </w:tcPr>
          <w:p>
            <w:pPr>
              <w:pStyle w:val="TableHeading"/>
              <w:bidi w:val="0"/>
              <w:ind w:hanging="0" w:left="0" w:right="0"/>
              <w:jc w:val="left"/>
              <w:rPr/>
            </w:pPr>
            <w:r>
              <w:rPr/>
              <w:t>Campo</w:t>
            </w:r>
          </w:p>
        </w:tc>
        <w:tc>
          <w:tcPr>
            <w:tcW w:w="8353" w:type="dxa"/>
            <w:tcBorders/>
            <w:vAlign w:val="center"/>
          </w:tcPr>
          <w:p>
            <w:pPr>
              <w:pStyle w:val="TableHeading"/>
              <w:suppressLineNumbers/>
              <w:shd w:fill="171413" w:val="clear"/>
              <w:bidi w:val="0"/>
              <w:jc w:val="left"/>
              <w:rPr/>
            </w:pPr>
            <w:r>
              <w:rPr/>
              <w:t>Contenido</w:t>
            </w:r>
          </w:p>
        </w:tc>
      </w:tr>
      <w:tr>
        <w:trPr/>
        <w:tc>
          <w:tcPr>
            <w:tcW w:w="1852" w:type="dxa"/>
            <w:tcBorders/>
            <w:vAlign w:val="center"/>
          </w:tcPr>
          <w:p>
            <w:pPr>
              <w:pStyle w:val="TableContents"/>
              <w:widowControl w:val="false"/>
              <w:suppressLineNumbers/>
              <w:bidi w:val="0"/>
              <w:jc w:val="left"/>
              <w:rPr/>
            </w:pPr>
            <w:r>
              <w:rPr/>
              <w:t>Nombre del tratamiento</w:t>
            </w:r>
          </w:p>
        </w:tc>
        <w:tc>
          <w:tcPr>
            <w:tcW w:w="8353" w:type="dxa"/>
            <w:tcBorders/>
            <w:vAlign w:val="center"/>
          </w:tcPr>
          <w:p>
            <w:pPr>
              <w:pStyle w:val="TableContents"/>
              <w:widowControl w:val="false"/>
              <w:suppressLineNumbers/>
              <w:bidi w:val="0"/>
              <w:jc w:val="left"/>
              <w:rPr/>
            </w:pPr>
            <w:r>
              <w:rPr/>
              <w:t>ColaboraFP – recursos de clase en tiempo real</w:t>
            </w:r>
          </w:p>
        </w:tc>
      </w:tr>
      <w:tr>
        <w:trPr/>
        <w:tc>
          <w:tcPr>
            <w:tcW w:w="1852" w:type="dxa"/>
            <w:tcBorders/>
            <w:vAlign w:val="center"/>
          </w:tcPr>
          <w:p>
            <w:pPr>
              <w:pStyle w:val="TableContents"/>
              <w:widowControl w:val="false"/>
              <w:suppressLineNumbers/>
              <w:bidi w:val="0"/>
              <w:jc w:val="left"/>
              <w:rPr/>
            </w:pPr>
            <w:r>
              <w:rPr/>
              <w:t>Responsable</w:t>
            </w:r>
          </w:p>
        </w:tc>
        <w:tc>
          <w:tcPr>
            <w:tcW w:w="8353" w:type="dxa"/>
            <w:tcBorders/>
            <w:vAlign w:val="center"/>
          </w:tcPr>
          <w:p>
            <w:pPr>
              <w:pStyle w:val="TableContents"/>
              <w:widowControl w:val="false"/>
              <w:suppressLineNumbers/>
              <w:bidi w:val="0"/>
              <w:jc w:val="left"/>
              <w:rPr/>
            </w:pPr>
            <w:r>
              <w:rPr/>
              <w:t>[Razón social y NIF del titular del centro] — Centro de Formación Profesional José Ramón Otero</w:t>
            </w:r>
          </w:p>
        </w:tc>
      </w:tr>
      <w:tr>
        <w:trPr/>
        <w:tc>
          <w:tcPr>
            <w:tcW w:w="1852" w:type="dxa"/>
            <w:tcBorders/>
            <w:vAlign w:val="center"/>
          </w:tcPr>
          <w:p>
            <w:pPr>
              <w:pStyle w:val="TableContents"/>
              <w:widowControl w:val="false"/>
              <w:suppressLineNumbers/>
              <w:bidi w:val="0"/>
              <w:jc w:val="left"/>
              <w:rPr/>
            </w:pPr>
            <w:r>
              <w:rPr/>
              <w:t>Delegado de Protección de Datos</w:t>
            </w:r>
          </w:p>
        </w:tc>
        <w:tc>
          <w:tcPr>
            <w:tcW w:w="8353" w:type="dxa"/>
            <w:tcBorders/>
            <w:vAlign w:val="center"/>
          </w:tcPr>
          <w:p>
            <w:pPr>
              <w:pStyle w:val="TableContents"/>
              <w:widowControl w:val="false"/>
              <w:suppressLineNumbers/>
              <w:bidi w:val="0"/>
              <w:jc w:val="left"/>
              <w:rPr/>
            </w:pPr>
            <w:r>
              <w:rPr/>
              <w:t>[Contacto del DPD]</w:t>
            </w:r>
          </w:p>
        </w:tc>
      </w:tr>
      <w:tr>
        <w:trPr/>
        <w:tc>
          <w:tcPr>
            <w:tcW w:w="1852" w:type="dxa"/>
            <w:tcBorders/>
            <w:vAlign w:val="center"/>
          </w:tcPr>
          <w:p>
            <w:pPr>
              <w:pStyle w:val="TableContents"/>
              <w:widowControl w:val="false"/>
              <w:suppressLineNumbers/>
              <w:bidi w:val="0"/>
              <w:jc w:val="left"/>
              <w:rPr/>
            </w:pPr>
            <w:r>
              <w:rPr/>
              <w:t>Finalidad</w:t>
            </w:r>
          </w:p>
        </w:tc>
        <w:tc>
          <w:tcPr>
            <w:tcW w:w="8353" w:type="dxa"/>
            <w:tcBorders/>
            <w:vAlign w:val="center"/>
          </w:tcPr>
          <w:p>
            <w:pPr>
              <w:pStyle w:val="TableContents"/>
              <w:widowControl w:val="false"/>
              <w:suppressLineNumbers/>
              <w:bidi w:val="0"/>
              <w:jc w:val="left"/>
              <w:rPr/>
            </w:pPr>
            <w:r>
              <w:rPr/>
              <w:t>Compartir recursos didácticos entre el profesorado y su alumnado durante la actividad lectiva, moderar las aportaciones del alumnado y atender notificaciones de contenido.</w:t>
            </w:r>
          </w:p>
        </w:tc>
      </w:tr>
      <w:tr>
        <w:trPr/>
        <w:tc>
          <w:tcPr>
            <w:tcW w:w="1852" w:type="dxa"/>
            <w:tcBorders/>
            <w:vAlign w:val="center"/>
          </w:tcPr>
          <w:p>
            <w:pPr>
              <w:pStyle w:val="TableContents"/>
              <w:widowControl w:val="false"/>
              <w:suppressLineNumbers/>
              <w:bidi w:val="0"/>
              <w:jc w:val="left"/>
              <w:rPr/>
            </w:pPr>
            <w:r>
              <w:rPr/>
              <w:t>Base jurídica</w:t>
            </w:r>
          </w:p>
        </w:tc>
        <w:tc>
          <w:tcPr>
            <w:tcW w:w="8353" w:type="dxa"/>
            <w:tcBorders/>
            <w:vAlign w:val="center"/>
          </w:tcPr>
          <w:p>
            <w:pPr>
              <w:pStyle w:val="TableContents"/>
              <w:widowControl w:val="false"/>
              <w:suppressLineNumbers/>
              <w:bidi w:val="0"/>
              <w:jc w:val="left"/>
              <w:rPr/>
            </w:pPr>
            <w:r>
              <w:rPr/>
              <w:t>Art. 6.1.e RGPD (función educativa; D. A. 23.ª LOE). Profesorado: art. 6.1.b RGPD.</w:t>
            </w:r>
          </w:p>
        </w:tc>
      </w:tr>
      <w:tr>
        <w:trPr/>
        <w:tc>
          <w:tcPr>
            <w:tcW w:w="1852" w:type="dxa"/>
            <w:tcBorders/>
            <w:vAlign w:val="center"/>
          </w:tcPr>
          <w:p>
            <w:pPr>
              <w:pStyle w:val="TableContents"/>
              <w:widowControl w:val="false"/>
              <w:suppressLineNumbers/>
              <w:bidi w:val="0"/>
              <w:jc w:val="left"/>
              <w:rPr/>
            </w:pPr>
            <w:r>
              <w:rPr/>
              <w:t>Interesados</w:t>
            </w:r>
          </w:p>
        </w:tc>
        <w:tc>
          <w:tcPr>
            <w:tcW w:w="8353" w:type="dxa"/>
            <w:tcBorders/>
            <w:vAlign w:val="center"/>
          </w:tcPr>
          <w:p>
            <w:pPr>
              <w:pStyle w:val="TableContents"/>
              <w:widowControl w:val="false"/>
              <w:suppressLineNumbers/>
              <w:bidi w:val="0"/>
              <w:jc w:val="left"/>
              <w:rPr/>
            </w:pPr>
            <w:r>
              <w:rPr/>
              <w:t>Profesorado del centro; alumnado (puede incluir menores de edad).</w:t>
            </w:r>
          </w:p>
        </w:tc>
      </w:tr>
      <w:tr>
        <w:trPr/>
        <w:tc>
          <w:tcPr>
            <w:tcW w:w="1852" w:type="dxa"/>
            <w:tcBorders/>
            <w:vAlign w:val="center"/>
          </w:tcPr>
          <w:p>
            <w:pPr>
              <w:pStyle w:val="TableContents"/>
              <w:widowControl w:val="false"/>
              <w:suppressLineNumbers/>
              <w:bidi w:val="0"/>
              <w:jc w:val="left"/>
              <w:rPr/>
            </w:pPr>
            <w:r>
              <w:rPr/>
              <w:t>Categorías de datos</w:t>
            </w:r>
          </w:p>
        </w:tc>
        <w:tc>
          <w:tcPr>
            <w:tcW w:w="8353" w:type="dxa"/>
            <w:tcBorders/>
            <w:vAlign w:val="center"/>
          </w:tcPr>
          <w:p>
            <w:pPr>
              <w:pStyle w:val="TableContents"/>
              <w:widowControl w:val="false"/>
              <w:suppressLineNumbers/>
              <w:bidi w:val="0"/>
              <w:jc w:val="left"/>
              <w:rPr/>
            </w:pPr>
            <w:r>
              <w:rPr/>
              <w:t>Profesorado: nombre, correo institucional, credenciales (gestionadas por Firebase Authentication). Alumnado: alias opcional y contenidos aportados. Notificaciones: motivo y descripción, de forma anónima. Datos técnicos de conexión (IP) tratados por los proveedores. No se tratan categorías especiales.</w:t>
            </w:r>
          </w:p>
        </w:tc>
      </w:tr>
      <w:tr>
        <w:trPr/>
        <w:tc>
          <w:tcPr>
            <w:tcW w:w="1852" w:type="dxa"/>
            <w:tcBorders/>
            <w:vAlign w:val="center"/>
          </w:tcPr>
          <w:p>
            <w:pPr>
              <w:pStyle w:val="TableContents"/>
              <w:widowControl w:val="false"/>
              <w:suppressLineNumbers/>
              <w:bidi w:val="0"/>
              <w:jc w:val="left"/>
              <w:rPr/>
            </w:pPr>
            <w:r>
              <w:rPr/>
              <w:t>Destinatarios / encargados</w:t>
            </w:r>
          </w:p>
        </w:tc>
        <w:tc>
          <w:tcPr>
            <w:tcW w:w="8353" w:type="dxa"/>
            <w:tcBorders/>
            <w:vAlign w:val="center"/>
          </w:tcPr>
          <w:p>
            <w:pPr>
              <w:pStyle w:val="TableContents"/>
              <w:widowControl w:val="false"/>
              <w:suppressLineNumbers/>
              <w:bidi w:val="0"/>
              <w:jc w:val="left"/>
              <w:rPr/>
            </w:pPr>
            <w:r>
              <w:rPr/>
              <w:t>Google Ireland Ltd. (Firebase Authentication y Cloud Firestore, UE); Netlify, Inc. (alojamiento web, EE. UU.). Sin cesiones a terceros.</w:t>
            </w:r>
          </w:p>
        </w:tc>
      </w:tr>
      <w:tr>
        <w:trPr/>
        <w:tc>
          <w:tcPr>
            <w:tcW w:w="1852" w:type="dxa"/>
            <w:tcBorders/>
            <w:vAlign w:val="center"/>
          </w:tcPr>
          <w:p>
            <w:pPr>
              <w:pStyle w:val="TableContents"/>
              <w:widowControl w:val="false"/>
              <w:suppressLineNumbers/>
              <w:bidi w:val="0"/>
              <w:jc w:val="left"/>
              <w:rPr/>
            </w:pPr>
            <w:r>
              <w:rPr/>
              <w:t>Transferencias internacionales</w:t>
            </w:r>
          </w:p>
        </w:tc>
        <w:tc>
          <w:tcPr>
            <w:tcW w:w="8353" w:type="dxa"/>
            <w:tcBorders/>
            <w:vAlign w:val="center"/>
          </w:tcPr>
          <w:p>
            <w:pPr>
              <w:pStyle w:val="TableContents"/>
              <w:widowControl w:val="false"/>
              <w:suppressLineNumbers/>
              <w:bidi w:val="0"/>
              <w:jc w:val="left"/>
              <w:rPr/>
            </w:pPr>
            <w:r>
              <w:rPr/>
              <w:t>Netlify, Inc. (EE. UU.): Marco de Privacidad de Datos UE-EE. UU. y/o cláusulas contractuales tipo (arts. 45-46 RGPD).</w:t>
            </w:r>
          </w:p>
        </w:tc>
      </w:tr>
      <w:tr>
        <w:trPr/>
        <w:tc>
          <w:tcPr>
            <w:tcW w:w="1852" w:type="dxa"/>
            <w:tcBorders/>
            <w:vAlign w:val="center"/>
          </w:tcPr>
          <w:p>
            <w:pPr>
              <w:pStyle w:val="TableContents"/>
              <w:widowControl w:val="false"/>
              <w:suppressLineNumbers/>
              <w:bidi w:val="0"/>
              <w:jc w:val="left"/>
              <w:rPr/>
            </w:pPr>
            <w:r>
              <w:rPr/>
              <w:t>Plazos de supresión</w:t>
            </w:r>
          </w:p>
        </w:tc>
        <w:tc>
          <w:tcPr>
            <w:tcW w:w="8353" w:type="dxa"/>
            <w:tcBorders/>
            <w:vAlign w:val="center"/>
          </w:tcPr>
          <w:p>
            <w:pPr>
              <w:pStyle w:val="TableContents"/>
              <w:widowControl w:val="false"/>
              <w:suppressLineNumbers/>
              <w:bidi w:val="0"/>
              <w:jc w:val="left"/>
              <w:rPr/>
            </w:pPr>
            <w:r>
              <w:rPr/>
              <w:t>Salas cerradas automáticamente a las 12 h; sala y todo su contenido borrados en la fecha que fija el profesor (60 días por defecto, como máximo 1 año); cuenta del profesorado mientras preste servicio o hasta que la elimine.</w:t>
            </w:r>
          </w:p>
        </w:tc>
      </w:tr>
      <w:tr>
        <w:trPr/>
        <w:tc>
          <w:tcPr>
            <w:tcW w:w="1852" w:type="dxa"/>
            <w:tcBorders/>
            <w:vAlign w:val="center"/>
          </w:tcPr>
          <w:p>
            <w:pPr>
              <w:pStyle w:val="TableContents"/>
              <w:widowControl w:val="false"/>
              <w:suppressLineNumbers/>
              <w:bidi w:val="0"/>
              <w:jc w:val="left"/>
              <w:rPr/>
            </w:pPr>
            <w:r>
              <w:rPr/>
              <w:t>Medidas de seguridad</w:t>
            </w:r>
          </w:p>
        </w:tc>
        <w:tc>
          <w:tcPr>
            <w:tcW w:w="8353" w:type="dxa"/>
            <w:tcBorders/>
            <w:vAlign w:val="center"/>
          </w:tcPr>
          <w:p>
            <w:pPr>
              <w:pStyle w:val="TableContents"/>
              <w:widowControl w:val="false"/>
              <w:suppressLineNumbers/>
              <w:bidi w:val="0"/>
              <w:jc w:val="left"/>
              <w:rPr/>
            </w:pPr>
            <w:r>
              <w:rPr/>
              <w:t>Las del apartado 5.</w:t>
            </w:r>
          </w:p>
        </w:tc>
      </w:tr>
    </w:tbl>
    <w:p>
      <w:pPr>
        <w:pStyle w:val="Heading2"/>
        <w:bidi w:val="0"/>
        <w:jc w:val="left"/>
        <w:rPr/>
      </w:pPr>
      <w:r>
        <w:rPr/>
        <w:t>4. ¿Es necesaria una evaluación de impacto (EIPD)?</w:t>
      </w:r>
    </w:p>
    <w:p>
      <w:pPr>
        <w:pStyle w:val="BodyText"/>
        <w:bidi w:val="0"/>
        <w:jc w:val="left"/>
        <w:rPr/>
      </w:pPr>
      <w:r>
        <w:rPr/>
        <w:t xml:space="preserve">Según la lista de tratamientos de la AEPD que requieren EIPD, solo concurre un criterio: datos de personas vulnerables (alumnado que puede ser menor de edad). No hay datos de categorías especiales, ni elaboración de perfiles o decisiones automatizadas, ni tratamiento a gran escala, ni observación sistemática, ni uso de tecnologías innovadoras. Además, el alumnado no se identifica (alias opcional) y los datos se borran en un plazo breve (60 días por defecto, 1 año como máximo). Con un solo criterio, </w:t>
      </w:r>
      <w:r>
        <w:rPr>
          <w:b/>
        </w:rPr>
        <w:t>no se considera obligatoria una EIPD</w:t>
      </w:r>
      <w:r>
        <w:rPr/>
        <w:t>. Se recomienda documentar esta conclusión con el DPD.</w:t>
      </w:r>
    </w:p>
    <w:p>
      <w:pPr>
        <w:pStyle w:val="Heading2"/>
        <w:bidi w:val="0"/>
        <w:jc w:val="left"/>
        <w:rPr/>
      </w:pPr>
      <w:r>
        <w:rPr/>
        <w:t>5. Medidas técnicas y organizativas implementadas</w:t>
      </w:r>
    </w:p>
    <w:tbl>
      <w:tblPr>
        <w:tblW w:w="10205" w:type="dxa"/>
        <w:jc w:val="left"/>
        <w:tblInd w:w="0" w:type="dxa"/>
        <w:tblLayout w:type="fixed"/>
        <w:tblCellMar>
          <w:top w:w="28" w:type="dxa"/>
          <w:left w:w="28" w:type="dxa"/>
          <w:bottom w:w="28" w:type="dxa"/>
          <w:right w:w="28" w:type="dxa"/>
        </w:tblCellMar>
      </w:tblPr>
      <w:tblGrid>
        <w:gridCol w:w="2147"/>
        <w:gridCol w:w="8058"/>
      </w:tblGrid>
      <w:tr>
        <w:trPr/>
        <w:tc>
          <w:tcPr>
            <w:tcW w:w="2147" w:type="dxa"/>
            <w:tcBorders/>
            <w:vAlign w:val="center"/>
          </w:tcPr>
          <w:p>
            <w:pPr>
              <w:pStyle w:val="TableHeading"/>
              <w:bidi w:val="0"/>
              <w:ind w:hanging="0" w:left="0" w:right="0"/>
              <w:jc w:val="left"/>
              <w:rPr/>
            </w:pPr>
            <w:r>
              <w:rPr/>
              <w:t>Medida</w:t>
            </w:r>
          </w:p>
        </w:tc>
        <w:tc>
          <w:tcPr>
            <w:tcW w:w="8058" w:type="dxa"/>
            <w:tcBorders/>
            <w:vAlign w:val="center"/>
          </w:tcPr>
          <w:p>
            <w:pPr>
              <w:pStyle w:val="TableHeading"/>
              <w:suppressLineNumbers/>
              <w:shd w:fill="171413" w:val="clear"/>
              <w:bidi w:val="0"/>
              <w:jc w:val="left"/>
              <w:rPr/>
            </w:pPr>
            <w:r>
              <w:rPr/>
              <w:t>Detalle</w:t>
            </w:r>
          </w:p>
        </w:tc>
      </w:tr>
      <w:tr>
        <w:trPr/>
        <w:tc>
          <w:tcPr>
            <w:tcW w:w="2147" w:type="dxa"/>
            <w:tcBorders/>
            <w:vAlign w:val="center"/>
          </w:tcPr>
          <w:p>
            <w:pPr>
              <w:pStyle w:val="TableContents"/>
              <w:widowControl w:val="false"/>
              <w:suppressLineNumbers/>
              <w:bidi w:val="0"/>
              <w:jc w:val="left"/>
              <w:rPr/>
            </w:pPr>
            <w:r>
              <w:rPr/>
              <w:t>Control de acceso del profesorado</w:t>
            </w:r>
          </w:p>
        </w:tc>
        <w:tc>
          <w:tcPr>
            <w:tcW w:w="8058" w:type="dxa"/>
            <w:tcBorders/>
            <w:vAlign w:val="center"/>
          </w:tcPr>
          <w:p>
            <w:pPr>
              <w:pStyle w:val="TableContents"/>
              <w:widowControl w:val="false"/>
              <w:suppressLineNumbers/>
              <w:bidi w:val="0"/>
              <w:jc w:val="left"/>
              <w:rPr/>
            </w:pPr>
            <w:r>
              <w:rPr/>
              <w:t xml:space="preserve">Solo correos </w:t>
            </w:r>
            <w:r>
              <w:rPr>
                <w:rStyle w:val="SourceText"/>
              </w:rPr>
              <w:t>@jrotero.es</w:t>
            </w:r>
            <w:r>
              <w:rPr/>
              <w:t xml:space="preserve"> verificados (comprobado en la aplicación y en las reglas del servidor). Contraseñas de 8 o más caracteres con letras y números.</w:t>
            </w:r>
          </w:p>
        </w:tc>
      </w:tr>
      <w:tr>
        <w:trPr/>
        <w:tc>
          <w:tcPr>
            <w:tcW w:w="2147" w:type="dxa"/>
            <w:tcBorders/>
            <w:vAlign w:val="center"/>
          </w:tcPr>
          <w:p>
            <w:pPr>
              <w:pStyle w:val="TableContents"/>
              <w:widowControl w:val="false"/>
              <w:suppressLineNumbers/>
              <w:bidi w:val="0"/>
              <w:jc w:val="left"/>
              <w:rPr/>
            </w:pPr>
            <w:r>
              <w:rPr/>
              <w:t>Aislamiento entre salas</w:t>
            </w:r>
          </w:p>
        </w:tc>
        <w:tc>
          <w:tcPr>
            <w:tcW w:w="8058" w:type="dxa"/>
            <w:tcBorders/>
            <w:vAlign w:val="center"/>
          </w:tcPr>
          <w:p>
            <w:pPr>
              <w:pStyle w:val="TableContents"/>
              <w:widowControl w:val="false"/>
              <w:suppressLineNumbers/>
              <w:bidi w:val="0"/>
              <w:jc w:val="left"/>
              <w:rPr/>
            </w:pPr>
            <w:r>
              <w:rPr/>
              <w:t>Recursos, archivos y notificaciones se guardan dentro de su sala; las reglas impiden consultas que abarquen varias salas.</w:t>
            </w:r>
          </w:p>
        </w:tc>
      </w:tr>
      <w:tr>
        <w:trPr/>
        <w:tc>
          <w:tcPr>
            <w:tcW w:w="2147" w:type="dxa"/>
            <w:tcBorders/>
            <w:vAlign w:val="center"/>
          </w:tcPr>
          <w:p>
            <w:pPr>
              <w:pStyle w:val="TableContents"/>
              <w:widowControl w:val="false"/>
              <w:suppressLineNumbers/>
              <w:bidi w:val="0"/>
              <w:jc w:val="left"/>
              <w:rPr/>
            </w:pPr>
            <w:r>
              <w:rPr/>
              <w:t>PIN</w:t>
            </w:r>
          </w:p>
        </w:tc>
        <w:tc>
          <w:tcPr>
            <w:tcW w:w="8058" w:type="dxa"/>
            <w:tcBorders/>
            <w:vAlign w:val="center"/>
          </w:tcPr>
          <w:p>
            <w:pPr>
              <w:pStyle w:val="TableContents"/>
              <w:widowControl w:val="false"/>
              <w:suppressLineNumbers/>
              <w:bidi w:val="0"/>
              <w:jc w:val="left"/>
              <w:rPr/>
            </w:pPr>
            <w:r>
              <w:rPr/>
              <w:t xml:space="preserve">6 caracteres alfanuméricos sin caracteres ambiguos, generados con </w:t>
            </w:r>
            <w:r>
              <w:rPr>
                <w:rStyle w:val="SourceText"/>
              </w:rPr>
              <w:t>crypto.getRandomValues</w:t>
            </w:r>
            <w:r>
              <w:rPr/>
              <w:t>; solo resolubles con la sala abierta; no listables.</w:t>
            </w:r>
          </w:p>
        </w:tc>
      </w:tr>
      <w:tr>
        <w:trPr/>
        <w:tc>
          <w:tcPr>
            <w:tcW w:w="2147" w:type="dxa"/>
            <w:tcBorders/>
            <w:vAlign w:val="center"/>
          </w:tcPr>
          <w:p>
            <w:pPr>
              <w:pStyle w:val="TableContents"/>
              <w:widowControl w:val="false"/>
              <w:suppressLineNumbers/>
              <w:bidi w:val="0"/>
              <w:jc w:val="left"/>
              <w:rPr/>
            </w:pPr>
            <w:r>
              <w:rPr/>
              <w:t>Ventana de exposición</w:t>
            </w:r>
          </w:p>
        </w:tc>
        <w:tc>
          <w:tcPr>
            <w:tcW w:w="8058" w:type="dxa"/>
            <w:tcBorders/>
            <w:vAlign w:val="center"/>
          </w:tcPr>
          <w:p>
            <w:pPr>
              <w:pStyle w:val="TableContents"/>
              <w:widowControl w:val="false"/>
              <w:suppressLineNumbers/>
              <w:bidi w:val="0"/>
              <w:jc w:val="left"/>
              <w:rPr/>
            </w:pPr>
            <w:r>
              <w:rPr/>
              <w:t>Cierre automático a las 12 h; el alumnado solo puede aportar con la sala abierta.</w:t>
            </w:r>
          </w:p>
        </w:tc>
      </w:tr>
      <w:tr>
        <w:trPr/>
        <w:tc>
          <w:tcPr>
            <w:tcW w:w="2147" w:type="dxa"/>
            <w:tcBorders/>
            <w:vAlign w:val="center"/>
          </w:tcPr>
          <w:p>
            <w:pPr>
              <w:pStyle w:val="TableContents"/>
              <w:widowControl w:val="false"/>
              <w:suppressLineNumbers/>
              <w:bidi w:val="0"/>
              <w:jc w:val="left"/>
              <w:rPr/>
            </w:pPr>
            <w:r>
              <w:rPr/>
              <w:t>Minimización y conservación</w:t>
            </w:r>
          </w:p>
        </w:tc>
        <w:tc>
          <w:tcPr>
            <w:tcW w:w="8058" w:type="dxa"/>
            <w:tcBorders/>
            <w:vAlign w:val="center"/>
          </w:tcPr>
          <w:p>
            <w:pPr>
              <w:pStyle w:val="TableContents"/>
              <w:widowControl w:val="false"/>
              <w:suppressLineNumbers/>
              <w:bidi w:val="0"/>
              <w:jc w:val="left"/>
              <w:rPr/>
            </w:pPr>
            <w:r>
              <w:rPr/>
              <w:t>Alumnado sin cuenta; alias opcional con aviso de no usar datos personales; borrado automático a los 60 días, que no se puede ampliar.</w:t>
            </w:r>
          </w:p>
        </w:tc>
      </w:tr>
      <w:tr>
        <w:trPr/>
        <w:tc>
          <w:tcPr>
            <w:tcW w:w="2147" w:type="dxa"/>
            <w:tcBorders/>
            <w:vAlign w:val="center"/>
          </w:tcPr>
          <w:p>
            <w:pPr>
              <w:pStyle w:val="TableContents"/>
              <w:widowControl w:val="false"/>
              <w:suppressLineNumbers/>
              <w:bidi w:val="0"/>
              <w:jc w:val="left"/>
              <w:rPr/>
            </w:pPr>
            <w:r>
              <w:rPr/>
              <w:t>Moderación y notificación</w:t>
            </w:r>
          </w:p>
        </w:tc>
        <w:tc>
          <w:tcPr>
            <w:tcW w:w="8058" w:type="dxa"/>
            <w:tcBorders/>
            <w:vAlign w:val="center"/>
          </w:tcPr>
          <w:p>
            <w:pPr>
              <w:pStyle w:val="TableContents"/>
              <w:widowControl w:val="false"/>
              <w:suppressLineNumbers/>
              <w:bidi w:val="0"/>
              <w:jc w:val="left"/>
              <w:rPr/>
            </w:pPr>
            <w:r>
              <w:rPr/>
              <w:t>Aprobación previa de las aportaciones; notificación de contenido con retirada en un clic; ejecutables bloqueados; archivos de 5 MB como máximo.</w:t>
            </w:r>
          </w:p>
        </w:tc>
      </w:tr>
      <w:tr>
        <w:trPr/>
        <w:tc>
          <w:tcPr>
            <w:tcW w:w="2147" w:type="dxa"/>
            <w:tcBorders/>
            <w:vAlign w:val="center"/>
          </w:tcPr>
          <w:p>
            <w:pPr>
              <w:pStyle w:val="TableContents"/>
              <w:widowControl w:val="false"/>
              <w:suppressLineNumbers/>
              <w:bidi w:val="0"/>
              <w:jc w:val="left"/>
              <w:rPr/>
            </w:pPr>
            <w:r>
              <w:rPr/>
              <w:t>Integridad de los datos</w:t>
            </w:r>
          </w:p>
        </w:tc>
        <w:tc>
          <w:tcPr>
            <w:tcW w:w="8058" w:type="dxa"/>
            <w:tcBorders/>
            <w:vAlign w:val="center"/>
          </w:tcPr>
          <w:p>
            <w:pPr>
              <w:pStyle w:val="TableContents"/>
              <w:widowControl w:val="false"/>
              <w:suppressLineNumbers/>
              <w:bidi w:val="0"/>
              <w:jc w:val="left"/>
              <w:rPr/>
            </w:pPr>
            <w:r>
              <w:rPr/>
              <w:t>Las reglas validan los campos, tamaños y tipos de cada documento; los archivos solo se escriben de forma atómica junto a su recurso.</w:t>
            </w:r>
          </w:p>
        </w:tc>
      </w:tr>
      <w:tr>
        <w:trPr/>
        <w:tc>
          <w:tcPr>
            <w:tcW w:w="2147" w:type="dxa"/>
            <w:tcBorders/>
            <w:vAlign w:val="center"/>
          </w:tcPr>
          <w:p>
            <w:pPr>
              <w:pStyle w:val="TableContents"/>
              <w:widowControl w:val="false"/>
              <w:suppressLineNumbers/>
              <w:bidi w:val="0"/>
              <w:jc w:val="left"/>
              <w:rPr/>
            </w:pPr>
            <w:r>
              <w:rPr/>
              <w:t>Transporte y navegador</w:t>
            </w:r>
          </w:p>
        </w:tc>
        <w:tc>
          <w:tcPr>
            <w:tcW w:w="8058" w:type="dxa"/>
            <w:tcBorders/>
            <w:vAlign w:val="center"/>
          </w:tcPr>
          <w:p>
            <w:pPr>
              <w:pStyle w:val="TableContents"/>
              <w:widowControl w:val="false"/>
              <w:suppressLineNumbers/>
              <w:bidi w:val="0"/>
              <w:jc w:val="left"/>
              <w:rPr/>
            </w:pPr>
            <w:r>
              <w:rPr/>
              <w:t>HTTPS con HSTS; CSP restrictiva (solo el propio dominio y Firebase); X-Frame-Options; Permissions-Policy sin cámara, micrófono ni ubicación.</w:t>
            </w:r>
          </w:p>
        </w:tc>
      </w:tr>
      <w:tr>
        <w:trPr/>
        <w:tc>
          <w:tcPr>
            <w:tcW w:w="2147" w:type="dxa"/>
            <w:tcBorders/>
            <w:vAlign w:val="center"/>
          </w:tcPr>
          <w:p>
            <w:pPr>
              <w:pStyle w:val="TableContents"/>
              <w:widowControl w:val="false"/>
              <w:suppressLineNumbers/>
              <w:bidi w:val="0"/>
              <w:jc w:val="left"/>
              <w:rPr/>
            </w:pPr>
            <w:r>
              <w:rPr/>
              <w:t>Terceros</w:t>
            </w:r>
          </w:p>
        </w:tc>
        <w:tc>
          <w:tcPr>
            <w:tcW w:w="8058" w:type="dxa"/>
            <w:tcBorders/>
            <w:vAlign w:val="center"/>
          </w:tcPr>
          <w:p>
            <w:pPr>
              <w:pStyle w:val="TableContents"/>
              <w:widowControl w:val="false"/>
              <w:suppressLineNumbers/>
              <w:bidi w:val="0"/>
              <w:jc w:val="left"/>
              <w:rPr/>
            </w:pPr>
            <w:r>
              <w:rPr/>
              <w:t>Sin cookies, analítica ni publicidad; tipografías servidas desde el propio dominio.</w:t>
            </w:r>
          </w:p>
        </w:tc>
      </w:tr>
    </w:tbl>
    <w:p>
      <w:pPr>
        <w:pStyle w:val="Heading2"/>
        <w:bidi w:val="0"/>
        <w:jc w:val="left"/>
        <w:rPr/>
      </w:pPr>
      <w:r>
        <w:rPr/>
        <w:t>6. Verificaciones realizadas</w:t>
      </w:r>
    </w:p>
    <w:tbl>
      <w:tblPr>
        <w:tblW w:w="10205" w:type="dxa"/>
        <w:jc w:val="left"/>
        <w:tblInd w:w="0" w:type="dxa"/>
        <w:tblLayout w:type="fixed"/>
        <w:tblCellMar>
          <w:top w:w="28" w:type="dxa"/>
          <w:left w:w="28" w:type="dxa"/>
          <w:bottom w:w="28" w:type="dxa"/>
          <w:right w:w="28" w:type="dxa"/>
        </w:tblCellMar>
      </w:tblPr>
      <w:tblGrid>
        <w:gridCol w:w="1979"/>
        <w:gridCol w:w="8226"/>
      </w:tblGrid>
      <w:tr>
        <w:trPr/>
        <w:tc>
          <w:tcPr>
            <w:tcW w:w="1979" w:type="dxa"/>
            <w:tcBorders/>
            <w:vAlign w:val="center"/>
          </w:tcPr>
          <w:p>
            <w:pPr>
              <w:pStyle w:val="TableHeading"/>
              <w:bidi w:val="0"/>
              <w:ind w:hanging="0" w:left="0" w:right="0"/>
              <w:jc w:val="left"/>
              <w:rPr/>
            </w:pPr>
            <w:r>
              <w:rPr/>
              <w:t>Prueba</w:t>
            </w:r>
          </w:p>
        </w:tc>
        <w:tc>
          <w:tcPr>
            <w:tcW w:w="8226" w:type="dxa"/>
            <w:tcBorders/>
            <w:vAlign w:val="center"/>
          </w:tcPr>
          <w:p>
            <w:pPr>
              <w:pStyle w:val="TableHeading"/>
              <w:suppressLineNumbers/>
              <w:shd w:fill="171413" w:val="clear"/>
              <w:bidi w:val="0"/>
              <w:jc w:val="left"/>
              <w:rPr/>
            </w:pPr>
            <w:r>
              <w:rPr/>
              <w:t>Resultado</w:t>
            </w:r>
          </w:p>
        </w:tc>
      </w:tr>
      <w:tr>
        <w:trPr/>
        <w:tc>
          <w:tcPr>
            <w:tcW w:w="1979" w:type="dxa"/>
            <w:tcBorders/>
            <w:vAlign w:val="center"/>
          </w:tcPr>
          <w:p>
            <w:pPr>
              <w:pStyle w:val="TableContents"/>
              <w:widowControl w:val="false"/>
              <w:suppressLineNumbers/>
              <w:bidi w:val="0"/>
              <w:jc w:val="left"/>
              <w:rPr/>
            </w:pPr>
            <w:r>
              <w:rPr/>
              <w:t>Reglas de seguridad (emulador oficial de Firebase)</w:t>
            </w:r>
          </w:p>
        </w:tc>
        <w:tc>
          <w:tcPr>
            <w:tcW w:w="8226" w:type="dxa"/>
            <w:tcBorders/>
            <w:vAlign w:val="center"/>
          </w:tcPr>
          <w:p>
            <w:pPr>
              <w:pStyle w:val="TableContents"/>
              <w:widowControl w:val="false"/>
              <w:suppressLineNumbers/>
              <w:bidi w:val="0"/>
              <w:jc w:val="left"/>
              <w:rPr/>
            </w:pPr>
            <w:r>
              <w:rPr/>
              <w:t>22 intentos de abuso bloqueados y 6 accesos legítimos permitidos. Bloqueados, entre otros: listar recursos de todas las salas, listar PIN, resolver el PIN de una sala cerrada, aportar a una sala cerrada, autoaprobarse, ampliar el plazo de borrado, abrir una sala más de 12 h, crear salas con una cuenta sin verificar o de Gmail, y acceder a salas o notificaciones de otro profesor del centro.</w:t>
            </w:r>
          </w:p>
        </w:tc>
      </w:tr>
      <w:tr>
        <w:trPr/>
        <w:tc>
          <w:tcPr>
            <w:tcW w:w="1979" w:type="dxa"/>
            <w:tcBorders/>
            <w:vAlign w:val="center"/>
          </w:tcPr>
          <w:p>
            <w:pPr>
              <w:pStyle w:val="TableContents"/>
              <w:widowControl w:val="false"/>
              <w:suppressLineNumbers/>
              <w:bidi w:val="0"/>
              <w:jc w:val="left"/>
              <w:rPr/>
            </w:pPr>
            <w:r>
              <w:rPr/>
              <w:t>Flujo completo en navegador</w:t>
            </w:r>
          </w:p>
        </w:tc>
        <w:tc>
          <w:tcPr>
            <w:tcW w:w="8226" w:type="dxa"/>
            <w:tcBorders/>
            <w:vAlign w:val="center"/>
          </w:tcPr>
          <w:p>
            <w:pPr>
              <w:pStyle w:val="TableContents"/>
              <w:widowControl w:val="false"/>
              <w:suppressLineNumbers/>
              <w:bidi w:val="0"/>
              <w:jc w:val="left"/>
              <w:rPr/>
            </w:pPr>
            <w:r>
              <w:rPr/>
              <w:t>19 comprobaciones superadas (registro con verificación, PIN, aceptación de condiciones, moderación, notificación, cierre, supresión de la cuenta), también con la versión de producción y la CSP activa (0 bloqueos).</w:t>
            </w:r>
          </w:p>
        </w:tc>
      </w:tr>
      <w:tr>
        <w:trPr/>
        <w:tc>
          <w:tcPr>
            <w:tcW w:w="1979" w:type="dxa"/>
            <w:tcBorders/>
            <w:vAlign w:val="center"/>
          </w:tcPr>
          <w:p>
            <w:pPr>
              <w:pStyle w:val="TableContents"/>
              <w:widowControl w:val="false"/>
              <w:suppressLineNumbers/>
              <w:bidi w:val="0"/>
              <w:jc w:val="left"/>
              <w:rPr/>
            </w:pPr>
            <w:r>
              <w:rPr/>
              <w:t>Conservación</w:t>
            </w:r>
          </w:p>
        </w:tc>
        <w:tc>
          <w:tcPr>
            <w:tcW w:w="8226" w:type="dxa"/>
            <w:tcBorders/>
            <w:vAlign w:val="center"/>
          </w:tcPr>
          <w:p>
            <w:pPr>
              <w:pStyle w:val="TableContents"/>
              <w:widowControl w:val="false"/>
              <w:suppressLineNumbers/>
              <w:bidi w:val="0"/>
              <w:jc w:val="left"/>
              <w:rPr/>
            </w:pPr>
            <w:r>
              <w:rPr/>
              <w:t>Una sala caducada se elimina con todo su contenido al entrar el profesor en su panel; la vigente se conserva.</w:t>
            </w:r>
          </w:p>
        </w:tc>
      </w:tr>
      <w:tr>
        <w:trPr/>
        <w:tc>
          <w:tcPr>
            <w:tcW w:w="1979" w:type="dxa"/>
            <w:tcBorders/>
            <w:vAlign w:val="center"/>
          </w:tcPr>
          <w:p>
            <w:pPr>
              <w:pStyle w:val="TableContents"/>
              <w:widowControl w:val="false"/>
              <w:suppressLineNumbers/>
              <w:bidi w:val="0"/>
              <w:jc w:val="left"/>
              <w:rPr/>
            </w:pPr>
            <w:r>
              <w:rPr/>
              <w:t>Accesibilidad</w:t>
            </w:r>
          </w:p>
        </w:tc>
        <w:tc>
          <w:tcPr>
            <w:tcW w:w="8226" w:type="dxa"/>
            <w:tcBorders/>
            <w:vAlign w:val="center"/>
          </w:tcPr>
          <w:p>
            <w:pPr>
              <w:pStyle w:val="TableContents"/>
              <w:widowControl w:val="false"/>
              <w:suppressLineNumbers/>
              <w:bidi w:val="0"/>
              <w:jc w:val="left"/>
              <w:rPr/>
            </w:pPr>
            <w:r>
              <w:rPr/>
              <w:t>axe-core 4.14 (WCAG 2.0 y 2.1, A y AA): 0 incumplimientos en 40 pantallas. Revisión manual con teclado: enlace de salto, foco atrapado y devuelto en los diálogos, movimiento reducido.</w:t>
            </w:r>
          </w:p>
        </w:tc>
      </w:tr>
    </w:tbl>
    <w:tbl>
      <w:tblPr>
        <w:tblW w:w="10205" w:type="dxa"/>
        <w:jc w:val="left"/>
        <w:tblInd w:w="-40" w:type="dxa"/>
        <w:tblLayout w:type="fixed"/>
        <w:tblCellMar>
          <w:top w:w="0" w:type="dxa"/>
          <w:left w:w="28" w:type="dxa"/>
          <w:bottom w:w="0" w:type="dxa"/>
          <w:right w:w="0" w:type="dxa"/>
        </w:tblCellMar>
      </w:tblPr>
      <w:tblGrid>
        <w:gridCol w:w="10205"/>
      </w:tblGrid>
      <w:tr>
        <w:trPr/>
        <w:tc>
          <w:tcPr>
            <w:tcW w:w="10205" w:type="dxa"/>
            <w:tcBorders>
              <w:left w:val="single" w:sz="32" w:space="0" w:color="EFCD2F"/>
            </w:tcBorders>
            <w:shd w:fill="FDF5C4" w:val="clear"/>
            <w:vAlign w:val="center"/>
          </w:tcPr>
          <w:p>
            <w:pPr>
              <w:pStyle w:val="TableContents"/>
              <w:bidi w:val="0"/>
              <w:ind w:hanging="0" w:left="0" w:right="0"/>
              <w:jc w:val="left"/>
              <w:rPr/>
            </w:pPr>
            <w:r>
              <w:rPr>
                <w:b/>
              </w:rPr>
              <w:t>Nota:</w:t>
            </w:r>
            <w:r>
              <w:rPr/>
              <w:t xml:space="preserve"> este documento describe las medidas técnicas implantadas y los pasos pendientes. No sustituye el asesoramiento del Delegado de Protección de Datos ni de la asesoría jurídica del centro, que deben validar los textos legales antes de su publicación definitiva.</w:t>
            </w:r>
          </w:p>
        </w:tc>
      </w:tr>
    </w:tbl>
    <w:p>
      <w:pPr>
        <w:pStyle w:val="BodyText"/>
        <w:bidi w:val="0"/>
        <w:spacing w:before="0" w:after="140"/>
        <w:jc w:val="left"/>
        <w:rPr/>
      </w:pPr>
      <w:r>
        <w:rPr/>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altName w:val="sans-serif"/>
    <w:charset w:val="00"/>
    <w:family w:val="auto"/>
    <w:pitch w:val="default"/>
  </w:font>
  <w:font w:name="Courier New">
    <w:altName w:val="monospace"/>
    <w:charset w:val="00"/>
    <w:family w:val="auto"/>
    <w:pitch w:val="default"/>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Arial;sans-serif" w:hAnsi="Arial;sans-serif" w:eastAsia="Arial;sans-serif" w:cs="Arial;sans-serif"/>
      <w:color w:val="2A2420"/>
      <w:sz w:val="21"/>
      <w:szCs w:val="21"/>
      <w:lang w:val="en-US" w:eastAsia="zh-CN" w:bidi="hi-IN"/>
    </w:rPr>
  </w:style>
  <w:style w:type="paragraph" w:styleId="Heading1">
    <w:name w:val="Heading 1"/>
    <w:basedOn w:val="Heading"/>
    <w:next w:val="BodyText"/>
    <w:qFormat/>
    <w:pPr>
      <w:spacing w:before="240" w:after="80"/>
      <w:outlineLvl w:val="0"/>
    </w:pPr>
    <w:rPr>
      <w:rFonts w:ascii="Arial;sans-serif" w:hAnsi="Arial;sans-serif" w:eastAsia="Arial;sans-serif" w:cs="Arial;sans-serif"/>
      <w:b/>
      <w:bCs/>
      <w:color w:val="171413"/>
      <w:sz w:val="44"/>
      <w:szCs w:val="44"/>
    </w:rPr>
  </w:style>
  <w:style w:type="paragraph" w:styleId="Heading2">
    <w:name w:val="Heading 2"/>
    <w:basedOn w:val="Heading"/>
    <w:next w:val="BodyText"/>
    <w:qFormat/>
    <w:pPr>
      <w:pBdr>
        <w:bottom w:val="single" w:sz="16" w:space="3" w:color="E39F7D"/>
      </w:pBdr>
      <w:spacing w:before="360" w:after="120"/>
      <w:outlineLvl w:val="1"/>
    </w:pPr>
    <w:rPr>
      <w:rFonts w:ascii="Arial;sans-serif" w:hAnsi="Arial;sans-serif" w:eastAsia="Arial;sans-serif" w:cs="Arial;sans-serif"/>
      <w:b/>
      <w:bCs/>
      <w:color w:val="A55435"/>
      <w:sz w:val="28"/>
      <w:szCs w:val="28"/>
    </w:rPr>
  </w:style>
  <w:style w:type="paragraph" w:styleId="Heading3">
    <w:name w:val="Heading 3"/>
    <w:basedOn w:val="Heading"/>
    <w:next w:val="BodyText"/>
    <w:qFormat/>
    <w:pPr>
      <w:spacing w:before="240" w:after="120"/>
      <w:outlineLvl w:val="2"/>
    </w:pPr>
    <w:rPr>
      <w:rFonts w:ascii="Arial;sans-serif" w:hAnsi="Arial;sans-serif" w:eastAsia="Arial;sans-serif" w:cs="Arial;sans-serif"/>
      <w:b/>
      <w:bCs/>
      <w:color w:val="171413"/>
      <w:sz w:val="23"/>
      <w:szCs w:val="23"/>
    </w:rPr>
  </w:style>
  <w:style w:type="character" w:styleId="SourceText">
    <w:name w:val="Source Text"/>
    <w:qFormat/>
    <w:rPr>
      <w:rFonts w:ascii="Courier New;monospace" w:hAnsi="Courier New;monospace" w:eastAsia="Courier New;monospace" w:cs="Courier New;monospace"/>
      <w:color w:val="A55435"/>
      <w:sz w:val="19"/>
      <w:szCs w:val="19"/>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Textsub">
    <w:name w:val="Body Text.sub"/>
    <w:basedOn w:val="BodyText"/>
    <w:qFormat/>
    <w:pPr>
      <w:spacing w:before="0" w:after="240"/>
    </w:pPr>
    <w:rPr>
      <w:color w:val="6B625B"/>
    </w:rPr>
  </w:style>
  <w:style w:type="paragraph" w:styleId="TableContents">
    <w:name w:val="Table Contents"/>
    <w:basedOn w:val="Normal"/>
    <w:qFormat/>
    <w:pPr>
      <w:widowControl w:val="false"/>
      <w:suppressLineNumbers/>
    </w:pPr>
    <w:rPr>
      <w:sz w:val="19"/>
      <w:szCs w:val="19"/>
    </w:rPr>
  </w:style>
  <w:style w:type="paragraph" w:styleId="TableHeading">
    <w:name w:val="Table Heading"/>
    <w:basedOn w:val="TableContents"/>
    <w:qFormat/>
    <w:pPr>
      <w:suppressLineNumbers/>
      <w:shd w:fill="171413" w:val="clear"/>
      <w:jc w:val="left"/>
    </w:pPr>
    <w:rPr>
      <w:b/>
      <w:bCs/>
      <w:color w:val="FFFFFF"/>
      <w:sz w:val="19"/>
      <w:szCs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Documentación de cumplimiento · ColaboraFP</dc:title>
</cp:coreProperties>
</file>

<file path=docProps/custom.xml><?xml version="1.0" encoding="utf-8"?>
<Properties xmlns="http://schemas.openxmlformats.org/officeDocument/2006/custom-properties" xmlns:vt="http://schemas.openxmlformats.org/officeDocument/2006/docPropsVTypes"/>
</file>