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787878"/>
          <w:sz w:val="16"/>
        </w:rPr>
        <w:t>D.O.N.N.A. TACTICAL OS // BRIEFING</w:t>
      </w:r>
    </w:p>
    <w:p>
      <w:pPr>
        <w:spacing w:before="80" w:after="80"/>
      </w:pPr>
      <w:r>
        <w:rPr>
          <w:rFonts w:ascii="Arial" w:hAnsi="Arial"/>
          <w:b/>
          <w:color w:val="142337"/>
          <w:sz w:val="40"/>
        </w:rPr>
        <w:t>Аналитический обзор: Research figure ai robot, prepare a report, and open it on screen</w:t>
      </w:r>
    </w:p>
    <w:p>
      <w:pPr>
        <w:spacing w:after="280"/>
      </w:pPr>
      <w:r>
        <w:rPr>
          <w:rFonts w:ascii="Calibri" w:hAnsi="Calibri"/>
          <w:i/>
          <w:color w:val="646E78"/>
          <w:sz w:val="20"/>
        </w:rPr>
        <w:t>Сводный отчёт на основе актуальных данных  •  27.08.2026 21:31</w:t>
      </w:r>
    </w:p>
    <w:p>
      <w:pPr>
        <w:spacing w:after="240"/>
      </w:pPr>
      <w:r>
        <w:rPr>
          <w:color w:val="C8AA3C"/>
        </w:rPr>
        <w:t>―――――――――――――――――――――――――――――――――――――――――――――</w:t>
      </w:r>
    </w:p>
    <w:p>
      <w:pPr>
        <w:spacing w:before="240" w:after="80"/>
      </w:pPr>
      <w:r>
        <w:rPr>
          <w:rFonts w:ascii="Arial" w:hAnsi="Arial"/>
          <w:b/>
          <w:color w:val="1E3C5F"/>
          <w:sz w:val="26"/>
        </w:rPr>
        <w:t>1. Ключевые положения и обзор</w:t>
      </w:r>
    </w:p>
    <w:p>
      <w:pPr>
        <w:spacing w:line="276" w:lineRule="auto" w:after="120"/>
      </w:pPr>
      <w:r>
        <w:rPr>
          <w:rFonts w:ascii="Calibri" w:hAnsi="Calibri"/>
          <w:color w:val="282828"/>
          <w:sz w:val="22"/>
        </w:rPr>
        <w:t>[Подробные выдержки из источников]</w:t>
        <w:br/>
        <w:t>[Статья: Figure.AI Archives - The Robot Report]</w:t>
        <w:br/>
        <w:t>Humanoid robots made many headlines in June 2026, whether it be for companies going public, new deployments, or hitting production milestones. The Figure 02 robot supported the production of more than 30,000 BMW X3 vehicles over 11 months in South Carolina. Atharv Kolhar, a staff test automation engineer at Figure AI, says the robotics industry needs a testing philosophy that scales alongside autonomy. Explore how vision-language-action models like Helix, GR00T N1, and RT-1 are enabling robots to understand instructions and act autonomously. LG debuts the CLOiD humanoid robot at CES 2026, a dual-armed home assistant designed to automate daily household chores. The return of RoboBusiness, whi</w:t>
        <w:br/>
        <w:t>(Источник: https://www.therobotreport.com/tag/figure-ai/)</w:t>
        <w:br/>
        <w:t>[Статья: Figure]</w:t>
        <w:br/>
        <w:t>Figure 03 is a general purpose humanoid robot for every day. Figure is using Helix, AI that enables it to navigate unpredictable, ever-changing home environments. Human-shaped and AI-powered, Figure handles household tasks the way you would. This site is protected by reCAPTCHA and the GooglePrivacy PolicyandTerms of Serviceapply.</w:t>
        <w:br/>
        <w:t>(Источник: https://www.figure.ai/)</w:t>
      </w:r>
    </w:p>
    <w:p>
      <w:pPr>
        <w:pStyle w:val="ListBullet"/>
        <w:spacing w:after="60" w:line="276" w:lineRule="auto"/>
      </w:pPr>
      <w:r>
        <w:rPr>
          <w:rFonts w:ascii="Calibri" w:hAnsi="Calibri"/>
          <w:color w:val="282828"/>
          <w:sz w:val="21"/>
        </w:rPr>
        <w:t>Сбор данных выполнен в реальном времени через поисковые алгоритмы D.O.N.N.A.</w:t>
      </w:r>
    </w:p>
    <w:p>
      <w:pPr>
        <w:pStyle w:val="ListBullet"/>
        <w:spacing w:after="60" w:line="276" w:lineRule="auto"/>
      </w:pPr>
      <w:r>
        <w:rPr>
          <w:rFonts w:ascii="Calibri" w:hAnsi="Calibri"/>
          <w:color w:val="282828"/>
          <w:sz w:val="21"/>
        </w:rPr>
        <w:t>Информация актуализирована.</w:t>
      </w:r>
    </w:p>
    <w:p>
      <w:pPr>
        <w:spacing w:before="240" w:after="80"/>
      </w:pPr>
      <w:r>
        <w:rPr>
          <w:rFonts w:ascii="Arial" w:hAnsi="Arial"/>
          <w:b/>
          <w:color w:val="1E3C5F"/>
          <w:sz w:val="26"/>
        </w:rPr>
        <w:t>2. Детальный анализ и факты</w:t>
      </w:r>
    </w:p>
    <w:p>
      <w:pPr>
        <w:spacing w:line="276" w:lineRule="auto" w:after="120"/>
      </w:pPr>
      <w:r>
        <w:rPr>
          <w:rFonts w:ascii="Calibri" w:hAnsi="Calibri"/>
          <w:color w:val="282828"/>
          <w:sz w:val="22"/>
        </w:rPr>
        <w:t>Дополнительные источники:</w:t>
        <w:br/>
        <w:t>1. Figure.AI Archives - The Robot Report - https://www.therobotreport.com/tag/figure-ai/</w:t>
        <w:br/>
        <w:t>2. Figure - https://www.figure.ai/</w:t>
        <w:br/>
        <w:t>3. Figure AI: Assessing the OpenAI-Backed Humanoid from Prototype to ... - https://robotwale.com/article/figure-ai-industry-profile</w:t>
        <w:br/>
        <w:t>4. Figure AI: Assessing the Backing, Hardware, and Deployment Reality of ... - https://www.robotwale.com/article/figure-ai-humanoid-robot-analysis</w:t>
        <w:br/>
        <w:t>5. Figure AI Explained: Brett Adcock's $39B Humanoid Robot (2026) - https://beginnersinai.org/figure-ai-explained/</w:t>
      </w:r>
    </w:p>
    <w:p>
      <w:pPr>
        <w:pStyle w:val="ListBullet"/>
        <w:spacing w:after="60" w:line="276" w:lineRule="auto"/>
      </w:pPr>
      <w:r>
        <w:rPr>
          <w:rFonts w:ascii="Calibri" w:hAnsi="Calibri"/>
          <w:color w:val="282828"/>
          <w:sz w:val="21"/>
        </w:rPr>
        <w:t>Технологические особенности и архитектура</w:t>
      </w:r>
    </w:p>
    <w:p>
      <w:pPr>
        <w:pStyle w:val="ListBullet"/>
        <w:spacing w:after="60" w:line="276" w:lineRule="auto"/>
      </w:pPr>
      <w:r>
        <w:rPr>
          <w:rFonts w:ascii="Calibri" w:hAnsi="Calibri"/>
          <w:color w:val="282828"/>
          <w:sz w:val="21"/>
        </w:rPr>
        <w:t>Сравнение ключевых показателей эффективности</w:t>
      </w:r>
    </w:p>
    <w:p>
      <w:pPr>
        <w:spacing w:before="240" w:after="80"/>
      </w:pPr>
      <w:r>
        <w:rPr>
          <w:rFonts w:ascii="Arial" w:hAnsi="Arial"/>
          <w:b/>
          <w:color w:val="1E3C5F"/>
          <w:sz w:val="26"/>
        </w:rPr>
        <w:t>3. Выводы и рекомендации</w:t>
      </w:r>
    </w:p>
    <w:p>
      <w:pPr>
        <w:spacing w:line="276" w:lineRule="auto" w:after="120"/>
      </w:pPr>
      <w:r>
        <w:rPr>
          <w:rFonts w:ascii="Calibri" w:hAnsi="Calibri"/>
          <w:color w:val="282828"/>
          <w:sz w:val="22"/>
        </w:rPr>
        <w:t>Материал подготовлен для дальнейшего стратегического использования.</w:t>
      </w:r>
    </w:p>
    <w:p>
      <w:pPr>
        <w:spacing w:before="400"/>
      </w:pPr>
      <w:r>
        <w:rPr>
          <w:rFonts w:ascii="Calibri" w:hAnsi="Calibri"/>
          <w:i/>
          <w:color w:val="8C8C8C"/>
          <w:sz w:val="17"/>
        </w:rPr>
        <w:t>Подготовлено автономным ассистентом Донна (D.O.N.N.A.)</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