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0"/>
        <w:jc w:val="center"/>
      </w:pPr>
      <w:r>
        <w:rPr>
          <w:rFonts w:ascii="Calibri" w:cs="Calibri" w:eastAsia="Calibri" w:hAnsi="Calibri"/>
          <w:b/>
          <w:bCs/>
          <w:color w:val="1B3A5C"/>
          <w:sz w:val="56"/>
          <w:szCs w:val="56"/>
        </w:rPr>
        <w:t xml:space="preserve">CC KPI TRACKER</w:t>
      </w:r>
    </w:p>
    <w:p>
      <w:pPr>
        <w:spacing w:after="200"/>
        <w:jc w:val="center"/>
      </w:pPr>
      <w:r>
        <w:rPr>
          <w:rFonts w:ascii="Calibri" w:cs="Calibri" w:eastAsia="Calibri" w:hAnsi="Calibri"/>
          <w:color w:val="2E75B6"/>
          <w:sz w:val="36"/>
          <w:szCs w:val="36"/>
        </w:rPr>
        <w:t xml:space="preserve">Performance Management System</w:t>
      </w:r>
    </w:p>
    <w:p>
      <w:pPr>
        <w:pBdr>
          <w:top w:val="single" w:color="0D9488" w:sz="4" w:space="12"/>
        </w:pBdr>
        <w:spacing w:after="60"/>
        <w:jc w:val="center"/>
      </w:pPr>
    </w:p>
    <w:p>
      <w:pPr>
        <w:spacing w:after="100"/>
        <w:jc w:val="center"/>
      </w:pPr>
      <w:r>
        <w:rPr>
          <w:rFonts w:ascii="Calibri" w:cs="Calibri" w:eastAsia="Calibri" w:hAnsi="Calibri"/>
          <w:color w:val="475569"/>
          <w:sz w:val="28"/>
          <w:szCs w:val="28"/>
        </w:rPr>
        <w:t xml:space="preserve">Data Architecture &amp; Business Guide</w:t>
      </w:r>
    </w:p>
    <w:p>
      <w:pPr>
        <w:spacing w:after="400"/>
      </w:pPr>
    </w:p>
    <w:p>
      <w:pPr>
        <w:spacing w:after="60"/>
        <w:jc w:val="center"/>
      </w:pPr>
      <w:r>
        <w:rPr>
          <w:rFonts w:ascii="Calibri" w:cs="Calibri" w:eastAsia="Calibri" w:hAnsi="Calibri"/>
          <w:b/>
          <w:bCs/>
          <w:color w:val="1E293B"/>
          <w:sz w:val="24"/>
          <w:szCs w:val="24"/>
        </w:rPr>
        <w:t xml:space="preserve">Cost Control Department</w:t>
      </w:r>
    </w:p>
    <w:p>
      <w:pPr>
        <w:spacing w:after="60"/>
        <w:jc w:val="center"/>
      </w:pPr>
      <w:r>
        <w:rPr>
          <w:rFonts w:ascii="Calibri" w:cs="Calibri" w:eastAsia="Calibri" w:hAnsi="Calibri"/>
          <w:color w:val="475569"/>
          <w:sz w:val="24"/>
          <w:szCs w:val="24"/>
        </w:rPr>
        <w:t xml:space="preserve">Elsewedy Electric</w:t>
      </w:r>
    </w:p>
    <w:p>
      <w:pPr>
        <w:spacing w:after="1800"/>
      </w:pPr>
    </w:p>
    <w:p>
      <w:pPr>
        <w:spacing w:after="60"/>
        <w:jc w:val="center"/>
      </w:pPr>
      <w:r>
        <w:rPr>
          <w:rFonts w:ascii="Calibri" w:cs="Calibri" w:eastAsia="Calibri" w:hAnsi="Calibri"/>
          <w:color w:val="94A3B8"/>
          <w:sz w:val="20"/>
          <w:szCs w:val="20"/>
        </w:rPr>
        <w:t xml:space="preserve">Document Version 1.0</w:t>
      </w:r>
    </w:p>
    <w:p>
      <w:pPr>
        <w:spacing w:after="60"/>
        <w:jc w:val="center"/>
      </w:pPr>
      <w:r>
        <w:rPr>
          <w:rFonts w:ascii="Calibri" w:cs="Calibri" w:eastAsia="Calibri" w:hAnsi="Calibri"/>
          <w:color w:val="94A3B8"/>
          <w:sz w:val="20"/>
          <w:szCs w:val="20"/>
        </w:rPr>
        <w:t xml:space="preserve">March 2026</w:t>
      </w:r>
    </w:p>
    <w:p>
      <w:pPr>
        <w:spacing w:after="0"/>
        <w:jc w:val="center"/>
      </w:pPr>
      <w:r>
        <w:rPr>
          <w:rFonts w:ascii="Calibri" w:cs="Calibri" w:eastAsia="Calibri" w:hAnsi="Calibri"/>
          <w:i/>
          <w:iCs/>
          <w:color w:val="94A3B8"/>
          <w:sz w:val="20"/>
          <w:szCs w:val="20"/>
        </w:rPr>
        <w:t xml:space="preserve">Confidential — For Internal Use Only</w:t>
      </w:r>
    </w:p>
    <w:p>
      <w:r>
        <w:br w:type="page"/>
      </w:r>
    </w:p>
    <w:p>
      <w:pPr>
        <w:pStyle w:val="Heading1"/>
      </w:pPr>
      <w:r>
        <w:t xml:space="preserve">Table of Contents</w:t>
      </w:r>
    </w:p>
    <w:p>
      <w:pPr>
        <w:spacing w:after="100"/>
      </w:pPr>
    </w:p>
    <w:p>
      <w:pPr>
        <w:tabs>
          <w:tab w:val="right" w:pos="8800"/>
        </w:tabs>
        <w:spacing w:after="80"/>
      </w:pPr>
      <w:r>
        <w:rPr>
          <w:rFonts w:ascii="Calibri" w:cs="Calibri" w:eastAsia="Calibri" w:hAnsi="Calibri"/>
          <w:b/>
          <w:bCs/>
          <w:color w:val="2E75B6"/>
          <w:sz w:val="22"/>
          <w:szCs w:val="22"/>
        </w:rPr>
        <w:t xml:space="preserve">1.  </w:t>
      </w:r>
      <w:r>
        <w:rPr>
          <w:rFonts w:ascii="Calibri" w:cs="Calibri" w:eastAsia="Calibri" w:hAnsi="Calibri"/>
          <w:color w:val="1E293B"/>
          <w:sz w:val="22"/>
          <w:szCs w:val="22"/>
        </w:rPr>
        <w:t xml:space="preserve">What This System Does</w:t>
      </w:r>
    </w:p>
    <w:p>
      <w:pPr>
        <w:tabs>
          <w:tab w:val="right" w:pos="8800"/>
        </w:tabs>
        <w:spacing w:after="80"/>
      </w:pPr>
      <w:r>
        <w:rPr>
          <w:rFonts w:ascii="Calibri" w:cs="Calibri" w:eastAsia="Calibri" w:hAnsi="Calibri"/>
          <w:b/>
          <w:bCs/>
          <w:color w:val="2E75B6"/>
          <w:sz w:val="22"/>
          <w:szCs w:val="22"/>
        </w:rPr>
        <w:t xml:space="preserve">2.  </w:t>
      </w:r>
      <w:r>
        <w:rPr>
          <w:rFonts w:ascii="Calibri" w:cs="Calibri" w:eastAsia="Calibri" w:hAnsi="Calibri"/>
          <w:color w:val="1E293B"/>
          <w:sz w:val="22"/>
          <w:szCs w:val="22"/>
        </w:rPr>
        <w:t xml:space="preserve">The Four Layers of Data</w:t>
      </w:r>
    </w:p>
    <w:p>
      <w:pPr>
        <w:tabs>
          <w:tab w:val="right" w:pos="8800"/>
        </w:tabs>
        <w:spacing w:after="80"/>
      </w:pPr>
      <w:r>
        <w:rPr>
          <w:rFonts w:ascii="Calibri" w:cs="Calibri" w:eastAsia="Calibri" w:hAnsi="Calibri"/>
          <w:b/>
          <w:bCs/>
          <w:color w:val="2E75B6"/>
          <w:sz w:val="22"/>
          <w:szCs w:val="22"/>
        </w:rPr>
        <w:t xml:space="preserve">3.  </w:t>
      </w:r>
      <w:r>
        <w:rPr>
          <w:rFonts w:ascii="Calibri" w:cs="Calibri" w:eastAsia="Calibri" w:hAnsi="Calibri"/>
          <w:color w:val="1E293B"/>
          <w:sz w:val="22"/>
          <w:szCs w:val="22"/>
        </w:rPr>
        <w:t xml:space="preserve">How Data Flows Through the System</w:t>
      </w:r>
    </w:p>
    <w:p>
      <w:pPr>
        <w:tabs>
          <w:tab w:val="right" w:pos="8800"/>
        </w:tabs>
        <w:spacing w:after="80"/>
      </w:pPr>
      <w:r>
        <w:rPr>
          <w:rFonts w:ascii="Calibri" w:cs="Calibri" w:eastAsia="Calibri" w:hAnsi="Calibri"/>
          <w:b/>
          <w:bCs/>
          <w:color w:val="2E75B6"/>
          <w:sz w:val="22"/>
          <w:szCs w:val="22"/>
        </w:rPr>
        <w:t xml:space="preserve">4.  </w:t>
      </w:r>
      <w:r>
        <w:rPr>
          <w:rFonts w:ascii="Calibri" w:cs="Calibri" w:eastAsia="Calibri" w:hAnsi="Calibri"/>
          <w:color w:val="1E293B"/>
          <w:sz w:val="22"/>
          <w:szCs w:val="22"/>
        </w:rPr>
        <w:t xml:space="preserve">How the Scoring Works</w:t>
      </w:r>
    </w:p>
    <w:p>
      <w:pPr>
        <w:tabs>
          <w:tab w:val="right" w:pos="8800"/>
        </w:tabs>
        <w:spacing w:after="80"/>
      </w:pPr>
      <w:r>
        <w:rPr>
          <w:rFonts w:ascii="Calibri" w:cs="Calibri" w:eastAsia="Calibri" w:hAnsi="Calibri"/>
          <w:b/>
          <w:bCs/>
          <w:color w:val="2E75B6"/>
          <w:sz w:val="22"/>
          <w:szCs w:val="22"/>
        </w:rPr>
        <w:t xml:space="preserve">5.  </w:t>
      </w:r>
      <w:r>
        <w:rPr>
          <w:rFonts w:ascii="Calibri" w:cs="Calibri" w:eastAsia="Calibri" w:hAnsi="Calibri"/>
          <w:color w:val="1E293B"/>
          <w:sz w:val="22"/>
          <w:szCs w:val="22"/>
        </w:rPr>
        <w:t xml:space="preserve">The Six Pillars of Performance</w:t>
      </w:r>
    </w:p>
    <w:p>
      <w:pPr>
        <w:tabs>
          <w:tab w:val="right" w:pos="8800"/>
        </w:tabs>
        <w:spacing w:after="80"/>
      </w:pPr>
      <w:r>
        <w:rPr>
          <w:rFonts w:ascii="Calibri" w:cs="Calibri" w:eastAsia="Calibri" w:hAnsi="Calibri"/>
          <w:b/>
          <w:bCs/>
          <w:color w:val="2E75B6"/>
          <w:sz w:val="22"/>
          <w:szCs w:val="22"/>
        </w:rPr>
        <w:t xml:space="preserve">6.  </w:t>
      </w:r>
      <w:r>
        <w:rPr>
          <w:rFonts w:ascii="Calibri" w:cs="Calibri" w:eastAsia="Calibri" w:hAnsi="Calibri"/>
          <w:color w:val="1E293B"/>
          <w:sz w:val="22"/>
          <w:szCs w:val="22"/>
        </w:rPr>
        <w:t xml:space="preserve">Job Levels and Why They Matter</w:t>
      </w:r>
    </w:p>
    <w:p>
      <w:pPr>
        <w:tabs>
          <w:tab w:val="right" w:pos="8800"/>
        </w:tabs>
        <w:spacing w:after="80"/>
      </w:pPr>
      <w:r>
        <w:rPr>
          <w:rFonts w:ascii="Calibri" w:cs="Calibri" w:eastAsia="Calibri" w:hAnsi="Calibri"/>
          <w:b/>
          <w:bCs/>
          <w:color w:val="2E75B6"/>
          <w:sz w:val="22"/>
          <w:szCs w:val="22"/>
        </w:rPr>
        <w:t xml:space="preserve">7.  </w:t>
      </w:r>
      <w:r>
        <w:rPr>
          <w:rFonts w:ascii="Calibri" w:cs="Calibri" w:eastAsia="Calibri" w:hAnsi="Calibri"/>
          <w:color w:val="1E293B"/>
          <w:sz w:val="22"/>
          <w:szCs w:val="22"/>
        </w:rPr>
        <w:t xml:space="preserve">Who Sees What — Access and Visibility</w:t>
      </w:r>
    </w:p>
    <w:p>
      <w:pPr>
        <w:tabs>
          <w:tab w:val="right" w:pos="8800"/>
        </w:tabs>
        <w:spacing w:after="80"/>
      </w:pPr>
      <w:r>
        <w:rPr>
          <w:rFonts w:ascii="Calibri" w:cs="Calibri" w:eastAsia="Calibri" w:hAnsi="Calibri"/>
          <w:b/>
          <w:bCs/>
          <w:color w:val="2E75B6"/>
          <w:sz w:val="22"/>
          <w:szCs w:val="22"/>
        </w:rPr>
        <w:t xml:space="preserve">8.  </w:t>
      </w:r>
      <w:r>
        <w:rPr>
          <w:rFonts w:ascii="Calibri" w:cs="Calibri" w:eastAsia="Calibri" w:hAnsi="Calibri"/>
          <w:color w:val="1E293B"/>
          <w:sz w:val="22"/>
          <w:szCs w:val="22"/>
        </w:rPr>
        <w:t xml:space="preserve">The AI Assistant</w:t>
      </w:r>
    </w:p>
    <w:p>
      <w:pPr>
        <w:tabs>
          <w:tab w:val="right" w:pos="8800"/>
        </w:tabs>
        <w:spacing w:after="80"/>
      </w:pPr>
      <w:r>
        <w:rPr>
          <w:rFonts w:ascii="Calibri" w:cs="Calibri" w:eastAsia="Calibri" w:hAnsi="Calibri"/>
          <w:b/>
          <w:bCs/>
          <w:color w:val="2E75B6"/>
          <w:sz w:val="22"/>
          <w:szCs w:val="22"/>
        </w:rPr>
        <w:t xml:space="preserve">9.  </w:t>
      </w:r>
      <w:r>
        <w:rPr>
          <w:rFonts w:ascii="Calibri" w:cs="Calibri" w:eastAsia="Calibri" w:hAnsi="Calibri"/>
          <w:color w:val="1E293B"/>
          <w:sz w:val="22"/>
          <w:szCs w:val="22"/>
        </w:rPr>
        <w:t xml:space="preserve">Evidence and Document Management</w:t>
      </w:r>
    </w:p>
    <w:p>
      <w:pPr>
        <w:tabs>
          <w:tab w:val="right" w:pos="8800"/>
        </w:tabs>
        <w:spacing w:after="80"/>
      </w:pPr>
      <w:r>
        <w:rPr>
          <w:rFonts w:ascii="Calibri" w:cs="Calibri" w:eastAsia="Calibri" w:hAnsi="Calibri"/>
          <w:b/>
          <w:bCs/>
          <w:color w:val="2E75B6"/>
          <w:sz w:val="22"/>
          <w:szCs w:val="22"/>
        </w:rPr>
        <w:t xml:space="preserve">10.  </w:t>
      </w:r>
      <w:r>
        <w:rPr>
          <w:rFonts w:ascii="Calibri" w:cs="Calibri" w:eastAsia="Calibri" w:hAnsi="Calibri"/>
          <w:color w:val="1E293B"/>
          <w:sz w:val="22"/>
          <w:szCs w:val="22"/>
        </w:rPr>
        <w:t xml:space="preserve">What Happens When Things Go Wrong</w:t>
      </w:r>
    </w:p>
    <w:p>
      <w:pPr>
        <w:tabs>
          <w:tab w:val="right" w:pos="8800"/>
        </w:tabs>
        <w:spacing w:after="80"/>
      </w:pPr>
      <w:r>
        <w:rPr>
          <w:rFonts w:ascii="Calibri" w:cs="Calibri" w:eastAsia="Calibri" w:hAnsi="Calibri"/>
          <w:b/>
          <w:bCs/>
          <w:color w:val="2E75B6"/>
          <w:sz w:val="22"/>
          <w:szCs w:val="22"/>
        </w:rPr>
        <w:t xml:space="preserve">11.  </w:t>
      </w:r>
      <w:r>
        <w:rPr>
          <w:rFonts w:ascii="Calibri" w:cs="Calibri" w:eastAsia="Calibri" w:hAnsi="Calibri"/>
          <w:color w:val="1E293B"/>
          <w:sz w:val="22"/>
          <w:szCs w:val="22"/>
        </w:rPr>
        <w:t xml:space="preserve">The Audit Trail</w:t>
      </w:r>
    </w:p>
    <w:p>
      <w:pPr>
        <w:tabs>
          <w:tab w:val="right" w:pos="8800"/>
        </w:tabs>
        <w:spacing w:after="80"/>
      </w:pPr>
      <w:r>
        <w:rPr>
          <w:rFonts w:ascii="Calibri" w:cs="Calibri" w:eastAsia="Calibri" w:hAnsi="Calibri"/>
          <w:b/>
          <w:bCs/>
          <w:color w:val="2E75B6"/>
          <w:sz w:val="22"/>
          <w:szCs w:val="22"/>
        </w:rPr>
        <w:t xml:space="preserve">12.  </w:t>
      </w:r>
      <w:r>
        <w:rPr>
          <w:rFonts w:ascii="Calibri" w:cs="Calibri" w:eastAsia="Calibri" w:hAnsi="Calibri"/>
          <w:color w:val="1E293B"/>
          <w:sz w:val="22"/>
          <w:szCs w:val="22"/>
        </w:rPr>
        <w:t xml:space="preserve">Historical Data and Migration</w:t>
      </w:r>
    </w:p>
    <w:p>
      <w:pPr>
        <w:tabs>
          <w:tab w:val="right" w:pos="8800"/>
        </w:tabs>
        <w:spacing w:after="80"/>
      </w:pPr>
      <w:r>
        <w:rPr>
          <w:rFonts w:ascii="Calibri" w:cs="Calibri" w:eastAsia="Calibri" w:hAnsi="Calibri"/>
          <w:b/>
          <w:bCs/>
          <w:color w:val="2E75B6"/>
          <w:sz w:val="22"/>
          <w:szCs w:val="22"/>
        </w:rPr>
        <w:t xml:space="preserve">13.  </w:t>
      </w:r>
      <w:r>
        <w:rPr>
          <w:rFonts w:ascii="Calibri" w:cs="Calibri" w:eastAsia="Calibri" w:hAnsi="Calibri"/>
          <w:color w:val="1E293B"/>
          <w:sz w:val="22"/>
          <w:szCs w:val="22"/>
        </w:rPr>
        <w:t xml:space="preserve">Security and Data Protection</w:t>
      </w:r>
    </w:p>
    <w:p>
      <w:pPr>
        <w:tabs>
          <w:tab w:val="right" w:pos="8800"/>
        </w:tabs>
        <w:spacing w:after="80"/>
      </w:pPr>
      <w:r>
        <w:rPr>
          <w:rFonts w:ascii="Calibri" w:cs="Calibri" w:eastAsia="Calibri" w:hAnsi="Calibri"/>
          <w:b/>
          <w:bCs/>
          <w:color w:val="2E75B6"/>
          <w:sz w:val="22"/>
          <w:szCs w:val="22"/>
        </w:rPr>
        <w:t xml:space="preserve">14.  </w:t>
      </w:r>
      <w:r>
        <w:rPr>
          <w:rFonts w:ascii="Calibri" w:cs="Calibri" w:eastAsia="Calibri" w:hAnsi="Calibri"/>
          <w:color w:val="1E293B"/>
          <w:sz w:val="22"/>
          <w:szCs w:val="22"/>
        </w:rPr>
        <w:t xml:space="preserve">Business Value Summary</w:t>
      </w:r>
    </w:p>
    <w:p>
      <w:r>
        <w:br w:type="page"/>
      </w:r>
    </w:p>
    <w:p>
      <w:pPr>
        <w:pStyle w:val="Heading1"/>
      </w:pPr>
      <w:r>
        <w:t xml:space="preserve">1. What This System Does</w:t>
      </w:r>
    </w:p>
    <w:p>
      <w:pPr>
        <w:spacing w:after="60"/>
      </w:pPr>
    </w:p>
    <w:p>
      <w:pPr>
        <w:spacing w:after="160" w:line="300"/>
      </w:pPr>
      <w:r>
        <w:rPr>
          <w:rFonts w:ascii="Calibri" w:cs="Calibri" w:eastAsia="Calibri" w:hAnsi="Calibri"/>
          <w:color w:val="1E293B"/>
          <w:sz w:val="22"/>
          <w:szCs w:val="22"/>
        </w:rPr>
        <w:t xml:space="preserve">The CC KPI Tracker is a digital performance appraisal engine built specifically for the Cost Control department. It replaces the current process of collecting KPI numbers in Excel spreadsheets, manually calculating weighted scores, and producing appraisal reports by hand.</w:t>
      </w:r>
    </w:p>
    <w:p>
      <w:pPr>
        <w:spacing w:after="160" w:line="300"/>
      </w:pPr>
      <w:r>
        <w:rPr>
          <w:rFonts w:ascii="Calibri" w:cs="Calibri" w:eastAsia="Calibri" w:hAnsi="Calibri"/>
          <w:color w:val="1E293B"/>
          <w:sz w:val="22"/>
          <w:szCs w:val="22"/>
        </w:rPr>
        <w:t xml:space="preserve">The system automates the entire chain — from the moment an employee logs a performance number, through manager review and approval, all the way to a final appraisal band such as “Strong Performance” or “Needs Improvement.” Every calculation follows the exact rules defined in your SOP document (CC-SOP-KPI-001), with zero room for formula errors.</w:t>
      </w:r>
    </w:p>
    <w:p>
      <w:pPr>
        <w:spacing w:after="160" w:line="300"/>
      </w:pPr>
      <w:r>
        <w:rPr>
          <w:rFonts w:ascii="Calibri" w:cs="Calibri" w:eastAsia="Calibri" w:hAnsi="Calibri"/>
          <w:b/>
          <w:bCs/>
          <w:color w:val="1E293B"/>
          <w:sz w:val="22"/>
          <w:szCs w:val="22"/>
        </w:rPr>
        <w:t xml:space="preserve">In practical terms, this means: </w:t>
      </w:r>
      <w:r>
        <w:rPr>
          <w:rFonts w:ascii="Calibri" w:cs="Calibri" w:eastAsia="Calibri" w:hAnsi="Calibri"/>
          <w:color w:val="1E293B"/>
          <w:sz w:val="22"/>
          <w:szCs w:val="22"/>
        </w:rPr>
        <w:t xml:space="preserve">what used to take days of manual spreadsheet work at the end of each evaluation period becomes a single button click, with full transparency, traceability, and auditability built in.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sz="0"/>
              <w:left w:val="single" w:color="0D9488" w:sz="8"/>
              <w:bottom w:val="none" w:sz="0"/>
              <w:right w:val="none" w:sz="0"/>
            </w:tcBorders>
            <w:shd w:fill="F0FDFA" w:val="clear"/>
            <w:tcMar>
              <w:top w:type="dxa" w:w="0"/>
              <w:left w:type="dxa" w:w="0"/>
              <w:bottom w:type="dxa" w:w="0"/>
              <w:right w:type="dxa" w:w="0"/>
            </w:tcMar>
          </w:tcPr>
          <w:p>
            <w:pPr>
              <w:spacing w:after="0"/>
            </w:pPr>
          </w:p>
        </w:tc>
        <w:tc>
          <w:tcPr>
            <w:tcW w:type="dxa" w:w="8906"/>
            <w:tcBorders>
              <w:top w:val="none" w:sz="0"/>
              <w:left w:val="none" w:sz="0"/>
              <w:bottom w:val="none" w:sz="0"/>
              <w:right w:val="none" w:sz="0"/>
            </w:tcBorders>
            <w:shd w:fill="F0FDFA" w:val="clear"/>
            <w:tcMar>
              <w:top w:type="dxa" w:w="120"/>
              <w:left w:type="dxa" w:w="160"/>
              <w:bottom w:type="dxa" w:w="120"/>
              <w:right w:type="dxa" w:w="160"/>
            </w:tcMar>
          </w:tcPr>
          <w:p>
            <w:pPr>
              <w:spacing w:after="60"/>
            </w:pPr>
            <w:r>
              <w:rPr>
                <w:rFonts w:ascii="Calibri" w:cs="Calibri" w:eastAsia="Calibri" w:hAnsi="Calibri"/>
                <w:b/>
                <w:bCs/>
                <w:color w:val="0D9488"/>
                <w:sz w:val="20"/>
                <w:szCs w:val="20"/>
              </w:rPr>
              <w:t xml:space="preserve">The Core Promise</w:t>
            </w:r>
          </w:p>
          <w:p>
            <w:pPr>
              <w:spacing w:after="0" w:line="280"/>
            </w:pPr>
            <w:r>
              <w:rPr>
                <w:rFonts w:ascii="Calibri" w:cs="Calibri" w:eastAsia="Calibri" w:hAnsi="Calibri"/>
                <w:color w:val="1E293B"/>
                <w:sz w:val="20"/>
                <w:szCs w:val="20"/>
              </w:rPr>
              <w:t xml:space="preserve">No manual calculations. No version-control problems with shared Excel files. No disputes about which formula was used. The scoring logic is defined once, tested exhaustively, and applied consistently to every employee, every month.</w:t>
            </w:r>
          </w:p>
        </w:tc>
      </w:tr>
    </w:tbl>
    <w:p>
      <w:pPr>
        <w:spacing w:after="100"/>
      </w:pPr>
    </w:p>
    <w:p>
      <w:pPr>
        <w:pStyle w:val="Heading2"/>
      </w:pPr>
      <w:r>
        <w:t xml:space="preserve">The Three Users of the System</w:t>
      </w:r>
    </w:p>
    <w:p>
      <w:pPr>
        <w:spacing w:after="40"/>
      </w:pPr>
    </w:p>
    <w:p>
      <w:pPr>
        <w:spacing w:after="160" w:line="300"/>
      </w:pPr>
      <w:r>
        <w:rPr>
          <w:rFonts w:ascii="Calibri" w:cs="Calibri" w:eastAsia="Calibri" w:hAnsi="Calibri"/>
          <w:color w:val="1E293B"/>
          <w:sz w:val="22"/>
          <w:szCs w:val="22"/>
        </w:rPr>
        <w:t xml:space="preserve">The system serves three distinct user groups, each with different responsibilities and different views of the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c>
          <w:tcPr>
            <w:tcW w:type="dxa" w:w="15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Role</w:t>
            </w:r>
          </w:p>
        </w:tc>
        <w:tc>
          <w:tcPr>
            <w:tcW w:type="dxa" w:w="2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Who They Are</w:t>
            </w:r>
          </w:p>
        </w:tc>
        <w:tc>
          <w:tcPr>
            <w:tcW w:type="dxa" w:w="47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They Do in the System</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Employee</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Cost Engineers, Analysts, Coordinators — anyone with assigned KPIs</w:t>
            </w:r>
          </w:p>
        </w:tc>
        <w:tc>
          <w:tcPr>
            <w:tcW w:type="dxa" w:w="47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View their own dashboard and scores, submit actual performance numbers each month, upload evidence documents (reports, exports, screenshots), track deadlines, and ask the AI assistant questions about their performance</w:t>
            </w:r>
          </w:p>
        </w:tc>
      </w:tr>
      <w:tr>
        <w:tc>
          <w:tcPr>
            <w:tcW w:type="dxa" w:w="15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Manager</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Team Leads and Section Heads who oversee team members</w:t>
            </w:r>
          </w:p>
        </w:tc>
        <w:tc>
          <w:tcPr>
            <w:tcW w:type="dxa" w:w="47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Everything an Employee can do, plus: view all team members’ scores side by side on a department heatmap, drill into any individual’s details, review and approve (or reject) evidence submissions, export department-level reports</w:t>
            </w:r>
          </w:p>
        </w:tc>
      </w:tr>
      <w:tr>
        <w:tc>
          <w:tcPr>
            <w:tcW w:type="dxa" w:w="15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Admin</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Department or system administrators responsible for KPI governance</w:t>
            </w:r>
          </w:p>
        </w:tc>
        <w:tc>
          <w:tcPr>
            <w:tcW w:type="dxa" w:w="47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Everything above, plus: configure the 31 KPI definitions, targets, and weights; assign KPIs to employees; open and close evaluation periods; run the scoring engine; override individual scores (with mandatory justification); manage user accounts; import historical data</w:t>
            </w:r>
          </w:p>
        </w:tc>
      </w:tr>
    </w:tbl>
    <w:p>
      <w:r>
        <w:br w:type="page"/>
      </w:r>
    </w:p>
    <w:p>
      <w:pPr>
        <w:pStyle w:val="Heading1"/>
      </w:pPr>
      <w:r>
        <w:t xml:space="preserve">2. The Four Layers of Data</w:t>
      </w:r>
    </w:p>
    <w:p>
      <w:pPr>
        <w:spacing w:after="60"/>
      </w:pPr>
    </w:p>
    <w:p>
      <w:pPr>
        <w:spacing w:after="160" w:line="300"/>
      </w:pPr>
      <w:r>
        <w:rPr>
          <w:rFonts w:ascii="Calibri" w:cs="Calibri" w:eastAsia="Calibri" w:hAnsi="Calibri"/>
          <w:color w:val="1E293B"/>
          <w:sz w:val="22"/>
          <w:szCs w:val="22"/>
        </w:rPr>
        <w:t xml:space="preserve">Think of the application as a building with four floors. Each floor handles a fundamentally different type of information, and each floor depends on the ones below it.</w:t>
      </w:r>
    </w:p>
    <w:p>
      <w:pPr>
        <w:spacing w:after="60"/>
      </w:pPr>
    </w:p>
    <w:p>
      <w:pPr>
        <w:pStyle w:val="Heading2"/>
      </w:pPr>
      <w:r>
        <w:t xml:space="preserve">Layer 1 — The Rules</w:t>
      </w:r>
    </w:p>
    <w:p>
      <w:pPr>
        <w:spacing w:after="160" w:line="300"/>
      </w:pPr>
      <w:r>
        <w:rPr>
          <w:rFonts w:ascii="Calibri" w:cs="Calibri" w:eastAsia="Calibri" w:hAnsi="Calibri"/>
          <w:b/>
          <w:bCs/>
          <w:color w:val="2E75B6"/>
          <w:sz w:val="22"/>
          <w:szCs w:val="22"/>
        </w:rPr>
        <w:t xml:space="preserve">Set once, rarely changed. </w:t>
      </w:r>
      <w:r>
        <w:rPr>
          <w:rFonts w:ascii="Calibri" w:cs="Calibri" w:eastAsia="Calibri" w:hAnsi="Calibri"/>
          <w:color w:val="1E293B"/>
          <w:sz w:val="22"/>
          <w:szCs w:val="22"/>
        </w:rPr>
        <w:t xml:space="preserve">This is the foundation of the entire system. It stores the structure of your appraisal framework — the things defined in your SOP document. These don’t change month to month. An administrator enters them during initial setup, and the system follows them automatically from that point forward.</w:t>
      </w:r>
    </w:p>
    <w:p>
      <w:pPr>
        <w:spacing w:after="160" w:line="300"/>
      </w:pPr>
      <w:r>
        <w:rPr>
          <w:rFonts w:ascii="Calibri" w:cs="Calibri" w:eastAsia="Calibri" w:hAnsi="Calibri"/>
          <w:color w:val="1E293B"/>
          <w:sz w:val="22"/>
          <w:szCs w:val="22"/>
        </w:rPr>
        <w:t xml:space="preserve">What lives in this layer:</w:t>
      </w:r>
    </w:p>
    <w:p>
      <w:pPr>
        <w:pStyle w:val="ListParagraph"/>
        <w:numPr>
          <w:ilvl w:val="0"/>
          <w:numId w:val="2"/>
        </w:numPr>
        <w:spacing w:after="80" w:line="280"/>
      </w:pPr>
      <w:r>
        <w:rPr>
          <w:rFonts w:ascii="Calibri" w:cs="Calibri" w:eastAsia="Calibri" w:hAnsi="Calibri"/>
          <w:b/>
          <w:bCs/>
          <w:color w:val="1E293B"/>
          <w:sz w:val="22"/>
          <w:szCs w:val="22"/>
        </w:rPr>
        <w:t xml:space="preserve">The 6 Pillars: </w:t>
      </w:r>
      <w:r>
        <w:rPr>
          <w:rFonts w:ascii="Calibri" w:cs="Calibri" w:eastAsia="Calibri" w:hAnsi="Calibri"/>
          <w:color w:val="1E293B"/>
          <w:sz w:val="22"/>
          <w:szCs w:val="22"/>
        </w:rPr>
        <w:t xml:space="preserve">Cost Management, Governance &amp; Compliance, Reporting &amp; Analytics, Stakeholder Engagement, Compliance &amp; Professional Standards, and Professional Development</w:t>
      </w:r>
    </w:p>
    <w:p>
      <w:pPr>
        <w:pStyle w:val="ListParagraph"/>
        <w:numPr>
          <w:ilvl w:val="0"/>
          <w:numId w:val="2"/>
        </w:numPr>
        <w:spacing w:after="80" w:line="280"/>
      </w:pPr>
      <w:r>
        <w:rPr>
          <w:rFonts w:ascii="Calibri" w:cs="Calibri" w:eastAsia="Calibri" w:hAnsi="Calibri"/>
          <w:b/>
          <w:bCs/>
          <w:color w:val="1E293B"/>
          <w:sz w:val="22"/>
          <w:szCs w:val="22"/>
        </w:rPr>
        <w:t xml:space="preserve">The 31 KPI Definitions: </w:t>
      </w:r>
      <w:r>
        <w:rPr>
          <w:rFonts w:ascii="Calibri" w:cs="Calibri" w:eastAsia="Calibri" w:hAnsi="Calibri"/>
          <w:color w:val="1E293B"/>
          <w:sz w:val="22"/>
          <w:szCs w:val="22"/>
        </w:rPr>
        <w:t xml:space="preserve">each with a unique code (e.g., A1.1 for “Approval On-Time %”), a description, a measurement direction (higher is better, lower is better, or pass/fail), and which pillar it belongs to</w:t>
      </w:r>
    </w:p>
    <w:p>
      <w:pPr>
        <w:pStyle w:val="ListParagraph"/>
        <w:numPr>
          <w:ilvl w:val="0"/>
          <w:numId w:val="2"/>
        </w:numPr>
        <w:spacing w:after="80" w:line="280"/>
      </w:pPr>
      <w:r>
        <w:rPr>
          <w:rFonts w:ascii="Calibri" w:cs="Calibri" w:eastAsia="Calibri" w:hAnsi="Calibri"/>
          <w:b/>
          <w:bCs/>
          <w:color w:val="1E293B"/>
          <w:sz w:val="22"/>
          <w:szCs w:val="22"/>
        </w:rPr>
        <w:t xml:space="preserve">Target Values: </w:t>
      </w:r>
      <w:r>
        <w:rPr>
          <w:rFonts w:ascii="Calibri" w:cs="Calibri" w:eastAsia="Calibri" w:hAnsi="Calibri"/>
          <w:color w:val="1E293B"/>
          <w:sz w:val="22"/>
          <w:szCs w:val="22"/>
        </w:rPr>
        <w:t xml:space="preserve">what “good” looks like for each KPI at each job level. A Junior Engineer might have a target of 90% for invoice approval, while a Section Head has a target of 97%</w:t>
      </w:r>
    </w:p>
    <w:p>
      <w:pPr>
        <w:pStyle w:val="ListParagraph"/>
        <w:numPr>
          <w:ilvl w:val="0"/>
          <w:numId w:val="2"/>
        </w:numPr>
        <w:spacing w:after="80" w:line="280"/>
      </w:pPr>
      <w:r>
        <w:rPr>
          <w:rFonts w:ascii="Calibri" w:cs="Calibri" w:eastAsia="Calibri" w:hAnsi="Calibri"/>
          <w:b/>
          <w:bCs/>
          <w:color w:val="1E293B"/>
          <w:sz w:val="22"/>
          <w:szCs w:val="22"/>
        </w:rPr>
        <w:t xml:space="preserve">Weights: </w:t>
      </w:r>
      <w:r>
        <w:rPr>
          <w:rFonts w:ascii="Calibri" w:cs="Calibri" w:eastAsia="Calibri" w:hAnsi="Calibri"/>
          <w:color w:val="1E293B"/>
          <w:sz w:val="22"/>
          <w:szCs w:val="22"/>
        </w:rPr>
        <w:t xml:space="preserve">how much each KPI counts within its pillar (sub-KPI weight), and how much each pillar counts in the overall score (pillar weight). These vary by job level.</w:t>
      </w:r>
    </w:p>
    <w:p>
      <w:pPr>
        <w:pStyle w:val="ListParagraph"/>
        <w:numPr>
          <w:ilvl w:val="0"/>
          <w:numId w:val="2"/>
        </w:numPr>
        <w:spacing w:after="80" w:line="280"/>
      </w:pPr>
      <w:r>
        <w:rPr>
          <w:rFonts w:ascii="Calibri" w:cs="Calibri" w:eastAsia="Calibri" w:hAnsi="Calibri"/>
          <w:b/>
          <w:bCs/>
          <w:color w:val="1E293B"/>
          <w:sz w:val="22"/>
          <w:szCs w:val="22"/>
        </w:rPr>
        <w:t xml:space="preserve">Alpha Blending Ratios: </w:t>
      </w:r>
      <w:r>
        <w:rPr>
          <w:rFonts w:ascii="Calibri" w:cs="Calibri" w:eastAsia="Calibri" w:hAnsi="Calibri"/>
          <w:color w:val="1E293B"/>
          <w:sz w:val="22"/>
          <w:szCs w:val="22"/>
        </w:rPr>
        <w:t xml:space="preserve">for Team Leads and Section Heads only — the percentage split between personal performance and team performance. For example, Pillar A might be 45% team / 55% personal for a Team Lead.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sz="0"/>
              <w:left w:val="single" w:color="0D9488" w:sz="8"/>
              <w:bottom w:val="none" w:sz="0"/>
              <w:right w:val="none" w:sz="0"/>
            </w:tcBorders>
            <w:shd w:fill="F0FDFA" w:val="clear"/>
            <w:tcMar>
              <w:top w:type="dxa" w:w="0"/>
              <w:left w:type="dxa" w:w="0"/>
              <w:bottom w:type="dxa" w:w="0"/>
              <w:right w:type="dxa" w:w="0"/>
            </w:tcMar>
          </w:tcPr>
          <w:p>
            <w:pPr>
              <w:spacing w:after="0"/>
            </w:pPr>
          </w:p>
        </w:tc>
        <w:tc>
          <w:tcPr>
            <w:tcW w:type="dxa" w:w="8906"/>
            <w:tcBorders>
              <w:top w:val="none" w:sz="0"/>
              <w:left w:val="none" w:sz="0"/>
              <w:bottom w:val="none" w:sz="0"/>
              <w:right w:val="none" w:sz="0"/>
            </w:tcBorders>
            <w:shd w:fill="F0FDFA" w:val="clear"/>
            <w:tcMar>
              <w:top w:type="dxa" w:w="120"/>
              <w:left w:type="dxa" w:w="160"/>
              <w:bottom w:type="dxa" w:w="120"/>
              <w:right w:type="dxa" w:w="160"/>
            </w:tcMar>
          </w:tcPr>
          <w:p>
            <w:pPr>
              <w:spacing w:after="60"/>
            </w:pPr>
            <w:r>
              <w:rPr>
                <w:rFonts w:ascii="Calibri" w:cs="Calibri" w:eastAsia="Calibri" w:hAnsi="Calibri"/>
                <w:b/>
                <w:bCs/>
                <w:color w:val="0D9488"/>
                <w:sz w:val="20"/>
                <w:szCs w:val="20"/>
              </w:rPr>
              <w:t xml:space="preserve">Why This Layer Matters</w:t>
            </w:r>
          </w:p>
          <w:p>
            <w:pPr>
              <w:spacing w:after="0" w:line="280"/>
            </w:pPr>
            <w:r>
              <w:rPr>
                <w:rFonts w:ascii="Calibri" w:cs="Calibri" w:eastAsia="Calibri" w:hAnsi="Calibri"/>
                <w:color w:val="1E293B"/>
                <w:sz w:val="20"/>
                <w:szCs w:val="20"/>
              </w:rPr>
              <w:t xml:space="preserve">If any number in this layer is wrong — a target value, a weight, an alpha ratio — every score calculated by the system will be wrong. This is why the Admin must verify these values cell-by-cell against the SOP document before going live. Once verified, they become the single source of truth that replaces dozens of scattered Excel formulas.</w:t>
            </w:r>
          </w:p>
        </w:tc>
      </w:tr>
    </w:tbl>
    <w:p>
      <w:pPr>
        <w:spacing w:after="100"/>
      </w:pPr>
    </w:p>
    <w:p>
      <w:pPr>
        <w:pStyle w:val="Heading2"/>
      </w:pPr>
      <w:r>
        <w:t xml:space="preserve">Layer 2 — The People</w:t>
      </w:r>
    </w:p>
    <w:p>
      <w:pPr>
        <w:spacing w:after="160" w:line="300"/>
      </w:pPr>
      <w:r>
        <w:rPr>
          <w:rFonts w:ascii="Calibri" w:cs="Calibri" w:eastAsia="Calibri" w:hAnsi="Calibri"/>
          <w:b/>
          <w:bCs/>
          <w:color w:val="2E75B6"/>
          <w:sz w:val="22"/>
          <w:szCs w:val="22"/>
        </w:rPr>
        <w:t xml:space="preserve">Updated when someone joins, leaves, or changes role. </w:t>
      </w:r>
      <w:r>
        <w:rPr>
          <w:rFonts w:ascii="Calibri" w:cs="Calibri" w:eastAsia="Calibri" w:hAnsi="Calibri"/>
          <w:color w:val="1E293B"/>
          <w:sz w:val="22"/>
          <w:szCs w:val="22"/>
        </w:rPr>
        <w:t xml:space="preserve">This layer stores your organizational structure — who works in the department, what their job title and level are, who reports to whom, and which team they belong to.</w:t>
      </w:r>
    </w:p>
    <w:p>
      <w:pPr>
        <w:spacing w:after="160" w:line="300"/>
      </w:pPr>
      <w:r>
        <w:rPr>
          <w:rFonts w:ascii="Calibri" w:cs="Calibri" w:eastAsia="Calibri" w:hAnsi="Calibri"/>
          <w:color w:val="1E293B"/>
          <w:sz w:val="22"/>
          <w:szCs w:val="22"/>
        </w:rPr>
        <w:t xml:space="preserve">The system uses this information to determine:</w:t>
      </w:r>
    </w:p>
    <w:p>
      <w:pPr>
        <w:pStyle w:val="ListParagraph"/>
        <w:numPr>
          <w:ilvl w:val="0"/>
          <w:numId w:val="2"/>
        </w:numPr>
        <w:spacing w:after="80" w:line="280"/>
      </w:pPr>
      <w:r>
        <w:rPr>
          <w:rFonts w:ascii="Calibri" w:cs="Calibri" w:eastAsia="Calibri" w:hAnsi="Calibri"/>
          <w:b/>
          <w:bCs/>
          <w:color w:val="1E293B"/>
          <w:sz w:val="22"/>
          <w:szCs w:val="22"/>
        </w:rPr>
        <w:t xml:space="preserve">Which targets apply to each person </w:t>
      </w:r>
      <w:r>
        <w:rPr>
          <w:rFonts w:ascii="Calibri" w:cs="Calibri" w:eastAsia="Calibri" w:hAnsi="Calibri"/>
          <w:color w:val="1E293B"/>
          <w:sz w:val="22"/>
          <w:szCs w:val="22"/>
        </w:rPr>
        <w:t xml:space="preserve">— a Junior Engineer is measured against different numbers than a Section Head</w:t>
      </w:r>
    </w:p>
    <w:p>
      <w:pPr>
        <w:pStyle w:val="ListParagraph"/>
        <w:numPr>
          <w:ilvl w:val="0"/>
          <w:numId w:val="2"/>
        </w:numPr>
        <w:spacing w:after="80" w:line="280"/>
      </w:pPr>
      <w:r>
        <w:rPr>
          <w:rFonts w:ascii="Calibri" w:cs="Calibri" w:eastAsia="Calibri" w:hAnsi="Calibri"/>
          <w:b/>
          <w:bCs/>
          <w:color w:val="1E293B"/>
          <w:sz w:val="22"/>
          <w:szCs w:val="22"/>
        </w:rPr>
        <w:t xml:space="preserve">Which weights apply </w:t>
      </w:r>
      <w:r>
        <w:rPr>
          <w:rFonts w:ascii="Calibri" w:cs="Calibri" w:eastAsia="Calibri" w:hAnsi="Calibri"/>
          <w:color w:val="1E293B"/>
          <w:sz w:val="22"/>
          <w:szCs w:val="22"/>
        </w:rPr>
        <w:t xml:space="preserve">— the importance of each pillar shifts as you move up the hierarchy (Senior Engineers have different pillar weights than Team Leads)</w:t>
      </w:r>
    </w:p>
    <w:p>
      <w:pPr>
        <w:pStyle w:val="ListParagraph"/>
        <w:numPr>
          <w:ilvl w:val="0"/>
          <w:numId w:val="2"/>
        </w:numPr>
        <w:spacing w:after="80" w:line="280"/>
      </w:pPr>
      <w:r>
        <w:rPr>
          <w:rFonts w:ascii="Calibri" w:cs="Calibri" w:eastAsia="Calibri" w:hAnsi="Calibri"/>
          <w:b/>
          <w:bCs/>
          <w:color w:val="1E293B"/>
          <w:sz w:val="22"/>
          <w:szCs w:val="22"/>
        </w:rPr>
        <w:t xml:space="preserve">Team composition for leadership scoring </w:t>
      </w:r>
      <w:r>
        <w:rPr>
          <w:rFonts w:ascii="Calibri" w:cs="Calibri" w:eastAsia="Calibri" w:hAnsi="Calibri"/>
          <w:color w:val="1E293B"/>
          <w:sz w:val="22"/>
          <w:szCs w:val="22"/>
        </w:rPr>
        <w:t xml:space="preserve">— the system needs to know who belongs to whose team in order to calculate the team’s average performance for alpha blending</w:t>
      </w:r>
    </w:p>
    <w:p>
      <w:pPr>
        <w:pStyle w:val="ListParagraph"/>
        <w:numPr>
          <w:ilvl w:val="0"/>
          <w:numId w:val="2"/>
        </w:numPr>
        <w:spacing w:after="80" w:line="280"/>
      </w:pPr>
      <w:r>
        <w:rPr>
          <w:rFonts w:ascii="Calibri" w:cs="Calibri" w:eastAsia="Calibri" w:hAnsi="Calibri"/>
          <w:b/>
          <w:bCs/>
          <w:color w:val="1E293B"/>
          <w:sz w:val="22"/>
          <w:szCs w:val="22"/>
        </w:rPr>
        <w:t xml:space="preserve">Who can see whose data </w:t>
      </w:r>
      <w:r>
        <w:rPr>
          <w:rFonts w:ascii="Calibri" w:cs="Calibri" w:eastAsia="Calibri" w:hAnsi="Calibri"/>
          <w:color w:val="1E293B"/>
          <w:sz w:val="22"/>
          <w:szCs w:val="22"/>
        </w:rPr>
        <w:t xml:space="preserve">— managers can only view the people in their own department; employees can only see their own scores</w:t>
      </w:r>
    </w:p>
    <w:p>
      <w:pPr>
        <w:spacing w:after="100"/>
      </w:pPr>
    </w:p>
    <w:p>
      <w:pPr>
        <w:pStyle w:val="Heading2"/>
      </w:pPr>
      <w:r>
        <w:t xml:space="preserve">Layer 3 — The Monthly Input</w:t>
      </w:r>
    </w:p>
    <w:p>
      <w:pPr>
        <w:spacing w:after="160" w:line="300"/>
      </w:pPr>
      <w:r>
        <w:rPr>
          <w:rFonts w:ascii="Calibri" w:cs="Calibri" w:eastAsia="Calibri" w:hAnsi="Calibri"/>
          <w:b/>
          <w:bCs/>
          <w:color w:val="2E75B6"/>
          <w:sz w:val="22"/>
          <w:szCs w:val="22"/>
        </w:rPr>
        <w:t xml:space="preserve">New data every evaluation period. </w:t>
      </w:r>
      <w:r>
        <w:rPr>
          <w:rFonts w:ascii="Calibri" w:cs="Calibri" w:eastAsia="Calibri" w:hAnsi="Calibri"/>
          <w:color w:val="1E293B"/>
          <w:sz w:val="22"/>
          <w:szCs w:val="22"/>
        </w:rPr>
        <w:t xml:space="preserve">This is where the action happens each month (or quarter, depending on your evaluation cycle). Employees — or their managers — enter actual performance numbers. Did the invoice approval rate hit 95%? Was the forecast deviation under 5%? Did the employee pass the compliance audit?</w:t>
      </w:r>
    </w:p>
    <w:p>
      <w:pPr>
        <w:spacing w:after="160" w:line="300"/>
      </w:pPr>
      <w:r>
        <w:rPr>
          <w:rFonts w:ascii="Calibri" w:cs="Calibri" w:eastAsia="Calibri" w:hAnsi="Calibri"/>
          <w:color w:val="1E293B"/>
          <w:sz w:val="22"/>
          <w:szCs w:val="22"/>
        </w:rPr>
        <w:t xml:space="preserve">Each submission goes through a lifecycle:</w:t>
      </w:r>
    </w:p>
    <w:p>
      <w:pPr>
        <w:pStyle w:val="ListParagraph"/>
        <w:numPr>
          <w:ilvl w:val="0"/>
          <w:numId w:val="3"/>
        </w:numPr>
        <w:spacing w:after="80" w:line="280"/>
      </w:pPr>
      <w:r>
        <w:rPr>
          <w:rFonts w:ascii="Calibri" w:cs="Calibri" w:eastAsia="Calibri" w:hAnsi="Calibri"/>
          <w:b/>
          <w:bCs/>
          <w:color w:val="1E293B"/>
          <w:sz w:val="22"/>
          <w:szCs w:val="22"/>
        </w:rPr>
        <w:t xml:space="preserve">Draft: </w:t>
      </w:r>
      <w:r>
        <w:rPr>
          <w:rFonts w:ascii="Calibri" w:cs="Calibri" w:eastAsia="Calibri" w:hAnsi="Calibri"/>
          <w:color w:val="1E293B"/>
          <w:sz w:val="22"/>
          <w:szCs w:val="22"/>
        </w:rPr>
        <w:t xml:space="preserve">The employee prepares the submission but hasn’t submitted it yet</w:t>
      </w:r>
    </w:p>
    <w:p>
      <w:pPr>
        <w:pStyle w:val="ListParagraph"/>
        <w:numPr>
          <w:ilvl w:val="0"/>
          <w:numId w:val="3"/>
        </w:numPr>
        <w:spacing w:after="80" w:line="280"/>
      </w:pPr>
      <w:r>
        <w:rPr>
          <w:rFonts w:ascii="Calibri" w:cs="Calibri" w:eastAsia="Calibri" w:hAnsi="Calibri"/>
          <w:b/>
          <w:bCs/>
          <w:color w:val="1E293B"/>
          <w:sz w:val="22"/>
          <w:szCs w:val="22"/>
        </w:rPr>
        <w:t xml:space="preserve">Submitted: </w:t>
      </w:r>
      <w:r>
        <w:rPr>
          <w:rFonts w:ascii="Calibri" w:cs="Calibri" w:eastAsia="Calibri" w:hAnsi="Calibri"/>
          <w:color w:val="1E293B"/>
          <w:sz w:val="22"/>
          <w:szCs w:val="22"/>
        </w:rPr>
        <w:t xml:space="preserve">The employee sends the actual value along with supporting evidence (uploaded documents)</w:t>
      </w:r>
    </w:p>
    <w:p>
      <w:pPr>
        <w:pStyle w:val="ListParagraph"/>
        <w:numPr>
          <w:ilvl w:val="0"/>
          <w:numId w:val="3"/>
        </w:numPr>
        <w:spacing w:after="80" w:line="280"/>
      </w:pPr>
      <w:r>
        <w:rPr>
          <w:rFonts w:ascii="Calibri" w:cs="Calibri" w:eastAsia="Calibri" w:hAnsi="Calibri"/>
          <w:b/>
          <w:bCs/>
          <w:color w:val="1E293B"/>
          <w:sz w:val="22"/>
          <w:szCs w:val="22"/>
        </w:rPr>
        <w:t xml:space="preserve">Under Review: </w:t>
      </w:r>
      <w:r>
        <w:rPr>
          <w:rFonts w:ascii="Calibri" w:cs="Calibri" w:eastAsia="Calibri" w:hAnsi="Calibri"/>
          <w:color w:val="1E293B"/>
          <w:sz w:val="22"/>
          <w:szCs w:val="22"/>
        </w:rPr>
        <w:t xml:space="preserve">The manager inspects the evidence and validates the claimed number</w:t>
      </w:r>
    </w:p>
    <w:p>
      <w:pPr>
        <w:pStyle w:val="ListParagraph"/>
        <w:numPr>
          <w:ilvl w:val="0"/>
          <w:numId w:val="3"/>
        </w:numPr>
        <w:spacing w:after="80" w:line="280"/>
      </w:pPr>
      <w:r>
        <w:rPr>
          <w:rFonts w:ascii="Calibri" w:cs="Calibri" w:eastAsia="Calibri" w:hAnsi="Calibri"/>
          <w:b/>
          <w:bCs/>
          <w:color w:val="1E293B"/>
          <w:sz w:val="22"/>
          <w:szCs w:val="22"/>
        </w:rPr>
        <w:t xml:space="preserve">Approved: </w:t>
      </w:r>
      <w:r>
        <w:rPr>
          <w:rFonts w:ascii="Calibri" w:cs="Calibri" w:eastAsia="Calibri" w:hAnsi="Calibri"/>
          <w:color w:val="1E293B"/>
          <w:sz w:val="22"/>
          <w:szCs w:val="22"/>
        </w:rPr>
        <w:t xml:space="preserve">The manager confirms the submission — it’s now eligible for scoring</w:t>
      </w:r>
    </w:p>
    <w:p>
      <w:pPr>
        <w:pStyle w:val="ListParagraph"/>
        <w:numPr>
          <w:ilvl w:val="0"/>
          <w:numId w:val="3"/>
        </w:numPr>
        <w:spacing w:after="80" w:line="280"/>
      </w:pPr>
      <w:r>
        <w:rPr>
          <w:rFonts w:ascii="Calibri" w:cs="Calibri" w:eastAsia="Calibri" w:hAnsi="Calibri"/>
          <w:b/>
          <w:bCs/>
          <w:color w:val="1E293B"/>
          <w:sz w:val="22"/>
          <w:szCs w:val="22"/>
        </w:rPr>
        <w:t xml:space="preserve">Rejected: </w:t>
      </w:r>
      <w:r>
        <w:rPr>
          <w:rFonts w:ascii="Calibri" w:cs="Calibri" w:eastAsia="Calibri" w:hAnsi="Calibri"/>
          <w:color w:val="1E293B"/>
          <w:sz w:val="22"/>
          <w:szCs w:val="22"/>
        </w:rPr>
        <w:t xml:space="preserve">The manager returns it with comments — the employee must resubmit with corrections</w:t>
      </w:r>
    </w:p>
    <w:p>
      <w:pPr>
        <w:spacing w:after="40"/>
      </w:pPr>
    </w:p>
    <w:p>
      <w:pPr>
        <w:spacing w:after="160" w:line="300"/>
      </w:pPr>
      <w:r>
        <w:rPr>
          <w:rFonts w:ascii="Calibri" w:cs="Calibri" w:eastAsia="Calibri" w:hAnsi="Calibri"/>
          <w:color w:val="1E293B"/>
          <w:sz w:val="22"/>
          <w:szCs w:val="22"/>
        </w:rPr>
        <w:t xml:space="preserve">Only approved actuals are included in the scoring calculation. If a KPI has no approved actual for a period, it is excluded from the calculation entirely (the employee is not penalized for missing data, but the KPI simply doesn’t contribute to their score).</w:t>
      </w:r>
    </w:p>
    <w:p>
      <w:pPr>
        <w:spacing w:after="100"/>
      </w:pPr>
    </w:p>
    <w:p>
      <w:pPr>
        <w:pStyle w:val="Heading2"/>
      </w:pPr>
      <w:r>
        <w:t xml:space="preserve">Layer 4 — The Output</w:t>
      </w:r>
    </w:p>
    <w:p>
      <w:pPr>
        <w:spacing w:after="160" w:line="300"/>
      </w:pPr>
      <w:r>
        <w:rPr>
          <w:rFonts w:ascii="Calibri" w:cs="Calibri" w:eastAsia="Calibri" w:hAnsi="Calibri"/>
          <w:b/>
          <w:bCs/>
          <w:color w:val="2E75B6"/>
          <w:sz w:val="22"/>
          <w:szCs w:val="22"/>
        </w:rPr>
        <w:t xml:space="preserve">Calculated automatically. </w:t>
      </w:r>
      <w:r>
        <w:rPr>
          <w:rFonts w:ascii="Calibri" w:cs="Calibri" w:eastAsia="Calibri" w:hAnsi="Calibri"/>
          <w:color w:val="1E293B"/>
          <w:sz w:val="22"/>
          <w:szCs w:val="22"/>
        </w:rPr>
        <w:t xml:space="preserve">Once actuals are submitted and approved, the administrator presses one button and the system calculates everything: each KPI gets a score from 0 to 5, each pillar gets a weighted percentage, and the overall performance score determines the appraisal band. This layer replaces the spreadsheet formulas used today.</w:t>
      </w:r>
    </w:p>
    <w:p>
      <w:pPr>
        <w:spacing w:after="160" w:line="300"/>
      </w:pPr>
      <w:r>
        <w:rPr>
          <w:rFonts w:ascii="Calibri" w:cs="Calibri" w:eastAsia="Calibri" w:hAnsi="Calibri"/>
          <w:color w:val="1E293B"/>
          <w:sz w:val="22"/>
          <w:szCs w:val="22"/>
        </w:rPr>
        <w:t xml:space="preserve">The outputs include:</w:t>
      </w:r>
    </w:p>
    <w:p>
      <w:pPr>
        <w:pStyle w:val="ListParagraph"/>
        <w:numPr>
          <w:ilvl w:val="0"/>
          <w:numId w:val="2"/>
        </w:numPr>
        <w:spacing w:after="80" w:line="280"/>
      </w:pPr>
      <w:r>
        <w:rPr>
          <w:rFonts w:ascii="Calibri" w:cs="Calibri" w:eastAsia="Calibri" w:hAnsi="Calibri"/>
          <w:b/>
          <w:bCs/>
          <w:color w:val="1E293B"/>
          <w:sz w:val="22"/>
          <w:szCs w:val="22"/>
        </w:rPr>
        <w:t xml:space="preserve">Individual KPI scores </w:t>
      </w:r>
      <w:r>
        <w:rPr>
          <w:rFonts w:ascii="Calibri" w:cs="Calibri" w:eastAsia="Calibri" w:hAnsi="Calibri"/>
          <w:color w:val="1E293B"/>
          <w:sz w:val="22"/>
          <w:szCs w:val="22"/>
        </w:rPr>
        <w:t xml:space="preserve">(0–5 scale for each of the 31 KPIs)</w:t>
      </w:r>
    </w:p>
    <w:p>
      <w:pPr>
        <w:pStyle w:val="ListParagraph"/>
        <w:numPr>
          <w:ilvl w:val="0"/>
          <w:numId w:val="2"/>
        </w:numPr>
        <w:spacing w:after="80" w:line="280"/>
      </w:pPr>
      <w:r>
        <w:rPr>
          <w:rFonts w:ascii="Calibri" w:cs="Calibri" w:eastAsia="Calibri" w:hAnsi="Calibri"/>
          <w:b/>
          <w:bCs/>
          <w:color w:val="1E293B"/>
          <w:sz w:val="22"/>
          <w:szCs w:val="22"/>
        </w:rPr>
        <w:t xml:space="preserve">Pillar percentages </w:t>
      </w:r>
      <w:r>
        <w:rPr>
          <w:rFonts w:ascii="Calibri" w:cs="Calibri" w:eastAsia="Calibri" w:hAnsi="Calibri"/>
          <w:color w:val="1E293B"/>
          <w:sz w:val="22"/>
          <w:szCs w:val="22"/>
        </w:rPr>
        <w:t xml:space="preserve">(0–100% for each of the 6 pillars)</w:t>
      </w:r>
    </w:p>
    <w:p>
      <w:pPr>
        <w:pStyle w:val="ListParagraph"/>
        <w:numPr>
          <w:ilvl w:val="0"/>
          <w:numId w:val="2"/>
        </w:numPr>
        <w:spacing w:after="80" w:line="280"/>
      </w:pPr>
      <w:r>
        <w:rPr>
          <w:rFonts w:ascii="Calibri" w:cs="Calibri" w:eastAsia="Calibri" w:hAnsi="Calibri"/>
          <w:b/>
          <w:bCs/>
          <w:color w:val="1E293B"/>
          <w:sz w:val="22"/>
          <w:szCs w:val="22"/>
        </w:rPr>
        <w:t xml:space="preserve">Overall performance percentage </w:t>
      </w:r>
      <w:r>
        <w:rPr>
          <w:rFonts w:ascii="Calibri" w:cs="Calibri" w:eastAsia="Calibri" w:hAnsi="Calibri"/>
          <w:color w:val="1E293B"/>
          <w:sz w:val="22"/>
          <w:szCs w:val="22"/>
        </w:rPr>
        <w:t xml:space="preserve">(weighted combination of all pillar scores)</w:t>
      </w:r>
    </w:p>
    <w:p>
      <w:pPr>
        <w:pStyle w:val="ListParagraph"/>
        <w:numPr>
          <w:ilvl w:val="0"/>
          <w:numId w:val="2"/>
        </w:numPr>
        <w:spacing w:after="80" w:line="280"/>
      </w:pPr>
      <w:r>
        <w:rPr>
          <w:rFonts w:ascii="Calibri" w:cs="Calibri" w:eastAsia="Calibri" w:hAnsi="Calibri"/>
          <w:b/>
          <w:bCs/>
          <w:color w:val="1E293B"/>
          <w:sz w:val="22"/>
          <w:szCs w:val="22"/>
        </w:rPr>
        <w:t xml:space="preserve">Appraisal band </w:t>
      </w:r>
      <w:r>
        <w:rPr>
          <w:rFonts w:ascii="Calibri" w:cs="Calibri" w:eastAsia="Calibri" w:hAnsi="Calibri"/>
          <w:color w:val="1E293B"/>
          <w:sz w:val="22"/>
          <w:szCs w:val="22"/>
        </w:rPr>
        <w:t xml:space="preserve">(Exceeds, Strong, Meets, Needs Improvement, or Unsatisfactory)</w:t>
      </w:r>
    </w:p>
    <w:p>
      <w:pPr>
        <w:pStyle w:val="ListParagraph"/>
        <w:numPr>
          <w:ilvl w:val="0"/>
          <w:numId w:val="2"/>
        </w:numPr>
        <w:spacing w:after="80" w:line="280"/>
      </w:pPr>
      <w:r>
        <w:rPr>
          <w:rFonts w:ascii="Calibri" w:cs="Calibri" w:eastAsia="Calibri" w:hAnsi="Calibri"/>
          <w:b/>
          <w:bCs/>
          <w:color w:val="1E293B"/>
          <w:sz w:val="22"/>
          <w:szCs w:val="22"/>
        </w:rPr>
        <w:t xml:space="preserve">Trend data </w:t>
      </w:r>
      <w:r>
        <w:rPr>
          <w:rFonts w:ascii="Calibri" w:cs="Calibri" w:eastAsia="Calibri" w:hAnsi="Calibri"/>
          <w:color w:val="1E293B"/>
          <w:sz w:val="22"/>
          <w:szCs w:val="22"/>
        </w:rPr>
        <w:t xml:space="preserve">(how each score has changed over time, month by month)</w:t>
      </w:r>
    </w:p>
    <w:p>
      <w:pPr>
        <w:pStyle w:val="ListParagraph"/>
        <w:numPr>
          <w:ilvl w:val="0"/>
          <w:numId w:val="2"/>
        </w:numPr>
        <w:spacing w:after="80" w:line="280"/>
      </w:pPr>
      <w:r>
        <w:rPr>
          <w:rFonts w:ascii="Calibri" w:cs="Calibri" w:eastAsia="Calibri" w:hAnsi="Calibri"/>
          <w:b/>
          <w:bCs/>
          <w:color w:val="1E293B"/>
          <w:sz w:val="22"/>
          <w:szCs w:val="22"/>
        </w:rPr>
        <w:t xml:space="preserve">Exportable reports </w:t>
      </w:r>
      <w:r>
        <w:rPr>
          <w:rFonts w:ascii="Calibri" w:cs="Calibri" w:eastAsia="Calibri" w:hAnsi="Calibri"/>
          <w:color w:val="1E293B"/>
          <w:sz w:val="22"/>
          <w:szCs w:val="22"/>
        </w:rPr>
        <w:t xml:space="preserve">(PDF scorecards for individuals, Excel reports for departments)</w:t>
      </w:r>
    </w:p>
    <w:p>
      <w:r>
        <w:br w:type="page"/>
      </w:r>
    </w:p>
    <w:p>
      <w:pPr>
        <w:pStyle w:val="Heading1"/>
      </w:pPr>
      <w:r>
        <w:t xml:space="preserve">3. How Data Flows Through the System</w:t>
      </w:r>
    </w:p>
    <w:p>
      <w:pPr>
        <w:spacing w:after="60"/>
      </w:pPr>
    </w:p>
    <w:p>
      <w:pPr>
        <w:spacing w:after="160" w:line="300"/>
      </w:pPr>
      <w:r>
        <w:rPr>
          <w:rFonts w:ascii="Calibri" w:cs="Calibri" w:eastAsia="Calibri" w:hAnsi="Calibri"/>
          <w:color w:val="1E293B"/>
          <w:sz w:val="22"/>
          <w:szCs w:val="22"/>
        </w:rPr>
        <w:t xml:space="preserve">Here is the complete journey of data in a single evaluation period, from start to finish:</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3B82F6" w:sz="8"/>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80"/>
              <w:left w:type="dxa" w:w="160"/>
              <w:bottom w:type="dxa" w:w="100"/>
              <w:right w:type="dxa" w:w="80"/>
            </w:tcMar>
          </w:tcPr>
          <w:p>
            <w:pPr>
              <w:spacing w:after="20"/>
            </w:pPr>
            <w:r>
              <w:rPr>
                <w:rFonts w:ascii="Calibri" w:cs="Calibri" w:eastAsia="Calibri" w:hAnsi="Calibri"/>
                <w:color w:val="94A3B8"/>
                <w:sz w:val="18"/>
                <w:szCs w:val="18"/>
              </w:rPr>
              <w:t xml:space="preserve">Step 1  </w:t>
            </w:r>
            <w:r>
              <w:rPr>
                <w:rFonts w:ascii="Calibri" w:cs="Calibri" w:eastAsia="Calibri" w:hAnsi="Calibri"/>
                <w:b/>
                <w:bCs/>
                <w:color w:val="3B82F6"/>
                <w:sz w:val="22"/>
                <w:szCs w:val="22"/>
              </w:rPr>
              <w:t xml:space="preserve">Admin Opens the Period</w:t>
            </w:r>
          </w:p>
          <w:p>
            <w:pPr>
              <w:spacing w:after="0" w:line="280"/>
            </w:pPr>
            <w:r>
              <w:rPr>
                <w:rFonts w:ascii="Calibri" w:cs="Calibri" w:eastAsia="Calibri" w:hAnsi="Calibri"/>
                <w:color w:val="1E293B"/>
                <w:sz w:val="20"/>
                <w:szCs w:val="20"/>
              </w:rPr>
              <w:t xml:space="preserve">The administrator creates a new evaluation period (e.g., “January 2026”) and sets its start date, end date, and submission deadline. This activates the period for all employees.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8B5CF6" w:sz="8"/>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80"/>
              <w:left w:type="dxa" w:w="160"/>
              <w:bottom w:type="dxa" w:w="100"/>
              <w:right w:type="dxa" w:w="80"/>
            </w:tcMar>
          </w:tcPr>
          <w:p>
            <w:pPr>
              <w:spacing w:after="20"/>
            </w:pPr>
            <w:r>
              <w:rPr>
                <w:rFonts w:ascii="Calibri" w:cs="Calibri" w:eastAsia="Calibri" w:hAnsi="Calibri"/>
                <w:color w:val="94A3B8"/>
                <w:sz w:val="18"/>
                <w:szCs w:val="18"/>
              </w:rPr>
              <w:t xml:space="preserve">Step 2  </w:t>
            </w:r>
            <w:r>
              <w:rPr>
                <w:rFonts w:ascii="Calibri" w:cs="Calibri" w:eastAsia="Calibri" w:hAnsi="Calibri"/>
                <w:b/>
                <w:bCs/>
                <w:color w:val="8B5CF6"/>
                <w:sz w:val="22"/>
                <w:szCs w:val="22"/>
              </w:rPr>
              <w:t xml:space="preserve">Admin Assigns KPIs</w:t>
            </w:r>
          </w:p>
          <w:p>
            <w:pPr>
              <w:spacing w:after="0" w:line="280"/>
            </w:pPr>
            <w:r>
              <w:rPr>
                <w:rFonts w:ascii="Calibri" w:cs="Calibri" w:eastAsia="Calibri" w:hAnsi="Calibri"/>
                <w:color w:val="1E293B"/>
                <w:sz w:val="20"/>
                <w:szCs w:val="20"/>
              </w:rPr>
              <w:t xml:space="preserve">Each employee gets a set of KPIs assigned to them based on their job level. A Junior Engineer might get 8 KPIs; a Section Head might get 14. The assignment determines which KPIs appear on each person’s dashboard.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F59E0B" w:sz="8"/>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80"/>
              <w:left w:type="dxa" w:w="160"/>
              <w:bottom w:type="dxa" w:w="100"/>
              <w:right w:type="dxa" w:w="80"/>
            </w:tcMar>
          </w:tcPr>
          <w:p>
            <w:pPr>
              <w:spacing w:after="20"/>
            </w:pPr>
            <w:r>
              <w:rPr>
                <w:rFonts w:ascii="Calibri" w:cs="Calibri" w:eastAsia="Calibri" w:hAnsi="Calibri"/>
                <w:color w:val="94A3B8"/>
                <w:sz w:val="18"/>
                <w:szCs w:val="18"/>
              </w:rPr>
              <w:t xml:space="preserve">Step 3  </w:t>
            </w:r>
            <w:r>
              <w:rPr>
                <w:rFonts w:ascii="Calibri" w:cs="Calibri" w:eastAsia="Calibri" w:hAnsi="Calibri"/>
                <w:b/>
                <w:bCs/>
                <w:color w:val="F59E0B"/>
                <w:sz w:val="22"/>
                <w:szCs w:val="22"/>
              </w:rPr>
              <w:t xml:space="preserve">Employees Submit Actuals</w:t>
            </w:r>
          </w:p>
          <w:p>
            <w:pPr>
              <w:spacing w:after="0" w:line="280"/>
            </w:pPr>
            <w:r>
              <w:rPr>
                <w:rFonts w:ascii="Calibri" w:cs="Calibri" w:eastAsia="Calibri" w:hAnsi="Calibri"/>
                <w:color w:val="1E293B"/>
                <w:sz w:val="20"/>
                <w:szCs w:val="20"/>
              </w:rPr>
              <w:t xml:space="preserve">Throughout the month, employees enter their actual performance numbers and upload supporting evidence. For example: “My invoice approval rate was 93% — here’s the Oracle ERP export.”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10B981" w:sz="8"/>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80"/>
              <w:left w:type="dxa" w:w="160"/>
              <w:bottom w:type="dxa" w:w="100"/>
              <w:right w:type="dxa" w:w="80"/>
            </w:tcMar>
          </w:tcPr>
          <w:p>
            <w:pPr>
              <w:spacing w:after="20"/>
            </w:pPr>
            <w:r>
              <w:rPr>
                <w:rFonts w:ascii="Calibri" w:cs="Calibri" w:eastAsia="Calibri" w:hAnsi="Calibri"/>
                <w:color w:val="94A3B8"/>
                <w:sz w:val="18"/>
                <w:szCs w:val="18"/>
              </w:rPr>
              <w:t xml:space="preserve">Step 4  </w:t>
            </w:r>
            <w:r>
              <w:rPr>
                <w:rFonts w:ascii="Calibri" w:cs="Calibri" w:eastAsia="Calibri" w:hAnsi="Calibri"/>
                <w:b/>
                <w:bCs/>
                <w:color w:val="10B981"/>
                <w:sz w:val="22"/>
                <w:szCs w:val="22"/>
              </w:rPr>
              <w:t xml:space="preserve">Managers Review</w:t>
            </w:r>
          </w:p>
          <w:p>
            <w:pPr>
              <w:spacing w:after="0" w:line="280"/>
            </w:pPr>
            <w:r>
              <w:rPr>
                <w:rFonts w:ascii="Calibri" w:cs="Calibri" w:eastAsia="Calibri" w:hAnsi="Calibri"/>
                <w:color w:val="1E293B"/>
                <w:sz w:val="20"/>
                <w:szCs w:val="20"/>
              </w:rPr>
              <w:t xml:space="preserve">Managers inspect each submission, check the evidence, and either approve or reject it. A rejection requires a comment explaining what needs to be corrected.</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EF4444" w:sz="8"/>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80"/>
              <w:left w:type="dxa" w:w="160"/>
              <w:bottom w:type="dxa" w:w="100"/>
              <w:right w:type="dxa" w:w="80"/>
            </w:tcMar>
          </w:tcPr>
          <w:p>
            <w:pPr>
              <w:spacing w:after="20"/>
            </w:pPr>
            <w:r>
              <w:rPr>
                <w:rFonts w:ascii="Calibri" w:cs="Calibri" w:eastAsia="Calibri" w:hAnsi="Calibri"/>
                <w:color w:val="94A3B8"/>
                <w:sz w:val="18"/>
                <w:szCs w:val="18"/>
              </w:rPr>
              <w:t xml:space="preserve">Step 5  </w:t>
            </w:r>
            <w:r>
              <w:rPr>
                <w:rFonts w:ascii="Calibri" w:cs="Calibri" w:eastAsia="Calibri" w:hAnsi="Calibri"/>
                <w:b/>
                <w:bCs/>
                <w:color w:val="EF4444"/>
                <w:sz w:val="22"/>
                <w:szCs w:val="22"/>
              </w:rPr>
              <w:t xml:space="preserve">Admin Runs the Scoring Engine</w:t>
            </w:r>
          </w:p>
          <w:p>
            <w:pPr>
              <w:spacing w:after="0" w:line="280"/>
            </w:pPr>
            <w:r>
              <w:rPr>
                <w:rFonts w:ascii="Calibri" w:cs="Calibri" w:eastAsia="Calibri" w:hAnsi="Calibri"/>
                <w:color w:val="1E293B"/>
                <w:sz w:val="20"/>
                <w:szCs w:val="20"/>
              </w:rPr>
              <w:t xml:space="preserve">With one click, the system calculates scores for every employee in the period. The engine processes all approved actuals, applies the correct targets and weights for each person’s job level, handles the team-share blending for leaders, and produces final scores.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6366F1" w:sz="8"/>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80"/>
              <w:left w:type="dxa" w:w="160"/>
              <w:bottom w:type="dxa" w:w="100"/>
              <w:right w:type="dxa" w:w="80"/>
            </w:tcMar>
          </w:tcPr>
          <w:p>
            <w:pPr>
              <w:spacing w:after="20"/>
            </w:pPr>
            <w:r>
              <w:rPr>
                <w:rFonts w:ascii="Calibri" w:cs="Calibri" w:eastAsia="Calibri" w:hAnsi="Calibri"/>
                <w:color w:val="94A3B8"/>
                <w:sz w:val="18"/>
                <w:szCs w:val="18"/>
              </w:rPr>
              <w:t xml:space="preserve">Step 6  </w:t>
            </w:r>
            <w:r>
              <w:rPr>
                <w:rFonts w:ascii="Calibri" w:cs="Calibri" w:eastAsia="Calibri" w:hAnsi="Calibri"/>
                <w:b/>
                <w:bCs/>
                <w:color w:val="6366F1"/>
                <w:sz w:val="22"/>
                <w:szCs w:val="22"/>
              </w:rPr>
              <w:t xml:space="preserve">Results Are Published</w:t>
            </w:r>
          </w:p>
          <w:p>
            <w:pPr>
              <w:spacing w:after="0" w:line="280"/>
            </w:pPr>
            <w:r>
              <w:rPr>
                <w:rFonts w:ascii="Calibri" w:cs="Calibri" w:eastAsia="Calibri" w:hAnsi="Calibri"/>
                <w:color w:val="1E293B"/>
                <w:sz w:val="20"/>
                <w:szCs w:val="20"/>
              </w:rPr>
              <w:t xml:space="preserve">Employees see their individual dashboards with pillar breakdowns, trend charts, and an overall score. Managers see a department heatmap. The admin can review, override (with justification), and export the results.</w:t>
            </w:r>
          </w:p>
        </w:tc>
      </w:tr>
    </w:tbl>
    <w:p>
      <w:pPr>
        <w:spacing w:after="40"/>
      </w:pP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sz="0"/>
              <w:left w:val="single" w:color="0D9488" w:sz="8"/>
              <w:bottom w:val="none" w:sz="0"/>
              <w:right w:val="none" w:sz="0"/>
            </w:tcBorders>
            <w:shd w:fill="F0FDFA" w:val="clear"/>
            <w:tcMar>
              <w:top w:type="dxa" w:w="0"/>
              <w:left w:type="dxa" w:w="0"/>
              <w:bottom w:type="dxa" w:w="0"/>
              <w:right w:type="dxa" w:w="0"/>
            </w:tcMar>
          </w:tcPr>
          <w:p>
            <w:pPr>
              <w:spacing w:after="0"/>
            </w:pPr>
          </w:p>
        </w:tc>
        <w:tc>
          <w:tcPr>
            <w:tcW w:type="dxa" w:w="8906"/>
            <w:tcBorders>
              <w:top w:val="none" w:sz="0"/>
              <w:left w:val="none" w:sz="0"/>
              <w:bottom w:val="none" w:sz="0"/>
              <w:right w:val="none" w:sz="0"/>
            </w:tcBorders>
            <w:shd w:fill="F0FDFA" w:val="clear"/>
            <w:tcMar>
              <w:top w:type="dxa" w:w="120"/>
              <w:left w:type="dxa" w:w="160"/>
              <w:bottom w:type="dxa" w:w="120"/>
              <w:right w:type="dxa" w:w="160"/>
            </w:tcMar>
          </w:tcPr>
          <w:p>
            <w:pPr>
              <w:spacing w:after="60"/>
            </w:pPr>
            <w:r>
              <w:rPr>
                <w:rFonts w:ascii="Calibri" w:cs="Calibri" w:eastAsia="Calibri" w:hAnsi="Calibri"/>
                <w:b/>
                <w:bCs/>
                <w:color w:val="0D9488"/>
                <w:sz w:val="20"/>
                <w:szCs w:val="20"/>
              </w:rPr>
              <w:t xml:space="preserve">Cycle Time</w:t>
            </w:r>
          </w:p>
          <w:p>
            <w:pPr>
              <w:spacing w:after="0" w:line="280"/>
            </w:pPr>
            <w:r>
              <w:rPr>
                <w:rFonts w:ascii="Calibri" w:cs="Calibri" w:eastAsia="Calibri" w:hAnsi="Calibri"/>
                <w:color w:val="1E293B"/>
                <w:sz w:val="20"/>
                <w:szCs w:val="20"/>
              </w:rPr>
              <w:t xml:space="preserve">The entire cycle — from opening a period to publishing scores — takes roughly 5–10 business days depending on how quickly managers complete their reviews. The actual scoring calculation itself takes less than a minute, even for a large department.</w:t>
            </w:r>
          </w:p>
        </w:tc>
      </w:tr>
    </w:tbl>
    <w:p>
      <w:r>
        <w:br w:type="page"/>
      </w:r>
    </w:p>
    <w:p>
      <w:pPr>
        <w:pStyle w:val="Heading1"/>
      </w:pPr>
      <w:r>
        <w:t xml:space="preserve">4. How the Scoring Works</w:t>
      </w:r>
    </w:p>
    <w:p>
      <w:pPr>
        <w:spacing w:after="60"/>
      </w:pPr>
    </w:p>
    <w:p>
      <w:pPr>
        <w:spacing w:after="160" w:line="300"/>
      </w:pPr>
      <w:r>
        <w:rPr>
          <w:rFonts w:ascii="Calibri" w:cs="Calibri" w:eastAsia="Calibri" w:hAnsi="Calibri"/>
          <w:color w:val="1E293B"/>
          <w:sz w:val="22"/>
          <w:szCs w:val="22"/>
        </w:rPr>
        <w:t xml:space="preserve">Let’s follow one employee — Ahmed, a Senior Engineer — through the complete scoring calculation to see exactly what happens behind the scenes.</w:t>
      </w:r>
    </w:p>
    <w:p>
      <w:pPr>
        <w:spacing w:after="60"/>
      </w:pPr>
    </w:p>
    <w:p>
      <w:pPr>
        <w:pStyle w:val="Heading2"/>
      </w:pPr>
      <w:r>
        <w:t xml:space="preserve">Step A — Individual KPI Scoring</w:t>
      </w:r>
    </w:p>
    <w:p>
      <w:pPr>
        <w:spacing w:after="160" w:line="300"/>
      </w:pPr>
      <w:r>
        <w:rPr>
          <w:rFonts w:ascii="Calibri" w:cs="Calibri" w:eastAsia="Calibri" w:hAnsi="Calibri"/>
          <w:color w:val="1E293B"/>
          <w:sz w:val="22"/>
          <w:szCs w:val="22"/>
        </w:rPr>
        <w:t xml:space="preserve">Ahmed has 12 KPIs assigned to him. For each one, the system compares his actual performance number against his target and assigns a score on a 0–5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Gap (Percentage Points from Target)</w:t>
            </w:r>
          </w:p>
        </w:tc>
        <w:tc>
          <w:tcPr>
            <w:tcW w:type="dxa" w:w="16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Score Awarded</w:t>
            </w:r>
          </w:p>
        </w:tc>
        <w:tc>
          <w:tcPr>
            <w:tcW w:type="dxa" w:w="46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It Means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At target or better</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5 out of 5</w:t>
            </w:r>
          </w:p>
        </w:tc>
        <w:tc>
          <w:tcPr>
            <w:tcW w:type="dxa" w:w="46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Excellent — fully met or exceeded the expectation</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Missed by 1–3 points</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4 out of 5</w:t>
            </w:r>
          </w:p>
        </w:tc>
        <w:tc>
          <w:tcPr>
            <w:tcW w:type="dxa" w:w="46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Very good — minor shortfall</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Missed by 4–6 points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3 out of 5</w:t>
            </w:r>
          </w:p>
        </w:tc>
        <w:tc>
          <w:tcPr>
            <w:tcW w:type="dxa" w:w="46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Acceptable — noticeable room for improvement</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Missed by 7–10 points</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 out of 5</w:t>
            </w:r>
          </w:p>
        </w:tc>
        <w:tc>
          <w:tcPr>
            <w:tcW w:type="dxa" w:w="46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Below expectations — needs attention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Missed by 11–15 points</w:t>
            </w:r>
          </w:p>
        </w:tc>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 out of 5</w:t>
            </w:r>
          </w:p>
        </w:tc>
        <w:tc>
          <w:tcPr>
            <w:tcW w:type="dxa" w:w="46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Significantly below target</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Missed by more than 15 points</w:t>
            </w:r>
          </w:p>
        </w:tc>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0 out of 5</w:t>
            </w:r>
          </w:p>
        </w:tc>
        <w:tc>
          <w:tcPr>
            <w:tcW w:type="dxa" w:w="46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Far below expectations</w:t>
            </w:r>
          </w:p>
        </w:tc>
      </w:tr>
    </w:tbl>
    <w:p>
      <w:pPr>
        <w:spacing w:after="60"/>
      </w:pPr>
    </w:p>
    <w:p>
      <w:pPr>
        <w:spacing w:after="160" w:line="300"/>
      </w:pPr>
      <w:r>
        <w:rPr>
          <w:rFonts w:ascii="Calibri" w:cs="Calibri" w:eastAsia="Calibri" w:hAnsi="Calibri"/>
          <w:b/>
          <w:bCs/>
          <w:color w:val="1E293B"/>
          <w:sz w:val="22"/>
          <w:szCs w:val="22"/>
        </w:rPr>
        <w:t xml:space="preserve">Special cases: </w:t>
      </w:r>
      <w:r>
        <w:rPr>
          <w:rFonts w:ascii="Calibri" w:cs="Calibri" w:eastAsia="Calibri" w:hAnsi="Calibri"/>
          <w:color w:val="1E293B"/>
          <w:sz w:val="22"/>
          <w:szCs w:val="22"/>
        </w:rPr>
        <w:t xml:space="preserve">Some KPIs are “lower is better” (like forecast deviation or defect rate). The system knows this and automatically flips the comparison. Some KPIs are “pass or fail” (like compliance audit). For these, Pass = 5 and Fail = 0 with nothing in between.</w:t>
      </w:r>
    </w:p>
    <w:p>
      <w:pPr>
        <w:spacing w:after="80"/>
      </w:pPr>
    </w:p>
    <w:p>
      <w:pPr>
        <w:pStyle w:val="Heading2"/>
      </w:pPr>
      <w:r>
        <w:t xml:space="preserve">Step B — Pillar Scores</w:t>
      </w:r>
    </w:p>
    <w:p>
      <w:pPr>
        <w:spacing w:after="160" w:line="300"/>
      </w:pPr>
      <w:r>
        <w:rPr>
          <w:rFonts w:ascii="Calibri" w:cs="Calibri" w:eastAsia="Calibri" w:hAnsi="Calibri"/>
          <w:color w:val="1E293B"/>
          <w:sz w:val="22"/>
          <w:szCs w:val="22"/>
        </w:rPr>
        <w:t xml:space="preserve">Ahmed’s 12 KPIs are spread across the 6 pillars. Within each pillar, the individual KPI scores are combined using weights. Not all KPIs matter equally — the weight defines how much each one contributes to the pillar total.</w:t>
      </w:r>
    </w:p>
    <w:p>
      <w:pPr>
        <w:spacing w:after="40"/>
      </w:pPr>
    </w:p>
    <w:p>
      <w:pPr>
        <w:spacing w:after="160" w:line="300"/>
      </w:pPr>
      <w:r>
        <w:rPr>
          <w:rFonts w:ascii="Calibri" w:cs="Calibri" w:eastAsia="Calibri" w:hAnsi="Calibri"/>
          <w:b/>
          <w:bCs/>
          <w:color w:val="2E75B6"/>
          <w:sz w:val="22"/>
          <w:szCs w:val="22"/>
        </w:rPr>
        <w:t xml:space="preserve">Example: Pillar A — Cost Management</w:t>
      </w:r>
    </w:p>
    <w:p>
      <w:pPr>
        <w:spacing w:after="160" w:line="300"/>
      </w:pPr>
      <w:r>
        <w:rPr>
          <w:rFonts w:ascii="Calibri" w:cs="Calibri" w:eastAsia="Calibri" w:hAnsi="Calibri"/>
          <w:color w:val="1E293B"/>
          <w:sz w:val="22"/>
          <w:szCs w:val="22"/>
        </w:rPr>
        <w:t xml:space="preserve">Ahmed has 3 KPIs in Pillar A, with the following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c>
          <w:tcPr>
            <w:tcW w:type="dxa" w:w="34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KPI</w:t>
            </w:r>
          </w:p>
        </w:tc>
        <w:tc>
          <w:tcPr>
            <w:tcW w:type="dxa" w:w="1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Score</w:t>
            </w:r>
          </w:p>
        </w:tc>
        <w:tc>
          <w:tcPr>
            <w:tcW w:type="dxa" w:w="38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Weight Within Pillar</w:t>
            </w:r>
          </w:p>
        </w:tc>
      </w:tr>
      <w:tr>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A1.1 — Approval On-Time %</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4 out of 5</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50%</w:t>
            </w:r>
          </w:p>
        </w:tc>
      </w:tr>
      <w:tr>
        <w:tc>
          <w:tcPr>
            <w:tcW w:type="dxa" w:w="3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A2 — Cost Variance Control</w:t>
            </w:r>
          </w:p>
        </w:tc>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5 out of 5</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30%</w:t>
            </w:r>
          </w:p>
        </w:tc>
      </w:tr>
      <w:tr>
        <w:tc>
          <w:tcPr>
            <w:tcW w:type="dxa" w:w="3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A3 — Change Order Management</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3 out of 5</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20%</w:t>
            </w:r>
          </w:p>
        </w:tc>
      </w:tr>
    </w:tbl>
    <w:p>
      <w:pPr>
        <w:spacing w:after="60"/>
      </w:pPr>
    </w:p>
    <w:p>
      <w:pPr>
        <w:spacing w:after="160" w:line="300"/>
      </w:pPr>
      <w:r>
        <w:rPr>
          <w:rFonts w:ascii="Calibri" w:cs="Calibri" w:eastAsia="Calibri" w:hAnsi="Calibri"/>
          <w:color w:val="1E293B"/>
          <w:sz w:val="22"/>
          <w:szCs w:val="22"/>
        </w:rPr>
        <w:t xml:space="preserve">The system calculates: (4 × 50%) + (5 × 30%) + (3 × 20%) = 2.0 + 1.5 + 0.6 = 4.10 out of 5.</w:t>
      </w:r>
    </w:p>
    <w:p>
      <w:pPr>
        <w:spacing w:after="160" w:line="300"/>
      </w:pPr>
      <w:r>
        <w:rPr>
          <w:rFonts w:ascii="Calibri" w:cs="Calibri" w:eastAsia="Calibri" w:hAnsi="Calibri"/>
          <w:b/>
          <w:bCs/>
          <w:color w:val="1E293B"/>
          <w:sz w:val="22"/>
          <w:szCs w:val="22"/>
        </w:rPr>
        <w:t xml:space="preserve">To convert to a percentage: </w:t>
      </w:r>
      <w:r>
        <w:rPr>
          <w:rFonts w:ascii="Calibri" w:cs="Calibri" w:eastAsia="Calibri" w:hAnsi="Calibri"/>
          <w:color w:val="1E293B"/>
          <w:sz w:val="22"/>
          <w:szCs w:val="22"/>
        </w:rPr>
        <w:t xml:space="preserve">4.10 × 20 = </w:t>
      </w:r>
      <w:r>
        <w:rPr>
          <w:rFonts w:ascii="Calibri" w:cs="Calibri" w:eastAsia="Calibri" w:hAnsi="Calibri"/>
          <w:b/>
          <w:bCs/>
          <w:color w:val="1E293B"/>
          <w:sz w:val="22"/>
          <w:szCs w:val="22"/>
        </w:rPr>
        <w:t xml:space="preserve">82% for Pillar A.</w:t>
      </w:r>
    </w:p>
    <w:p>
      <w:pPr>
        <w:spacing w:after="160" w:line="300"/>
      </w:pPr>
      <w:r>
        <w:rPr>
          <w:rFonts w:ascii="Calibri" w:cs="Calibri" w:eastAsia="Calibri" w:hAnsi="Calibri"/>
          <w:color w:val="1E293B"/>
          <w:sz w:val="22"/>
          <w:szCs w:val="22"/>
        </w:rPr>
        <w:t xml:space="preserve">This same calculation happens for all 6 pillars, producing 6 pillar percentages.</w:t>
      </w:r>
    </w:p>
    <w:p>
      <w:pPr>
        <w:spacing w:after="80"/>
      </w:pPr>
    </w:p>
    <w:p>
      <w:pPr>
        <w:pStyle w:val="Heading2"/>
      </w:pPr>
      <w:r>
        <w:t xml:space="preserve">Step C — The Team Factor (Leaders Only)</w:t>
      </w:r>
    </w:p>
    <w:p>
      <w:pPr>
        <w:spacing w:after="160" w:line="300"/>
      </w:pPr>
      <w:r>
        <w:rPr>
          <w:rFonts w:ascii="Calibri" w:cs="Calibri" w:eastAsia="Calibri" w:hAnsi="Calibri"/>
          <w:color w:val="1E293B"/>
          <w:sz w:val="22"/>
          <w:szCs w:val="22"/>
        </w:rPr>
        <w:t xml:space="preserve">If Ahmed were a Team Lead, his pillar scores would not be based on his own numbers alone. The system blends his personal score with his team’s average score using pre-defined ratios called “alpha values.”</w:t>
      </w:r>
    </w:p>
    <w:p>
      <w:pPr>
        <w:spacing w:after="40"/>
      </w:pPr>
    </w:p>
    <w:p>
      <w:pPr>
        <w:spacing w:after="160" w:line="300"/>
      </w:pPr>
      <w:r>
        <w:rPr>
          <w:rFonts w:ascii="Calibri" w:cs="Calibri" w:eastAsia="Calibri" w:hAnsi="Calibri"/>
          <w:b/>
          <w:bCs/>
          <w:color w:val="2E75B6"/>
          <w:sz w:val="22"/>
          <w:szCs w:val="22"/>
        </w:rPr>
        <w:t xml:space="preserve">Example: Pillar C for a Team Lead</w:t>
      </w:r>
    </w:p>
    <w:p>
      <w:pPr>
        <w:spacing w:after="160" w:line="300"/>
      </w:pPr>
      <w:r>
        <w:rPr>
          <w:rFonts w:ascii="Calibri" w:cs="Calibri" w:eastAsia="Calibri" w:hAnsi="Calibri"/>
          <w:color w:val="1E293B"/>
          <w:sz w:val="22"/>
          <w:szCs w:val="22"/>
        </w:rPr>
        <w:t xml:space="preserve">Ahmed’s personal Pillar C score: 88%. His team’s average Pillar C score: 74%. The alpha ratio for Team Leads on Pillar C is 45% team / 55% personal.</w:t>
      </w:r>
    </w:p>
    <w:p>
      <w:pPr>
        <w:spacing w:after="160" w:line="300"/>
      </w:pPr>
      <w:r>
        <w:rPr>
          <w:rFonts w:ascii="Calibri" w:cs="Calibri" w:eastAsia="Calibri" w:hAnsi="Calibri"/>
          <w:b/>
          <w:bCs/>
          <w:color w:val="1E293B"/>
          <w:sz w:val="22"/>
          <w:szCs w:val="22"/>
        </w:rPr>
        <w:t xml:space="preserve">Blended result: </w:t>
      </w:r>
      <w:r>
        <w:rPr>
          <w:rFonts w:ascii="Calibri" w:cs="Calibri" w:eastAsia="Calibri" w:hAnsi="Calibri"/>
          <w:color w:val="1E293B"/>
          <w:sz w:val="22"/>
          <w:szCs w:val="22"/>
        </w:rPr>
        <w:t xml:space="preserve">(45% × 74%) + (55% × 88%) = 33.3% + 48.4% = </w:t>
      </w:r>
      <w:r>
        <w:rPr>
          <w:rFonts w:ascii="Calibri" w:cs="Calibri" w:eastAsia="Calibri" w:hAnsi="Calibri"/>
          <w:b/>
          <w:bCs/>
          <w:color w:val="1E293B"/>
          <w:sz w:val="22"/>
          <w:szCs w:val="22"/>
        </w:rPr>
        <w:t xml:space="preserve">81.7%</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sz="0"/>
              <w:left w:val="single" w:color="0D9488" w:sz="8"/>
              <w:bottom w:val="none" w:sz="0"/>
              <w:right w:val="none" w:sz="0"/>
            </w:tcBorders>
            <w:shd w:fill="F0FDFA" w:val="clear"/>
            <w:tcMar>
              <w:top w:type="dxa" w:w="0"/>
              <w:left w:type="dxa" w:w="0"/>
              <w:bottom w:type="dxa" w:w="0"/>
              <w:right w:type="dxa" w:w="0"/>
            </w:tcMar>
          </w:tcPr>
          <w:p>
            <w:pPr>
              <w:spacing w:after="0"/>
            </w:pPr>
          </w:p>
        </w:tc>
        <w:tc>
          <w:tcPr>
            <w:tcW w:type="dxa" w:w="8906"/>
            <w:tcBorders>
              <w:top w:val="none" w:sz="0"/>
              <w:left w:val="none" w:sz="0"/>
              <w:bottom w:val="none" w:sz="0"/>
              <w:right w:val="none" w:sz="0"/>
            </w:tcBorders>
            <w:shd w:fill="F0FDFA" w:val="clear"/>
            <w:tcMar>
              <w:top w:type="dxa" w:w="120"/>
              <w:left w:type="dxa" w:w="160"/>
              <w:bottom w:type="dxa" w:w="120"/>
              <w:right w:type="dxa" w:w="160"/>
            </w:tcMar>
          </w:tcPr>
          <w:p>
            <w:pPr>
              <w:spacing w:after="60"/>
            </w:pPr>
            <w:r>
              <w:rPr>
                <w:rFonts w:ascii="Calibri" w:cs="Calibri" w:eastAsia="Calibri" w:hAnsi="Calibri"/>
                <w:b/>
                <w:bCs/>
                <w:color w:val="0D9488"/>
                <w:sz w:val="20"/>
                <w:szCs w:val="20"/>
              </w:rPr>
              <w:t xml:space="preserve">Leadership Accountability</w:t>
            </w:r>
          </w:p>
          <w:p>
            <w:pPr>
              <w:spacing w:after="0" w:line="280"/>
            </w:pPr>
            <w:r>
              <w:rPr>
                <w:rFonts w:ascii="Calibri" w:cs="Calibri" w:eastAsia="Calibri" w:hAnsi="Calibri"/>
                <w:color w:val="1E293B"/>
                <w:sz w:val="20"/>
                <w:szCs w:val="20"/>
              </w:rPr>
              <w:t xml:space="preserve">This mechanism ensures that a Team Lead cannot score “Exceeds Expectations” while their team is underperforming. It builds genuine accountability into the appraisal system — leaders are incentivized to invest in their team’s development, not just their own numbers.</w:t>
            </w:r>
          </w:p>
        </w:tc>
      </w:tr>
    </w:tbl>
    <w:p>
      <w:pPr>
        <w:spacing w:after="80"/>
      </w:pPr>
    </w:p>
    <w:p>
      <w:pPr>
        <w:pStyle w:val="Heading2"/>
      </w:pPr>
      <w:r>
        <w:t xml:space="preserve">Step D — Overall Score</w:t>
      </w:r>
    </w:p>
    <w:p>
      <w:pPr>
        <w:spacing w:after="160" w:line="300"/>
      </w:pPr>
      <w:r>
        <w:rPr>
          <w:rFonts w:ascii="Calibri" w:cs="Calibri" w:eastAsia="Calibri" w:hAnsi="Calibri"/>
          <w:color w:val="1E293B"/>
          <w:sz w:val="22"/>
          <w:szCs w:val="22"/>
        </w:rPr>
        <w:t xml:space="preserve">Each of the 6 pillars has a weight in the final score. These weights vary by job level — the SOP defines how much each pillar matters at each tier.</w:t>
      </w:r>
    </w:p>
    <w:p>
      <w:pPr>
        <w:spacing w:after="40"/>
      </w:pPr>
    </w:p>
    <w:p>
      <w:pPr>
        <w:spacing w:after="160" w:line="300"/>
      </w:pPr>
      <w:r>
        <w:rPr>
          <w:rFonts w:ascii="Calibri" w:cs="Calibri" w:eastAsia="Calibri" w:hAnsi="Calibri"/>
          <w:b/>
          <w:bCs/>
          <w:color w:val="2E75B6"/>
          <w:sz w:val="22"/>
          <w:szCs w:val="22"/>
        </w:rPr>
        <w:t xml:space="preserve">Example for a Senior Engineer: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c>
          <w:tcPr>
            <w:tcW w:type="dxa" w:w="2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Pillar</w:t>
            </w:r>
          </w:p>
        </w:tc>
        <w:tc>
          <w:tcPr>
            <w:tcW w:type="dxa" w:w="12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Score</w:t>
            </w:r>
          </w:p>
        </w:tc>
        <w:tc>
          <w:tcPr>
            <w:tcW w:type="dxa" w:w="12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Weight</w:t>
            </w:r>
          </w:p>
        </w:tc>
        <w:tc>
          <w:tcPr>
            <w:tcW w:type="dxa" w:w="38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Contribution</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 — Cost Management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82%</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25%</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20.5%</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B — Governance &amp; Compliance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88%</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20%</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17.6%</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 — Reporting &amp; Analytics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76%</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20%</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15.2%</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 — Stakeholder Engagement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90%</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15%</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13.5%</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 — Compliance &amp; Professional Standards</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80%</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10%</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8.0%</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F — Professional Development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85%</w:t>
            </w:r>
          </w:p>
        </w:tc>
        <w:tc>
          <w:tcPr>
            <w:tcW w:type="dxa" w:w="1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10%</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8.5%</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[object Object]</w:t>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w:r>
          </w:p>
        </w:tc>
        <w:tc>
          <w:tcPr>
            <w:tcW w:type="dxa" w:w="1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[object Object]</w:t>
            </w:r>
          </w:p>
        </w:tc>
      </w:tr>
    </w:tbl>
    <w:p>
      <w:pPr>
        <w:spacing w:after="80"/>
      </w:pPr>
    </w:p>
    <w:p>
      <w:pPr>
        <w:pStyle w:val="Heading2"/>
      </w:pPr>
      <w:r>
        <w:t xml:space="preserve">Step E — Appraisal Band</w:t>
      </w:r>
    </w:p>
    <w:p>
      <w:pPr>
        <w:spacing w:after="160" w:line="300"/>
      </w:pPr>
      <w:r>
        <w:rPr>
          <w:rFonts w:ascii="Calibri" w:cs="Calibri" w:eastAsia="Calibri" w:hAnsi="Calibri"/>
          <w:color w:val="1E293B"/>
          <w:sz w:val="22"/>
          <w:szCs w:val="22"/>
        </w:rPr>
        <w:t xml:space="preserve">The overall percentage maps to a human-readable appraisal band: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26"/>
      </w:tblGrid>
      <w:tr>
        <w:tc>
          <w:tcPr>
            <w:tcW w:type="dxa" w:w="16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Score Range</w:t>
            </w:r>
          </w:p>
        </w:tc>
        <w:tc>
          <w:tcPr>
            <w:tcW w:type="dxa" w:w="26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Appraisal Band</w:t>
            </w:r>
          </w:p>
        </w:tc>
        <w:tc>
          <w:tcPr>
            <w:tcW w:type="dxa" w:w="48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Meaning</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90–100%</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Exceeds Expectations</w:t>
            </w:r>
          </w:p>
        </w:tc>
        <w:tc>
          <w:tcPr>
            <w:tcW w:type="dxa" w:w="4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Consistently outperforms targets across all areas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80–89%</w:t>
            </w:r>
          </w:p>
        </w:tc>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Strong Performance</w:t>
            </w:r>
          </w:p>
        </w:tc>
        <w:tc>
          <w:tcPr>
            <w:tcW w:type="dxa" w:w="4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Reliably meets and often exceeds expectations</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70–79%</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Meets Expectations</w:t>
            </w:r>
          </w:p>
        </w:tc>
        <w:tc>
          <w:tcPr>
            <w:tcW w:type="dxa" w:w="4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Solid performance with some areas for improvement</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60–69%</w:t>
            </w:r>
          </w:p>
        </w:tc>
        <w:tc>
          <w:tcPr>
            <w:tcW w:type="dxa" w:w="2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Needs Improvement</w:t>
            </w:r>
          </w:p>
        </w:tc>
        <w:tc>
          <w:tcPr>
            <w:tcW w:type="dxa" w:w="4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Falling short in multiple areas; performance plan recommended</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Below 60%</w:t>
            </w:r>
          </w:p>
        </w:tc>
        <w:tc>
          <w:tcPr>
            <w:tcW w:type="dxa" w:w="2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Unsatisfactory</w:t>
            </w:r>
          </w:p>
        </w:tc>
        <w:tc>
          <w:tcPr>
            <w:tcW w:type="dxa" w:w="4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Significant underperformance requiring immediate intervention</w:t>
            </w:r>
          </w:p>
        </w:tc>
      </w:tr>
    </w:tbl>
    <w:p>
      <w:pPr>
        <w:spacing w:after="60"/>
      </w:pPr>
    </w:p>
    <w:p>
      <w:pPr>
        <w:spacing w:after="160" w:line="300"/>
      </w:pPr>
      <w:r>
        <w:rPr>
          <w:rFonts w:ascii="Calibri" w:cs="Calibri" w:eastAsia="Calibri" w:hAnsi="Calibri"/>
          <w:b w:val="false"/>
          <w:bCs w:val="false"/>
          <w:color w:val="1E293B"/>
          <w:sz w:val="22"/>
          <w:szCs w:val="22"/>
        </w:rPr>
        <w:t xml:space="preserve">Ahmed’s overall score of 83.3% places him in the </w:t>
      </w:r>
      <w:r>
        <w:rPr>
          <w:rFonts w:ascii="Calibri" w:cs="Calibri" w:eastAsia="Calibri" w:hAnsi="Calibri"/>
          <w:b/>
          <w:bCs/>
          <w:color w:val="16A34A"/>
          <w:sz w:val="22"/>
          <w:szCs w:val="22"/>
        </w:rPr>
        <w:t xml:space="preserve">“Strong Performance”</w:t>
      </w:r>
      <w:r>
        <w:rPr>
          <w:rFonts w:ascii="Calibri" w:cs="Calibri" w:eastAsia="Calibri" w:hAnsi="Calibri"/>
          <w:color w:val="1E293B"/>
          <w:sz w:val="22"/>
          <w:szCs w:val="22"/>
        </w:rPr>
        <w:t xml:space="preserve"> band.</w:t>
      </w:r>
    </w:p>
    <w:p>
      <w:r>
        <w:br w:type="page"/>
      </w:r>
    </w:p>
    <w:p>
      <w:pPr>
        <w:pStyle w:val="Heading1"/>
      </w:pPr>
      <w:r>
        <w:t xml:space="preserve">5. The Six Pillars of Performance</w:t>
      </w:r>
    </w:p>
    <w:p>
      <w:pPr>
        <w:spacing w:after="60"/>
      </w:pPr>
    </w:p>
    <w:p>
      <w:pPr>
        <w:spacing w:after="160" w:line="300"/>
      </w:pPr>
      <w:r>
        <w:rPr>
          <w:rFonts w:ascii="Calibri" w:cs="Calibri" w:eastAsia="Calibri" w:hAnsi="Calibri"/>
          <w:color w:val="1E293B"/>
          <w:sz w:val="22"/>
          <w:szCs w:val="22"/>
        </w:rPr>
        <w:t xml:space="preserve">The appraisal framework is organized into six pillars. Each pillar groups related KPIs that measure a specific competency area. Together, the six pillars provide a 360-degree view of an employee’s contribution to the department.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3B82F6" w:sz="10"/>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100"/>
              <w:left w:type="dxa" w:w="180"/>
              <w:bottom w:type="dxa" w:w="120"/>
              <w:right w:type="dxa" w:w="100"/>
            </w:tcMar>
          </w:tcPr>
          <w:p>
            <w:pPr>
              <w:spacing w:after="40"/>
            </w:pPr>
            <w:r>
              <w:rPr>
                <w:rFonts w:ascii="Calibri" w:cs="Calibri" w:eastAsia="Calibri" w:hAnsi="Calibri"/>
                <w:b/>
                <w:bCs/>
                <w:color w:val="3B82F6"/>
                <w:sz w:val="24"/>
                <w:szCs w:val="24"/>
              </w:rPr>
              <w:t xml:space="preserve">Pillar A: </w:t>
            </w:r>
            <w:r>
              <w:rPr>
                <w:rFonts w:ascii="Calibri" w:cs="Calibri" w:eastAsia="Calibri" w:hAnsi="Calibri"/>
                <w:b/>
                <w:bCs/>
                <w:color w:val="1E293B"/>
                <w:sz w:val="24"/>
                <w:szCs w:val="24"/>
              </w:rPr>
              <w:t xml:space="preserve">Cost Management</w:t>
            </w:r>
            <w:r>
              <w:rPr>
                <w:rFonts w:ascii="Calibri" w:cs="Calibri" w:eastAsia="Calibri" w:hAnsi="Calibri"/>
                <w:color w:val="94A3B8"/>
                <w:sz w:val="20"/>
                <w:szCs w:val="20"/>
              </w:rPr>
              <w:t xml:space="preserve">   (5 KPIs)</w:t>
            </w:r>
          </w:p>
          <w:p>
            <w:pPr>
              <w:spacing w:after="0" w:line="280"/>
            </w:pPr>
            <w:r>
              <w:rPr>
                <w:rFonts w:ascii="Calibri" w:cs="Calibri" w:eastAsia="Calibri" w:hAnsi="Calibri"/>
                <w:color w:val="475569"/>
                <w:sz w:val="20"/>
                <w:szCs w:val="20"/>
              </w:rPr>
              <w:t xml:space="preserve">Measures how effectively the employee manages budgets, approvals, cost variances, and change orders. This is the financial backbone of cost control — the ability to process invoices on time, keep projects within budget, and manage scope changes without cost overruns.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8B5CF6" w:sz="10"/>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100"/>
              <w:left w:type="dxa" w:w="180"/>
              <w:bottom w:type="dxa" w:w="120"/>
              <w:right w:type="dxa" w:w="100"/>
            </w:tcMar>
          </w:tcPr>
          <w:p>
            <w:pPr>
              <w:spacing w:after="40"/>
            </w:pPr>
            <w:r>
              <w:rPr>
                <w:rFonts w:ascii="Calibri" w:cs="Calibri" w:eastAsia="Calibri" w:hAnsi="Calibri"/>
                <w:b/>
                <w:bCs/>
                <w:color w:val="8B5CF6"/>
                <w:sz w:val="24"/>
                <w:szCs w:val="24"/>
              </w:rPr>
              <w:t xml:space="preserve">Pillar B: </w:t>
            </w:r>
            <w:r>
              <w:rPr>
                <w:rFonts w:ascii="Calibri" w:cs="Calibri" w:eastAsia="Calibri" w:hAnsi="Calibri"/>
                <w:b/>
                <w:bCs/>
                <w:color w:val="1E293B"/>
                <w:sz w:val="24"/>
                <w:szCs w:val="24"/>
              </w:rPr>
              <w:t xml:space="preserve">Governance &amp; Compliance</w:t>
            </w:r>
            <w:r>
              <w:rPr>
                <w:rFonts w:ascii="Calibri" w:cs="Calibri" w:eastAsia="Calibri" w:hAnsi="Calibri"/>
                <w:color w:val="94A3B8"/>
                <w:sz w:val="20"/>
                <w:szCs w:val="20"/>
              </w:rPr>
              <w:t xml:space="preserve">   (6 KPIs)</w:t>
            </w:r>
          </w:p>
          <w:p>
            <w:pPr>
              <w:spacing w:after="0" w:line="280"/>
            </w:pPr>
            <w:r>
              <w:rPr>
                <w:rFonts w:ascii="Calibri" w:cs="Calibri" w:eastAsia="Calibri" w:hAnsi="Calibri"/>
                <w:color w:val="475569"/>
                <w:sz w:val="20"/>
                <w:szCs w:val="20"/>
              </w:rPr>
              <w:t xml:space="preserve">Evaluates adherence to internal policies, procurement procedures, and governance frameworks. Covers audit compliance, process adherence rates, and the quality of governance documentation. In an EPC environment, weak governance leads to regulatory exposure and project delays.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F59E0B" w:sz="10"/>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100"/>
              <w:left w:type="dxa" w:w="180"/>
              <w:bottom w:type="dxa" w:w="120"/>
              <w:right w:type="dxa" w:w="100"/>
            </w:tcMar>
          </w:tcPr>
          <w:p>
            <w:pPr>
              <w:spacing w:after="40"/>
            </w:pPr>
            <w:r>
              <w:rPr>
                <w:rFonts w:ascii="Calibri" w:cs="Calibri" w:eastAsia="Calibri" w:hAnsi="Calibri"/>
                <w:b/>
                <w:bCs/>
                <w:color w:val="F59E0B"/>
                <w:sz w:val="24"/>
                <w:szCs w:val="24"/>
              </w:rPr>
              <w:t xml:space="preserve">Pillar C: </w:t>
            </w:r>
            <w:r>
              <w:rPr>
                <w:rFonts w:ascii="Calibri" w:cs="Calibri" w:eastAsia="Calibri" w:hAnsi="Calibri"/>
                <w:b/>
                <w:bCs/>
                <w:color w:val="1E293B"/>
                <w:sz w:val="24"/>
                <w:szCs w:val="24"/>
              </w:rPr>
              <w:t xml:space="preserve">Reporting &amp; Analytics</w:t>
            </w:r>
            <w:r>
              <w:rPr>
                <w:rFonts w:ascii="Calibri" w:cs="Calibri" w:eastAsia="Calibri" w:hAnsi="Calibri"/>
                <w:color w:val="94A3B8"/>
                <w:sz w:val="20"/>
                <w:szCs w:val="20"/>
              </w:rPr>
              <w:t xml:space="preserve">   (6 KPIs)</w:t>
            </w:r>
          </w:p>
          <w:p>
            <w:pPr>
              <w:spacing w:after="0" w:line="280"/>
            </w:pPr>
            <w:r>
              <w:rPr>
                <w:rFonts w:ascii="Calibri" w:cs="Calibri" w:eastAsia="Calibri" w:hAnsi="Calibri"/>
                <w:color w:val="475569"/>
                <w:sz w:val="20"/>
                <w:szCs w:val="20"/>
              </w:rPr>
              <w:t xml:space="preserve">Assesses the quality, timeliness, and accuracy of financial reports and forecasts. Includes forecast accuracy (FPA), forecast deviation (FU%), report submission timeliness, and the completeness of analytical outputs. Reliable reporting is the foundation of project decision-making.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10B981" w:sz="10"/>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100"/>
              <w:left w:type="dxa" w:w="180"/>
              <w:bottom w:type="dxa" w:w="120"/>
              <w:right w:type="dxa" w:w="100"/>
            </w:tcMar>
          </w:tcPr>
          <w:p>
            <w:pPr>
              <w:spacing w:after="40"/>
            </w:pPr>
            <w:r>
              <w:rPr>
                <w:rFonts w:ascii="Calibri" w:cs="Calibri" w:eastAsia="Calibri" w:hAnsi="Calibri"/>
                <w:b/>
                <w:bCs/>
                <w:color w:val="10B981"/>
                <w:sz w:val="24"/>
                <w:szCs w:val="24"/>
              </w:rPr>
              <w:t xml:space="preserve">Pillar D: </w:t>
            </w:r>
            <w:r>
              <w:rPr>
                <w:rFonts w:ascii="Calibri" w:cs="Calibri" w:eastAsia="Calibri" w:hAnsi="Calibri"/>
                <w:b/>
                <w:bCs/>
                <w:color w:val="1E293B"/>
                <w:sz w:val="24"/>
                <w:szCs w:val="24"/>
              </w:rPr>
              <w:t xml:space="preserve">Stakeholder Engagement</w:t>
            </w:r>
            <w:r>
              <w:rPr>
                <w:rFonts w:ascii="Calibri" w:cs="Calibri" w:eastAsia="Calibri" w:hAnsi="Calibri"/>
                <w:color w:val="94A3B8"/>
                <w:sz w:val="20"/>
                <w:szCs w:val="20"/>
              </w:rPr>
              <w:t xml:space="preserve">   (5 KPIs)</w:t>
            </w:r>
          </w:p>
          <w:p>
            <w:pPr>
              <w:spacing w:after="0" w:line="280"/>
            </w:pPr>
            <w:r>
              <w:rPr>
                <w:rFonts w:ascii="Calibri" w:cs="Calibri" w:eastAsia="Calibri" w:hAnsi="Calibri"/>
                <w:color w:val="475569"/>
                <w:sz w:val="20"/>
                <w:szCs w:val="20"/>
              </w:rPr>
              <w:t xml:space="preserve">Measures communication effectiveness with project managers, procurement teams, finance, and external stakeholders. Tracks complaint rates, response times, satisfaction scores, and the ability to resolve issues proactively rather than reactively.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EF4444" w:sz="10"/>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100"/>
              <w:left w:type="dxa" w:w="180"/>
              <w:bottom w:type="dxa" w:w="120"/>
              <w:right w:type="dxa" w:w="100"/>
            </w:tcMar>
          </w:tcPr>
          <w:p>
            <w:pPr>
              <w:spacing w:after="40"/>
            </w:pPr>
            <w:r>
              <w:rPr>
                <w:rFonts w:ascii="Calibri" w:cs="Calibri" w:eastAsia="Calibri" w:hAnsi="Calibri"/>
                <w:b/>
                <w:bCs/>
                <w:color w:val="EF4444"/>
                <w:sz w:val="24"/>
                <w:szCs w:val="24"/>
              </w:rPr>
              <w:t xml:space="preserve">Pillar E: </w:t>
            </w:r>
            <w:r>
              <w:rPr>
                <w:rFonts w:ascii="Calibri" w:cs="Calibri" w:eastAsia="Calibri" w:hAnsi="Calibri"/>
                <w:b/>
                <w:bCs/>
                <w:color w:val="1E293B"/>
                <w:sz w:val="24"/>
                <w:szCs w:val="24"/>
              </w:rPr>
              <w:t xml:space="preserve">Compliance &amp; Professional Standards</w:t>
            </w:r>
            <w:r>
              <w:rPr>
                <w:rFonts w:ascii="Calibri" w:cs="Calibri" w:eastAsia="Calibri" w:hAnsi="Calibri"/>
                <w:color w:val="94A3B8"/>
                <w:sz w:val="20"/>
                <w:szCs w:val="20"/>
              </w:rPr>
              <w:t xml:space="preserve">   (4 KPIs)</w:t>
            </w:r>
          </w:p>
          <w:p>
            <w:pPr>
              <w:spacing w:after="0" w:line="280"/>
            </w:pPr>
            <w:r>
              <w:rPr>
                <w:rFonts w:ascii="Calibri" w:cs="Calibri" w:eastAsia="Calibri" w:hAnsi="Calibri"/>
                <w:color w:val="475569"/>
                <w:sz w:val="20"/>
                <w:szCs w:val="20"/>
              </w:rPr>
              <w:t xml:space="preserve">Covers work attendance, punctuality, adherence to professional codes of conduct, and compliance with HSE (Health, Safety, and Environment) requirements. These are the baseline professional expectations.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8926"/>
      </w:tblGrid>
      <w:tr>
        <w:tc>
          <w:tcPr>
            <w:tcW w:type="dxa" w:w="100"/>
            <w:tcBorders>
              <w:top w:val="none" w:sz="0"/>
              <w:left w:val="single" w:color="6366F1" w:sz="10"/>
              <w:bottom w:val="none" w:sz="0"/>
              <w:right w:val="none" w:sz="0"/>
            </w:tcBorders>
            <w:tcMar>
              <w:top w:type="dxa" w:w="0"/>
              <w:left w:type="dxa" w:w="0"/>
              <w:bottom w:type="dxa" w:w="0"/>
              <w:right w:type="dxa" w:w="0"/>
            </w:tcMar>
          </w:tcPr>
          <w:p>
            <w:pPr>
              <w:spacing w:after="0"/>
            </w:pPr>
          </w:p>
        </w:tc>
        <w:tc>
          <w:tcPr>
            <w:tcW w:type="dxa" w:w="8926"/>
            <w:tcBorders>
              <w:top w:val="none" w:sz="0"/>
              <w:left w:val="none" w:sz="0"/>
              <w:bottom w:val="none" w:sz="0"/>
              <w:right w:val="none" w:sz="0"/>
            </w:tcBorders>
            <w:tcMar>
              <w:top w:type="dxa" w:w="100"/>
              <w:left w:type="dxa" w:w="180"/>
              <w:bottom w:type="dxa" w:w="120"/>
              <w:right w:type="dxa" w:w="100"/>
            </w:tcMar>
          </w:tcPr>
          <w:p>
            <w:pPr>
              <w:spacing w:after="40"/>
            </w:pPr>
            <w:r>
              <w:rPr>
                <w:rFonts w:ascii="Calibri" w:cs="Calibri" w:eastAsia="Calibri" w:hAnsi="Calibri"/>
                <w:b/>
                <w:bCs/>
                <w:color w:val="6366F1"/>
                <w:sz w:val="24"/>
                <w:szCs w:val="24"/>
              </w:rPr>
              <w:t xml:space="preserve">Pillar F: </w:t>
            </w:r>
            <w:r>
              <w:rPr>
                <w:rFonts w:ascii="Calibri" w:cs="Calibri" w:eastAsia="Calibri" w:hAnsi="Calibri"/>
                <w:b/>
                <w:bCs/>
                <w:color w:val="1E293B"/>
                <w:sz w:val="24"/>
                <w:szCs w:val="24"/>
              </w:rPr>
              <w:t xml:space="preserve">Professional Development</w:t>
            </w:r>
            <w:r>
              <w:rPr>
                <w:rFonts w:ascii="Calibri" w:cs="Calibri" w:eastAsia="Calibri" w:hAnsi="Calibri"/>
                <w:color w:val="94A3B8"/>
                <w:sz w:val="20"/>
                <w:szCs w:val="20"/>
              </w:rPr>
              <w:t xml:space="preserve">   (5 KPIs)</w:t>
            </w:r>
          </w:p>
          <w:p>
            <w:pPr>
              <w:spacing w:after="0" w:line="280"/>
            </w:pPr>
            <w:r>
              <w:rPr>
                <w:rFonts w:ascii="Calibri" w:cs="Calibri" w:eastAsia="Calibri" w:hAnsi="Calibri"/>
                <w:color w:val="475569"/>
                <w:sz w:val="20"/>
                <w:szCs w:val="20"/>
              </w:rPr>
              <w:t xml:space="preserve">Evaluates investment in personal growth — training completion, certification progress, knowledge sharing with colleagues, and initiative in adopting new tools or methodologies.</w:t>
            </w:r>
          </w:p>
        </w:tc>
      </w:tr>
    </w:tbl>
    <w:p>
      <w:pPr>
        <w:spacing w:after="60"/>
      </w:pPr>
    </w:p>
    <w:p>
      <w:pPr>
        <w:spacing w:after="160" w:line="300"/>
      </w:pPr>
      <w:r>
        <w:rPr>
          <w:rFonts w:ascii="Calibri" w:cs="Calibri" w:eastAsia="Calibri" w:hAnsi="Calibri"/>
          <w:b/>
          <w:bCs/>
          <w:color w:val="1E293B"/>
          <w:sz w:val="22"/>
          <w:szCs w:val="22"/>
        </w:rPr>
        <w:t xml:space="preserve">Total: 31 KPIs </w:t>
      </w:r>
      <w:r>
        <w:rPr>
          <w:rFonts w:ascii="Calibri" w:cs="Calibri" w:eastAsia="Calibri" w:hAnsi="Calibri"/>
          <w:color w:val="1E293B"/>
          <w:sz w:val="22"/>
          <w:szCs w:val="22"/>
        </w:rPr>
        <w:t xml:space="preserve">across 6 pillars, with targets, weights, and scoring rules customized for each of the 5 job levels.</w:t>
      </w:r>
    </w:p>
    <w:p>
      <w:r>
        <w:br w:type="page"/>
      </w:r>
    </w:p>
    <w:p>
      <w:pPr>
        <w:pStyle w:val="Heading1"/>
      </w:pPr>
      <w:r>
        <w:t xml:space="preserve">6. Job Levels and Why They Matter</w:t>
      </w:r>
    </w:p>
    <w:p>
      <w:pPr>
        <w:spacing w:after="60"/>
      </w:pPr>
    </w:p>
    <w:p>
      <w:pPr>
        <w:spacing w:after="160" w:line="300"/>
      </w:pPr>
      <w:r>
        <w:rPr>
          <w:rFonts w:ascii="Calibri" w:cs="Calibri" w:eastAsia="Calibri" w:hAnsi="Calibri"/>
          <w:color w:val="1E293B"/>
          <w:sz w:val="22"/>
          <w:szCs w:val="22"/>
        </w:rPr>
        <w:t xml:space="preserve">The system recognizes five job levels, called “tiers.” The tier determines three things about how an employee is evaluated: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c>
          <w:tcPr>
            <w:tcW w:type="dxa" w:w="14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Tier</w:t>
            </w:r>
          </w:p>
        </w:tc>
        <w:tc>
          <w:tcPr>
            <w:tcW w:type="dxa" w:w="24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Typical Job Titles</w:t>
            </w:r>
          </w:p>
        </w:tc>
        <w:tc>
          <w:tcPr>
            <w:tcW w:type="dxa" w:w="52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Changes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 — Junior</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Junior Cost Engineer, Intern, Cost Analyst Trainee</w:t>
            </w:r>
          </w:p>
        </w:tc>
        <w:tc>
          <w:tcPr>
            <w:tcW w:type="dxa" w:w="52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Fewer KPIs assigned (focus on basics), lower targets (more forgiving), higher weight on Compliance &amp; Professional Standards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 — Engineer</w:t>
            </w:r>
          </w:p>
        </w:tc>
        <w:tc>
          <w:tcPr>
            <w:tcW w:type="dxa" w:w="2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Cost Engineer, Cost Analyst, Procurement Coordinator</w:t>
            </w:r>
          </w:p>
        </w:tc>
        <w:tc>
          <w:tcPr>
            <w:tcW w:type="dxa" w:w="52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Full KPI set, standard targets, balanced pillar weights</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3 — Senior</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Senior Cost Engineer, Lead Analyst, Senior Estimator</w:t>
            </w:r>
          </w:p>
        </w:tc>
        <w:tc>
          <w:tcPr>
            <w:tcW w:type="dxa" w:w="52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Higher targets (expected to exceed, not just meet), more weight on Reporting &amp; Analytics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4 — Team Lead</w:t>
            </w:r>
          </w:p>
        </w:tc>
        <w:tc>
          <w:tcPr>
            <w:tcW w:type="dxa" w:w="2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Team Lead, Unit Head, Functional Lead</w:t>
            </w:r>
          </w:p>
        </w:tc>
        <w:tc>
          <w:tcPr>
            <w:tcW w:type="dxa" w:w="52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Team accountability via alpha blending — their score is a blend of personal performance and team average. Higher targets. More weight on Stakeholder Engagement.</w:t>
            </w:r>
          </w:p>
        </w:tc>
      </w:tr>
      <w:tr>
        <w:tc>
          <w:tcPr>
            <w:tcW w:type="dxa" w:w="1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5 — Section Head</w:t>
            </w:r>
          </w:p>
        </w:tc>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Section Head, Department Manager, Division Lead</w:t>
            </w:r>
          </w:p>
        </w:tc>
        <w:tc>
          <w:tcPr>
            <w:tcW w:type="dxa" w:w="52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Strongest team accountability (highest alpha ratios), most demanding targets, highest weight on Cost Management and Governance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sz="0"/>
              <w:left w:val="single" w:color="0D9488" w:sz="8"/>
              <w:bottom w:val="none" w:sz="0"/>
              <w:right w:val="none" w:sz="0"/>
            </w:tcBorders>
            <w:shd w:fill="F0FDFA" w:val="clear"/>
            <w:tcMar>
              <w:top w:type="dxa" w:w="0"/>
              <w:left w:type="dxa" w:w="0"/>
              <w:bottom w:type="dxa" w:w="0"/>
              <w:right w:type="dxa" w:w="0"/>
            </w:tcMar>
          </w:tcPr>
          <w:p>
            <w:pPr>
              <w:spacing w:after="0"/>
            </w:pPr>
          </w:p>
        </w:tc>
        <w:tc>
          <w:tcPr>
            <w:tcW w:type="dxa" w:w="8906"/>
            <w:tcBorders>
              <w:top w:val="none" w:sz="0"/>
              <w:left w:val="none" w:sz="0"/>
              <w:bottom w:val="none" w:sz="0"/>
              <w:right w:val="none" w:sz="0"/>
            </w:tcBorders>
            <w:shd w:fill="F0FDFA" w:val="clear"/>
            <w:tcMar>
              <w:top w:type="dxa" w:w="120"/>
              <w:left w:type="dxa" w:w="160"/>
              <w:bottom w:type="dxa" w:w="120"/>
              <w:right w:type="dxa" w:w="160"/>
            </w:tcMar>
          </w:tcPr>
          <w:p>
            <w:pPr>
              <w:spacing w:after="60"/>
            </w:pPr>
            <w:r>
              <w:rPr>
                <w:rFonts w:ascii="Calibri" w:cs="Calibri" w:eastAsia="Calibri" w:hAnsi="Calibri"/>
                <w:b/>
                <w:bCs/>
                <w:color w:val="0D9488"/>
                <w:sz w:val="20"/>
                <w:szCs w:val="20"/>
              </w:rPr>
              <w:t xml:space="preserve">The Key Insight About Tiers</w:t>
            </w:r>
          </w:p>
          <w:p>
            <w:pPr>
              <w:spacing w:after="0" w:line="280"/>
            </w:pPr>
            <w:r>
              <w:rPr>
                <w:rFonts w:ascii="Calibri" w:cs="Calibri" w:eastAsia="Calibri" w:hAnsi="Calibri"/>
                <w:color w:val="1E293B"/>
                <w:sz w:val="20"/>
                <w:szCs w:val="20"/>
              </w:rPr>
              <w:t xml:space="preserve">Two people doing the same KPI (e.g., “Approval On-Time %”) will have different targets, different weights, and different scoring contexts depending on their tier. The system handles this automatically — there is no need for anyone to remember which target applies to which level.</w:t>
            </w:r>
          </w:p>
        </w:tc>
      </w:tr>
    </w:tbl>
    <w:p>
      <w:r>
        <w:br w:type="page"/>
      </w:r>
    </w:p>
    <w:p>
      <w:pPr>
        <w:pStyle w:val="Heading1"/>
      </w:pPr>
      <w:r>
        <w:t xml:space="preserve">7. Who Sees What — Access and Visibility</w:t>
      </w:r>
    </w:p>
    <w:p>
      <w:pPr>
        <w:spacing w:after="60"/>
      </w:pPr>
    </w:p>
    <w:p>
      <w:pPr>
        <w:spacing w:after="160" w:line="300"/>
      </w:pPr>
      <w:r>
        <w:rPr>
          <w:rFonts w:ascii="Calibri" w:cs="Calibri" w:eastAsia="Calibri" w:hAnsi="Calibri"/>
          <w:color w:val="1E293B"/>
          <w:sz w:val="22"/>
          <w:szCs w:val="22"/>
        </w:rPr>
        <w:t xml:space="preserve">Data privacy is built into the system at every level. The fundamental rule is simple: you can only see what you need to do your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26"/>
      </w:tblGrid>
      <w:tr>
        <w:tc>
          <w:tcPr>
            <w:tcW w:type="dxa" w:w="22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Data Type</w:t>
            </w:r>
          </w:p>
        </w:tc>
        <w:tc>
          <w:tcPr>
            <w:tcW w:type="dxa" w:w="1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Employee</w:t>
            </w:r>
          </w:p>
        </w:tc>
        <w:tc>
          <w:tcPr>
            <w:tcW w:type="dxa" w:w="22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Manager</w:t>
            </w:r>
          </w:p>
        </w:tc>
        <w:tc>
          <w:tcPr>
            <w:tcW w:type="dxa" w:w="28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Admin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Own KPI scores and trends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Full access</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Full access</w:t>
            </w:r>
          </w:p>
        </w:tc>
        <w:tc>
          <w:tcPr>
            <w:tcW w:type="dxa" w:w="2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Full access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Own evidence uploads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Upload &amp; view</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Review &amp; approve</w:t>
            </w:r>
          </w:p>
        </w:tc>
        <w:tc>
          <w:tcPr>
            <w:tcW w:type="dxa" w:w="2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View all</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Team members’ scores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Not visible</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Own team only</w:t>
            </w:r>
          </w:p>
        </w:tc>
        <w:tc>
          <w:tcPr>
            <w:tcW w:type="dxa" w:w="2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All teams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Department heatmap</w:t>
            </w:r>
          </w:p>
        </w:tc>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Not visible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Own department</w:t>
            </w:r>
          </w:p>
        </w:tc>
        <w:tc>
          <w:tcPr>
            <w:tcW w:type="dxa" w:w="2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All departments</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Individual employee details</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Own data only</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Own team members</w:t>
            </w:r>
          </w:p>
        </w:tc>
        <w:tc>
          <w:tcPr>
            <w:tcW w:type="dxa" w:w="2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Any employee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KPI definitions &amp; targets</w:t>
            </w:r>
          </w:p>
        </w:tc>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View only</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View only</w:t>
            </w:r>
          </w:p>
        </w:tc>
        <w:tc>
          <w:tcPr>
            <w:tcW w:type="dxa" w:w="2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Full edit</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Score override capability</w:t>
            </w:r>
          </w:p>
        </w:tc>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No</w:t>
            </w:r>
          </w:p>
        </w:tc>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No</w:t>
            </w:r>
          </w:p>
        </w:tc>
        <w:tc>
          <w:tcPr>
            <w:tcW w:type="dxa" w:w="2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Yes (with audit trail)</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System configuration</w:t>
            </w:r>
          </w:p>
        </w:tc>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No</w:t>
            </w:r>
          </w:p>
        </w:tc>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No</w:t>
            </w:r>
          </w:p>
        </w:tc>
        <w:tc>
          <w:tcPr>
            <w:tcW w:type="dxa" w:w="2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 Full access</w:t>
            </w:r>
          </w:p>
        </w:tc>
      </w:tr>
    </w:tbl>
    <w:p>
      <w:pPr>
        <w:spacing w:after="60"/>
      </w:pPr>
    </w:p>
    <w:p>
      <w:pPr>
        <w:spacing w:after="160" w:line="300"/>
      </w:pPr>
      <w:r>
        <w:rPr>
          <w:rFonts w:ascii="Calibri" w:cs="Calibri" w:eastAsia="Calibri" w:hAnsi="Calibri"/>
          <w:b/>
          <w:bCs/>
          <w:color w:val="DC2626"/>
          <w:sz w:val="22"/>
          <w:szCs w:val="22"/>
        </w:rPr>
        <w:t xml:space="preserve">Critical rule: </w:t>
      </w:r>
      <w:r>
        <w:rPr>
          <w:rFonts w:ascii="Calibri" w:cs="Calibri" w:eastAsia="Calibri" w:hAnsi="Calibri"/>
          <w:color w:val="1E293B"/>
          <w:sz w:val="22"/>
          <w:szCs w:val="22"/>
        </w:rPr>
        <w:t xml:space="preserve">No employee can ever see another employee’s individual scores, even through the AI assistant. A manager cannot query individual employees’ data through the AI chat. The AI assistant only responds with the authenticated user’s own data.</w:t>
      </w:r>
    </w:p>
    <w:p>
      <w:r>
        <w:br w:type="page"/>
      </w:r>
    </w:p>
    <w:p>
      <w:pPr>
        <w:pStyle w:val="Heading1"/>
      </w:pPr>
      <w:r>
        <w:t xml:space="preserve">8. The AI Assistant</w:t>
      </w:r>
    </w:p>
    <w:p>
      <w:pPr>
        <w:spacing w:after="60"/>
      </w:pPr>
    </w:p>
    <w:p>
      <w:pPr>
        <w:spacing w:after="160" w:line="300"/>
      </w:pPr>
      <w:r>
        <w:rPr>
          <w:rFonts w:ascii="Calibri" w:cs="Calibri" w:eastAsia="Calibri" w:hAnsi="Calibri"/>
          <w:color w:val="1E293B"/>
          <w:sz w:val="22"/>
          <w:szCs w:val="22"/>
        </w:rPr>
        <w:t xml:space="preserve">The system includes a built-in AI chat assistant, accessible via a small widget in the bottom-right corner of every screen. It allows employees to ask natural-language questions about their performance and get instant, personalized answers.</w:t>
      </w:r>
    </w:p>
    <w:p>
      <w:pPr>
        <w:spacing w:after="40"/>
      </w:pPr>
    </w:p>
    <w:p>
      <w:pPr>
        <w:pStyle w:val="Heading2"/>
      </w:pPr>
      <w:r>
        <w:t xml:space="preserve">What Can the Assistant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W w:type="dxa" w:w="1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Capability</w:t>
            </w:r>
          </w:p>
        </w:tc>
        <w:tc>
          <w:tcPr>
            <w:tcW w:type="dxa" w:w="2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Example Question</w:t>
            </w:r>
          </w:p>
        </w:tc>
        <w:tc>
          <w:tcPr>
            <w:tcW w:type="dxa" w:w="44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the Assistant Does</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Score Explanation</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“Why is my Pillar B only 72%?”</w:t>
            </w:r>
          </w:p>
        </w:tc>
        <w:tc>
          <w:tcPr>
            <w:tcW w:type="dxa" w:w="44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Breaks down the pillar into its component KPIs, shows which ones scored low, and explains how the weights affected the total</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Gap Analysis</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“Which KPIs am I failing?”</w:t>
            </w:r>
          </w:p>
        </w:tc>
        <w:tc>
          <w:tcPr>
            <w:tcW w:type="dxa" w:w="44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Lists all KPIs where the score is below 3, sorted by impact on overall score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What-If Simulation</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“If I get my FPA to 95%, what’s my new overall score?”</w:t>
            </w:r>
          </w:p>
        </w:tc>
        <w:tc>
          <w:tcPr>
            <w:tcW w:type="dxa" w:w="44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Runs a hypothetical calculation with the changed value, shows the new pillar %, overall %, and appraisal band — without changing real data</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Deadline Awareness</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“When is my next submission due?”</w:t>
            </w:r>
          </w:p>
        </w:tc>
        <w:tc>
          <w:tcPr>
            <w:tcW w:type="dxa" w:w="44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Shows upcoming submission deadlines for the current evaluation period</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Trend Analysis</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“How has my attendance score changed over the last 6 months?”</w:t>
            </w:r>
          </w:p>
        </w:tc>
        <w:tc>
          <w:tcPr>
            <w:tcW w:type="dxa" w:w="44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Retrieves historical trend data and describes the direction</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KPI Definition</w:t>
            </w:r>
          </w:p>
        </w:tc>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“What does FU% mean?”</w:t>
            </w:r>
          </w:p>
        </w:tc>
        <w:tc>
          <w:tcPr>
            <w:tcW w:type="dxa" w:w="44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Explains the KPI definition, its measurement method, and the target for the user’s job level</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Target Guidance</w:t>
            </w:r>
          </w:p>
        </w:tc>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“What score do I need on C3 to reach the ‘Strong’ band?”</w:t>
            </w:r>
          </w:p>
        </w:tc>
        <w:tc>
          <w:tcPr>
            <w:tcW w:type="dxa" w:w="44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Calculates the minimum KPI value needed to shift the overall score above the 80% threshold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sz="0"/>
              <w:left w:val="single" w:color="0D9488" w:sz="8"/>
              <w:bottom w:val="none" w:sz="0"/>
              <w:right w:val="none" w:sz="0"/>
            </w:tcBorders>
            <w:shd w:fill="F0FDFA" w:val="clear"/>
            <w:tcMar>
              <w:top w:type="dxa" w:w="0"/>
              <w:left w:type="dxa" w:w="0"/>
              <w:bottom w:type="dxa" w:w="0"/>
              <w:right w:type="dxa" w:w="0"/>
            </w:tcMar>
          </w:tcPr>
          <w:p>
            <w:pPr>
              <w:spacing w:after="0"/>
            </w:pPr>
          </w:p>
        </w:tc>
        <w:tc>
          <w:tcPr>
            <w:tcW w:type="dxa" w:w="8906"/>
            <w:tcBorders>
              <w:top w:val="none" w:sz="0"/>
              <w:left w:val="none" w:sz="0"/>
              <w:bottom w:val="none" w:sz="0"/>
              <w:right w:val="none" w:sz="0"/>
            </w:tcBorders>
            <w:shd w:fill="F0FDFA" w:val="clear"/>
            <w:tcMar>
              <w:top w:type="dxa" w:w="120"/>
              <w:left w:type="dxa" w:w="160"/>
              <w:bottom w:type="dxa" w:w="120"/>
              <w:right w:type="dxa" w:w="160"/>
            </w:tcMar>
          </w:tcPr>
          <w:p>
            <w:pPr>
              <w:spacing w:after="60"/>
            </w:pPr>
            <w:r>
              <w:rPr>
                <w:rFonts w:ascii="Calibri" w:cs="Calibri" w:eastAsia="Calibri" w:hAnsi="Calibri"/>
                <w:b/>
                <w:bCs/>
                <w:color w:val="0D9488"/>
                <w:sz w:val="20"/>
                <w:szCs w:val="20"/>
              </w:rPr>
              <w:t xml:space="preserve">Privacy by Design</w:t>
            </w:r>
          </w:p>
          <w:p>
            <w:pPr>
              <w:spacing w:after="0" w:line="280"/>
            </w:pPr>
            <w:r>
              <w:rPr>
                <w:rFonts w:ascii="Calibri" w:cs="Calibri" w:eastAsia="Calibri" w:hAnsi="Calibri"/>
                <w:color w:val="1E293B"/>
                <w:sz w:val="20"/>
                <w:szCs w:val="20"/>
              </w:rPr>
              <w:t xml:space="preserve">The AI assistant only accesses the data of the person asking the question. It cannot compare employees, reveal colleagues’ scores, or access data outside the authenticated user’s scope. Every AI query is logged in the audit trail for full transparency.</w:t>
            </w:r>
          </w:p>
        </w:tc>
      </w:tr>
    </w:tbl>
    <w:p>
      <w:r>
        <w:br w:type="page"/>
      </w:r>
    </w:p>
    <w:p>
      <w:pPr>
        <w:pStyle w:val="Heading1"/>
      </w:pPr>
      <w:r>
        <w:t xml:space="preserve">9. Evidence and Document Management</w:t>
      </w:r>
    </w:p>
    <w:p>
      <w:pPr>
        <w:spacing w:after="60"/>
      </w:pPr>
    </w:p>
    <w:p>
      <w:pPr>
        <w:spacing w:after="160" w:line="300"/>
      </w:pPr>
      <w:r>
        <w:rPr>
          <w:rFonts w:ascii="Calibri" w:cs="Calibri" w:eastAsia="Calibri" w:hAnsi="Calibri"/>
          <w:color w:val="1E293B"/>
          <w:sz w:val="22"/>
          <w:szCs w:val="22"/>
        </w:rPr>
        <w:t xml:space="preserve">When an employee claims “my approval rate was 94%,” the system allows them to attach proof — PDF reports, Excel exports, screenshots, or any supporting documentation. This creates an evidence chain that supports the integrity of every score.</w:t>
      </w:r>
    </w:p>
    <w:p>
      <w:pPr>
        <w:spacing w:after="40"/>
      </w:pPr>
    </w:p>
    <w:p>
      <w:pPr>
        <w:pStyle w:val="Heading2"/>
      </w:pPr>
      <w:r>
        <w:t xml:space="preserve">Supported File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2826"/>
      </w:tblGrid>
      <w:tr>
        <w:tc>
          <w:tcPr>
            <w:tcW w:type="dxa" w:w="1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Category</w:t>
            </w:r>
          </w:p>
        </w:tc>
        <w:tc>
          <w:tcPr>
            <w:tcW w:type="dxa" w:w="44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Formats</w:t>
            </w:r>
          </w:p>
        </w:tc>
        <w:tc>
          <w:tcPr>
            <w:tcW w:type="dxa" w:w="28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Maximum Size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Documents</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PDF, Word (.docx), Excel (.xlsx), CSV, PowerPoint (.pptx)</w:t>
            </w:r>
          </w:p>
        </w:tc>
        <w:tc>
          <w:tcPr>
            <w:tcW w:type="dxa" w:w="2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25 MB per file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Images</w:t>
            </w:r>
          </w:p>
        </w:tc>
        <w:tc>
          <w:tcPr>
            <w:tcW w:type="dxa" w:w="44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PNG, JPEG</w:t>
            </w:r>
          </w:p>
        </w:tc>
        <w:tc>
          <w:tcPr>
            <w:tcW w:type="dxa" w:w="2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10 MB per file</w:t>
            </w:r>
          </w:p>
        </w:tc>
      </w:tr>
      <w:tr>
        <w:tc>
          <w:tcPr>
            <w:tcW w:type="dxa" w:w="1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Archives</w:t>
            </w:r>
          </w:p>
        </w:tc>
        <w:tc>
          <w:tcPr>
            <w:tcW w:type="dxa" w:w="44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ZIP (compressed bundles)</w:t>
            </w:r>
          </w:p>
        </w:tc>
        <w:tc>
          <w:tcPr>
            <w:tcW w:type="dxa" w:w="2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50 MB per file</w:t>
            </w:r>
          </w:p>
        </w:tc>
      </w:tr>
    </w:tbl>
    <w:p>
      <w:pPr>
        <w:spacing w:after="60"/>
      </w:pPr>
    </w:p>
    <w:p>
      <w:pPr>
        <w:spacing w:after="160" w:line="300"/>
      </w:pPr>
      <w:r>
        <w:rPr>
          <w:rFonts w:ascii="Calibri" w:cs="Calibri" w:eastAsia="Calibri" w:hAnsi="Calibri"/>
          <w:b/>
          <w:bCs/>
          <w:color w:val="1E293B"/>
          <w:sz w:val="22"/>
          <w:szCs w:val="22"/>
        </w:rPr>
        <w:t xml:space="preserve">Upload limits: </w:t>
      </w:r>
      <w:r>
        <w:rPr>
          <w:rFonts w:ascii="Calibri" w:cs="Calibri" w:eastAsia="Calibri" w:hAnsi="Calibri"/>
          <w:color w:val="1E293B"/>
          <w:sz w:val="22"/>
          <w:szCs w:val="22"/>
        </w:rPr>
        <w:t xml:space="preserve">Up to 5 files per KPI submission. Files are stored in a private, encrypted vault. Nobody can access them via a direct link — the system generates a temporary access link that expires after 1 hour, and only for authorized users (the employee, their manager, or an admin).</w:t>
      </w:r>
    </w:p>
    <w:p>
      <w:pPr>
        <w:spacing w:after="40"/>
      </w:pPr>
    </w:p>
    <w:p>
      <w:pPr>
        <w:spacing w:after="160" w:line="300"/>
      </w:pPr>
      <w:r>
        <w:rPr>
          <w:rFonts w:ascii="Calibri" w:cs="Calibri" w:eastAsia="Calibri" w:hAnsi="Calibri"/>
          <w:b/>
          <w:bCs/>
          <w:color w:val="D97706"/>
          <w:sz w:val="22"/>
          <w:szCs w:val="22"/>
        </w:rPr>
        <w:t xml:space="preserve">Important: </w:t>
      </w:r>
      <w:r>
        <w:rPr>
          <w:rFonts w:ascii="Calibri" w:cs="Calibri" w:eastAsia="Calibri" w:hAnsi="Calibri"/>
          <w:color w:val="1E293B"/>
          <w:sz w:val="22"/>
          <w:szCs w:val="22"/>
        </w:rPr>
        <w:t xml:space="preserve">The system does not automatically verify the content of uploaded documents. It stores and attaches them, but it is the manager’s responsibility to review the evidence and confirm it matches the claimed actual value before approving the submission.</w:t>
      </w:r>
    </w:p>
    <w:p>
      <w:r>
        <w:br w:type="page"/>
      </w:r>
    </w:p>
    <w:p>
      <w:pPr>
        <w:pStyle w:val="Heading1"/>
      </w:pPr>
      <w:r>
        <w:t xml:space="preserve">10. What Happens When Things Go Wrong</w:t>
      </w:r>
    </w:p>
    <w:p>
      <w:pPr>
        <w:spacing w:after="60"/>
      </w:pPr>
    </w:p>
    <w:p>
      <w:pPr>
        <w:spacing w:after="160" w:line="300"/>
      </w:pPr>
      <w:r>
        <w:rPr>
          <w:rFonts w:ascii="Calibri" w:cs="Calibri" w:eastAsia="Calibri" w:hAnsi="Calibri"/>
          <w:color w:val="1E293B"/>
          <w:sz w:val="22"/>
          <w:szCs w:val="22"/>
        </w:rPr>
        <w:t xml:space="preserve">Every system needs to handle errors, conflicts, and unexpected situations. Here is how the CC KPI Tracker deals with the most common issues: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Situation</w:t>
            </w:r>
          </w:p>
        </w:tc>
        <w:tc>
          <w:tcPr>
            <w:tcW w:type="dxa" w:w="62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How the System Handles It</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Admin publishes wrong scores</w:t>
            </w:r>
          </w:p>
        </w:tc>
        <w:tc>
          <w:tcPr>
            <w:tcW w:type="dxa" w:w="62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The admin can override any individual score, but must write a mandatory justification (minimum 10 characters). The original score is preserved in the audit trail and cannot be deleted.</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Employee submits a wrong number</w:t>
            </w:r>
          </w:p>
        </w:tc>
        <w:tc>
          <w:tcPr>
            <w:tcW w:type="dxa" w:w="62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The manager rejects the submission with a comment explaining what needs to be corrected. The employee then resubmits with the correct value.</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Two admins edit the same score at the same time</w:t>
            </w:r>
          </w:p>
        </w:tc>
        <w:tc>
          <w:tcPr>
            <w:tcW w:type="dxa" w:w="62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The system detects the conflict using version tracking. The second person is told to refresh the page before making changes, preventing one person’s edit from silently overwriting the other’s.</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Employee submits data while scoring is running</w:t>
            </w:r>
          </w:p>
        </w:tc>
        <w:tc>
          <w:tcPr>
            <w:tcW w:type="dxa" w:w="62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The system temporarily locks all submissions during the calculation (typically a few minutes) and shows a message: “Scoring is in progress. Please try again shortly.”</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Someone accidentally deletes data</w:t>
            </w:r>
          </w:p>
        </w:tc>
        <w:tc>
          <w:tcPr>
            <w:tcW w:type="dxa" w:w="62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Nothing in this system is truly deleted. All “deletes” are soft — the record is marked as inactive but remains in the database for audit purposes. It can be reactivated by an admin.</w:t>
            </w:r>
          </w:p>
        </w:tc>
      </w:tr>
      <w:tr>
        <w:tc>
          <w:tcPr>
            <w:tcW w:type="dxa" w:w="28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The database has a problem</w:t>
            </w:r>
          </w:p>
        </w:tc>
        <w:tc>
          <w:tcPr>
            <w:tcW w:type="dxa" w:w="62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Automatic daily backups with point-in-time recovery. On the recommended hosting plan, the system can be restored to any specific minute of any day within the last 7 days.</w:t>
            </w:r>
          </w:p>
        </w:tc>
      </w:tr>
      <w:tr>
        <w:tc>
          <w:tcPr>
            <w:tcW w:type="dxa" w:w="28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An employee forgets their password</w:t>
            </w:r>
          </w:p>
        </w:tc>
        <w:tc>
          <w:tcPr>
            <w:tcW w:type="dxa" w:w="62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 self-service password reset flow sends a secure, time-limited link to their registered email. The link expires after 1 hour. After 5 failed login attempts, the account is locked for 15 minutes.</w:t>
            </w:r>
          </w:p>
        </w:tc>
      </w:tr>
    </w:tbl>
    <w:p>
      <w:r>
        <w:br w:type="page"/>
      </w:r>
    </w:p>
    <w:p>
      <w:pPr>
        <w:pStyle w:val="Heading1"/>
      </w:pPr>
      <w:r>
        <w:t xml:space="preserve">11. The Audit Trail</w:t>
      </w:r>
    </w:p>
    <w:p>
      <w:pPr>
        <w:spacing w:after="60"/>
      </w:pPr>
    </w:p>
    <w:p>
      <w:pPr>
        <w:spacing w:after="160" w:line="300"/>
      </w:pPr>
      <w:r>
        <w:rPr>
          <w:rFonts w:ascii="Calibri" w:cs="Calibri" w:eastAsia="Calibri" w:hAnsi="Calibri"/>
          <w:color w:val="1E293B"/>
          <w:sz w:val="22"/>
          <w:szCs w:val="22"/>
        </w:rPr>
        <w:t xml:space="preserve">Every significant action in the system is logged permanently and immutably. This is not optional and cannot be turned off. The audit trail exists for governance, accountability, and compliance — especially important in an EPC environment where performance data may be referenced in HR decisions, promotions, or contract renewals.</w:t>
      </w:r>
    </w:p>
    <w:p>
      <w:pPr>
        <w:spacing w:after="40"/>
      </w:pPr>
    </w:p>
    <w:p>
      <w:pPr>
        <w:pStyle w:val="Heading2"/>
      </w:pPr>
      <w:r>
        <w:t xml:space="preserve">What Gets Logged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Event Category</w:t>
            </w:r>
          </w:p>
        </w:tc>
        <w:tc>
          <w:tcPr>
            <w:tcW w:type="dxa" w:w="68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Specific Events Tracked</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Authentication</w:t>
            </w:r>
          </w:p>
        </w:tc>
        <w:tc>
          <w:tcPr>
            <w:tcW w:type="dxa" w:w="6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Every login attempt (successful and failed), password resets, account lockouts, session expirations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KPI Submissions</w:t>
            </w:r>
          </w:p>
        </w:tc>
        <w:tc>
          <w:tcPr>
            <w:tcW w:type="dxa" w:w="6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Every actual value submitted, every file uploaded, every status change (submitted, approved, rejected), every resubmission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Score Calculations</w:t>
            </w:r>
          </w:p>
        </w:tc>
        <w:tc>
          <w:tcPr>
            <w:tcW w:type="dxa" w:w="6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When the scoring engine was run, by whom, how many employees were scored, the duration of the calculation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Score Overrides</w:t>
            </w:r>
          </w:p>
        </w:tc>
        <w:tc>
          <w:tcPr>
            <w:tcW w:type="dxa" w:w="6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The original score, the new score, who made the override, when, and the mandatory written justification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Configuration Changes</w:t>
            </w:r>
          </w:p>
        </w:tc>
        <w:tc>
          <w:tcPr>
            <w:tcW w:type="dxa" w:w="6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Any change to KPI definitions, targets, weights, alpha ratios, or user assignments — including the old value and the new value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User Management</w:t>
            </w:r>
          </w:p>
        </w:tc>
        <w:tc>
          <w:tcPr>
            <w:tcW w:type="dxa" w:w="6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Account creation, role changes, tier changes, deactivation</w:t>
            </w:r>
          </w:p>
        </w:tc>
      </w:tr>
      <w:tr>
        <w:tc>
          <w:tcPr>
            <w:tcW w:type="dxa" w:w="22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AI Assistant Queries</w:t>
            </w:r>
          </w:p>
        </w:tc>
        <w:tc>
          <w:tcPr>
            <w:tcW w:type="dxa" w:w="6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Every question asked to the AI assistant, by whom, and when — ensuring transparency about data access patterns</w:t>
            </w:r>
          </w:p>
        </w:tc>
      </w:tr>
    </w:tbl>
    <w:p>
      <w:pPr>
        <w:spacing w:after="60"/>
      </w:pPr>
    </w:p>
    <w:p>
      <w:pPr>
        <w:spacing w:after="160" w:line="300"/>
      </w:pPr>
      <w:r>
        <w:rPr>
          <w:rFonts w:ascii="Calibri" w:cs="Calibri" w:eastAsia="Calibri" w:hAnsi="Calibri"/>
          <w:b/>
          <w:bCs/>
          <w:color w:val="1E293B"/>
          <w:sz w:val="22"/>
          <w:szCs w:val="22"/>
        </w:rPr>
        <w:t xml:space="preserve">The audit log is immutable. </w:t>
      </w:r>
      <w:r>
        <w:rPr>
          <w:rFonts w:ascii="Calibri" w:cs="Calibri" w:eastAsia="Calibri" w:hAnsi="Calibri"/>
          <w:color w:val="1E293B"/>
          <w:sz w:val="22"/>
          <w:szCs w:val="22"/>
        </w:rPr>
        <w:t xml:space="preserve">No one — not even system administrators — can edit, delete, or modify audit records. Every entry includes a timestamp, the user who performed the action, and the before/after values of any changed data.</w:t>
      </w:r>
    </w:p>
    <w:p>
      <w:r>
        <w:br w:type="page"/>
      </w:r>
    </w:p>
    <w:p>
      <w:pPr>
        <w:pStyle w:val="Heading1"/>
      </w:pPr>
      <w:r>
        <w:t xml:space="preserve">12. Historical Data and Migration</w:t>
      </w:r>
    </w:p>
    <w:p>
      <w:pPr>
        <w:spacing w:after="60"/>
      </w:pPr>
    </w:p>
    <w:p>
      <w:pPr>
        <w:spacing w:after="160" w:line="300"/>
      </w:pPr>
      <w:r>
        <w:rPr>
          <w:rFonts w:ascii="Calibri" w:cs="Calibri" w:eastAsia="Calibri" w:hAnsi="Calibri"/>
          <w:color w:val="1E293B"/>
          <w:sz w:val="22"/>
          <w:szCs w:val="22"/>
        </w:rPr>
        <w:t xml:space="preserve">If the department has been tracking KPI data in Excel, Oracle ERP, or other systems, that historical data can be imported into the CC KPI Tracker so you don’t start from zero.</w:t>
      </w:r>
    </w:p>
    <w:p>
      <w:pPr>
        <w:spacing w:after="40"/>
      </w:pPr>
    </w:p>
    <w:p>
      <w:pPr>
        <w:pStyle w:val="Heading2"/>
      </w:pPr>
      <w:r>
        <w:t xml:space="preserve">How the Import Works</w:t>
      </w:r>
    </w:p>
    <w:p>
      <w:pPr>
        <w:pStyle w:val="ListParagraph"/>
        <w:numPr>
          <w:ilvl w:val="0"/>
          <w:numId w:val="4"/>
        </w:numPr>
        <w:spacing w:after="80" w:line="280"/>
      </w:pPr>
      <w:r>
        <w:rPr>
          <w:rFonts w:ascii="Calibri" w:cs="Calibri" w:eastAsia="Calibri" w:hAnsi="Calibri"/>
          <w:b/>
          <w:bCs/>
          <w:color w:val="1E293B"/>
          <w:sz w:val="22"/>
          <w:szCs w:val="22"/>
        </w:rPr>
        <w:t xml:space="preserve">Prepare a CSV file </w:t>
      </w:r>
      <w:r>
        <w:rPr>
          <w:rFonts w:ascii="Calibri" w:cs="Calibri" w:eastAsia="Calibri" w:hAnsi="Calibri"/>
          <w:color w:val="1E293B"/>
          <w:sz w:val="22"/>
          <w:szCs w:val="22"/>
        </w:rPr>
        <w:t xml:space="preserve">using the standard template (columns: employee ID, KPI code, evaluation period, actual value, and optional notes)</w:t>
      </w:r>
    </w:p>
    <w:p>
      <w:pPr>
        <w:pStyle w:val="ListParagraph"/>
        <w:numPr>
          <w:ilvl w:val="0"/>
          <w:numId w:val="4"/>
        </w:numPr>
        <w:spacing w:after="80" w:line="280"/>
      </w:pPr>
      <w:r>
        <w:rPr>
          <w:rFonts w:ascii="Calibri" w:cs="Calibri" w:eastAsia="Calibri" w:hAnsi="Calibri"/>
          <w:b/>
          <w:bCs/>
          <w:color w:val="1E293B"/>
          <w:sz w:val="22"/>
          <w:szCs w:val="22"/>
        </w:rPr>
        <w:t xml:space="preserve">Admin uploads the file </w:t>
      </w:r>
      <w:r>
        <w:rPr>
          <w:rFonts w:ascii="Calibri" w:cs="Calibri" w:eastAsia="Calibri" w:hAnsi="Calibri"/>
          <w:color w:val="1E293B"/>
          <w:sz w:val="22"/>
          <w:szCs w:val="22"/>
        </w:rPr>
        <w:t xml:space="preserve">through the import page in the system</w:t>
      </w:r>
    </w:p>
    <w:p>
      <w:pPr>
        <w:pStyle w:val="ListParagraph"/>
        <w:numPr>
          <w:ilvl w:val="0"/>
          <w:numId w:val="4"/>
        </w:numPr>
        <w:spacing w:after="80" w:line="280"/>
      </w:pPr>
      <w:r>
        <w:rPr>
          <w:rFonts w:ascii="Calibri" w:cs="Calibri" w:eastAsia="Calibri" w:hAnsi="Calibri"/>
          <w:b/>
          <w:bCs/>
          <w:color w:val="1E293B"/>
          <w:sz w:val="22"/>
          <w:szCs w:val="22"/>
        </w:rPr>
        <w:t xml:space="preserve">System validates every row </w:t>
      </w:r>
      <w:r>
        <w:rPr>
          <w:rFonts w:ascii="Calibri" w:cs="Calibri" w:eastAsia="Calibri" w:hAnsi="Calibri"/>
          <w:color w:val="1E293B"/>
          <w:sz w:val="22"/>
          <w:szCs w:val="22"/>
        </w:rPr>
        <w:t xml:space="preserve">— checks that each employee exists, each KPI code is valid, values are within acceptable ranges</w:t>
      </w:r>
    </w:p>
    <w:p>
      <w:pPr>
        <w:pStyle w:val="ListParagraph"/>
        <w:numPr>
          <w:ilvl w:val="0"/>
          <w:numId w:val="4"/>
        </w:numPr>
        <w:spacing w:after="80" w:line="280"/>
      </w:pPr>
      <w:r>
        <w:rPr>
          <w:rFonts w:ascii="Calibri" w:cs="Calibri" w:eastAsia="Calibri" w:hAnsi="Calibri"/>
          <w:b/>
          <w:bCs/>
          <w:color w:val="1E293B"/>
          <w:sz w:val="22"/>
          <w:szCs w:val="22"/>
        </w:rPr>
        <w:t xml:space="preserve">Admin previews the results </w:t>
      </w:r>
      <w:r>
        <w:rPr>
          <w:rFonts w:ascii="Calibri" w:cs="Calibri" w:eastAsia="Calibri" w:hAnsi="Calibri"/>
          <w:color w:val="1E293B"/>
          <w:sz w:val="22"/>
          <w:szCs w:val="22"/>
        </w:rPr>
        <w:t xml:space="preserve">— sees a summary of valid records and a list of any errors (e.g., “employee 905-99999 not found”)</w:t>
      </w:r>
    </w:p>
    <w:p>
      <w:pPr>
        <w:pStyle w:val="ListParagraph"/>
        <w:numPr>
          <w:ilvl w:val="0"/>
          <w:numId w:val="4"/>
        </w:numPr>
        <w:spacing w:after="80" w:line="280"/>
      </w:pPr>
      <w:r>
        <w:rPr>
          <w:rFonts w:ascii="Calibri" w:cs="Calibri" w:eastAsia="Calibri" w:hAnsi="Calibri"/>
          <w:b/>
          <w:bCs/>
          <w:color w:val="1E293B"/>
          <w:sz w:val="22"/>
          <w:szCs w:val="22"/>
        </w:rPr>
        <w:t xml:space="preserve">Admin confirms the import </w:t>
      </w:r>
      <w:r>
        <w:rPr>
          <w:rFonts w:ascii="Calibri" w:cs="Calibri" w:eastAsia="Calibri" w:hAnsi="Calibri"/>
          <w:color w:val="1E293B"/>
          <w:sz w:val="22"/>
          <w:szCs w:val="22"/>
        </w:rPr>
        <w:t xml:space="preserve">— valid records are inserted into the system, errors are skipped with a downloadable error report</w:t>
      </w:r>
    </w:p>
    <w:p>
      <w:pPr>
        <w:spacing w:after="60"/>
      </w:pPr>
    </w:p>
    <w:p>
      <w:pPr>
        <w:spacing w:after="160" w:line="300"/>
      </w:pPr>
      <w:r>
        <w:rPr>
          <w:rFonts w:ascii="Calibri" w:cs="Calibri" w:eastAsia="Calibri" w:hAnsi="Calibri"/>
          <w:color w:val="1E293B"/>
          <w:sz w:val="22"/>
          <w:szCs w:val="22"/>
        </w:rPr>
        <w:t xml:space="preserve">All imported records are tagged with a “MIGRATION” label in the audit trail, so they are clearly distinguishable from data entered natively in the system.</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one" w:sz="0"/>
              <w:left w:val="single" w:color="0D9488" w:sz="8"/>
              <w:bottom w:val="none" w:sz="0"/>
              <w:right w:val="none" w:sz="0"/>
            </w:tcBorders>
            <w:shd w:fill="F0FDFA" w:val="clear"/>
            <w:tcMar>
              <w:top w:type="dxa" w:w="0"/>
              <w:left w:type="dxa" w:w="0"/>
              <w:bottom w:type="dxa" w:w="0"/>
              <w:right w:type="dxa" w:w="0"/>
            </w:tcMar>
          </w:tcPr>
          <w:p>
            <w:pPr>
              <w:spacing w:after="0"/>
            </w:pPr>
          </w:p>
        </w:tc>
        <w:tc>
          <w:tcPr>
            <w:tcW w:type="dxa" w:w="8906"/>
            <w:tcBorders>
              <w:top w:val="none" w:sz="0"/>
              <w:left w:val="none" w:sz="0"/>
              <w:bottom w:val="none" w:sz="0"/>
              <w:right w:val="none" w:sz="0"/>
            </w:tcBorders>
            <w:shd w:fill="F0FDFA" w:val="clear"/>
            <w:tcMar>
              <w:top w:type="dxa" w:w="120"/>
              <w:left w:type="dxa" w:w="160"/>
              <w:bottom w:type="dxa" w:w="120"/>
              <w:right w:type="dxa" w:w="160"/>
            </w:tcMar>
          </w:tcPr>
          <w:p>
            <w:pPr>
              <w:spacing w:after="60"/>
            </w:pPr>
            <w:r>
              <w:rPr>
                <w:rFonts w:ascii="Calibri" w:cs="Calibri" w:eastAsia="Calibri" w:hAnsi="Calibri"/>
                <w:b/>
                <w:bCs/>
                <w:color w:val="0D9488"/>
                <w:sz w:val="20"/>
                <w:szCs w:val="20"/>
              </w:rPr>
              <w:t xml:space="preserve">Future: Automated Oracle ERP Integration</w:t>
            </w:r>
          </w:p>
          <w:p>
            <w:pPr>
              <w:spacing w:after="0" w:line="280"/>
            </w:pPr>
            <w:r>
              <w:rPr>
                <w:rFonts w:ascii="Calibri" w:cs="Calibri" w:eastAsia="Calibri" w:hAnsi="Calibri"/>
                <w:color w:val="1E293B"/>
                <w:sz w:val="20"/>
                <w:szCs w:val="20"/>
              </w:rPr>
              <w:t xml:space="preserve">A future phase can automate the pull of Pillar A data (approval timestamps, PO/PR processing times) directly from Oracle ERP R12 on a nightly schedule, eliminating manual data entry for that pillar entirely.</w:t>
            </w:r>
          </w:p>
        </w:tc>
      </w:tr>
    </w:tbl>
    <w:p>
      <w:r>
        <w:br w:type="page"/>
      </w:r>
    </w:p>
    <w:p>
      <w:pPr>
        <w:pStyle w:val="Heading1"/>
      </w:pPr>
      <w:r>
        <w:t xml:space="preserve">13. Security and Data Protection</w:t>
      </w:r>
    </w:p>
    <w:p>
      <w:pPr>
        <w:spacing w:after="60"/>
      </w:pPr>
    </w:p>
    <w:p>
      <w:pPr>
        <w:spacing w:after="160" w:line="300"/>
      </w:pPr>
      <w:r>
        <w:rPr>
          <w:rFonts w:ascii="Calibri" w:cs="Calibri" w:eastAsia="Calibri" w:hAnsi="Calibri"/>
          <w:color w:val="1E293B"/>
          <w:sz w:val="22"/>
          <w:szCs w:val="22"/>
        </w:rPr>
        <w:t xml:space="preserve">The system handles sensitive employee performance data, which requires robust security at every level: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Security Layer</w:t>
            </w:r>
          </w:p>
        </w:tc>
        <w:tc>
          <w:tcPr>
            <w:tcW w:type="dxa" w:w="70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What It Does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Authentication</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Email/password login with encrypted passwords. Sessions expire after 24 hours. Accounts lock after 5 failed login attempts.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Authorization</w:t>
            </w:r>
          </w:p>
        </w:tc>
        <w:tc>
          <w:tcPr>
            <w:tcW w:type="dxa" w:w="70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Every screen and every API endpoint checks the user’s role before showing data or allowing actions. An Employee cannot access Manager screens, and a Manager cannot access Admin functions.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Data Isolation</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Each user can only access their own data. Managers see only their team. Database queries are filtered by user identity at the lowest level.</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Evidence Storage</w:t>
            </w:r>
          </w:p>
        </w:tc>
        <w:tc>
          <w:tcPr>
            <w:tcW w:type="dxa" w:w="70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All uploaded files are stored in an encrypted, private vault. No direct download links exist — the system generates temporary signed URLs that expire after 1 hour.</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Rate Limiting</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Protection against brute-force attacks. Login attempts are limited to 5 per 15 minutes. File uploads are limited to 20 per hour. General API usage is throttled to prevent abuse.</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Security Headers</w:t>
            </w:r>
          </w:p>
        </w:tc>
        <w:tc>
          <w:tcPr>
            <w:tcW w:type="dxa" w:w="70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Standard web security protections that prevent clickjacking, cross-site scripting, and other common web attacks.</w:t>
            </w:r>
          </w:p>
        </w:tc>
      </w:tr>
      <w:tr>
        <w:tc>
          <w:tcPr>
            <w:tcW w:type="dxa" w:w="20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Audit Logging</w:t>
            </w:r>
          </w:p>
        </w:tc>
        <w:tc>
          <w:tcPr>
            <w:tcW w:type="dxa" w:w="70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Every action is recorded immutably, creating a forensic trail for any security investigation.</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Backups</w:t>
            </w:r>
          </w:p>
        </w:tc>
        <w:tc>
          <w:tcPr>
            <w:tcW w:type="dxa" w:w="70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Automatic daily database backups with point-in-time recovery capability, ensuring no data is permanently lost.</w:t>
            </w:r>
          </w:p>
        </w:tc>
      </w:tr>
    </w:tbl>
    <w:p>
      <w:r>
        <w:br w:type="page"/>
      </w:r>
    </w:p>
    <w:p>
      <w:pPr>
        <w:pStyle w:val="Heading1"/>
      </w:pPr>
      <w:r>
        <w:t xml:space="preserve">14. Business Value Summary</w:t>
      </w:r>
    </w:p>
    <w:p>
      <w:pPr>
        <w:spacing w:after="60"/>
      </w:pPr>
    </w:p>
    <w:p>
      <w:pPr>
        <w:spacing w:after="160" w:line="300"/>
      </w:pPr>
      <w:r>
        <w:rPr>
          <w:rFonts w:ascii="Calibri" w:cs="Calibri" w:eastAsia="Calibri" w:hAnsi="Calibri"/>
          <w:color w:val="1E293B"/>
          <w:sz w:val="22"/>
          <w:szCs w:val="22"/>
        </w:rPr>
        <w:t xml:space="preserve">The following table summarizes what changes when moving from the current manual process to the CC KPI Tracker: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826"/>
      </w:tblGrid>
      <w:tr>
        <w:tc>
          <w:tcPr>
            <w:tcW w:type="dxa" w:w="16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Dimension</w:t>
            </w:r>
          </w:p>
        </w:tc>
        <w:tc>
          <w:tcPr>
            <w:tcW w:type="dxa" w:w="3600"/>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Before (Manual Process)</w:t>
            </w:r>
          </w:p>
        </w:tc>
        <w:tc>
          <w:tcPr>
            <w:tcW w:type="dxa" w:w="3826"/>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pPr>
              <w:spacing w:after="0"/>
            </w:pPr>
            <w:r>
              <w:rPr>
                <w:rFonts w:ascii="Calibri" w:cs="Calibri" w:eastAsia="Calibri" w:hAnsi="Calibri"/>
                <w:b/>
                <w:bCs/>
                <w:color w:val="FFFFFF"/>
                <w:sz w:val="20"/>
                <w:szCs w:val="20"/>
              </w:rPr>
              <w:t xml:space="preserve">After (CC KPI Tracker)</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Score Calculation</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Manual Excel formulas, prone to errors, takes days</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One-click automated engine, completes in under a minute, zero formula errors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Transparency</w:t>
            </w:r>
          </w:p>
        </w:tc>
        <w:tc>
          <w:tcPr>
            <w:tcW w:type="dxa" w:w="3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Employees don’t know how their score was calculated</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Full dashboard with pillar breakdowns, KPI-level detail, and AI-powered explanations</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Evidence Trail</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Paper files, email attachments, shared drives</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Centralized secure vault with version tracking and direct links to each KPI</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Audit Compliance</w:t>
            </w:r>
          </w:p>
        </w:tc>
        <w:tc>
          <w:tcPr>
            <w:tcW w:type="dxa" w:w="3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Informal, difficult to reconstruct who changed what</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Immutable audit log capturing every action, every change, with timestamps and user identity</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Manager Oversight</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Requires manual compilation of team data</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Real-time department heatmap, one-click drill-down into any team member</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Consistency</w:t>
            </w:r>
          </w:p>
        </w:tc>
        <w:tc>
          <w:tcPr>
            <w:tcW w:type="dxa" w:w="3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Different people may apply different formulas or interpretations</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Single scoring engine applies the same rules to everyone, every time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Speed</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Days to weeks for a complete evaluation cycle</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5–10 business days including review time; calculation itself takes seconds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Historical Insight</w:t>
            </w:r>
          </w:p>
        </w:tc>
        <w:tc>
          <w:tcPr>
            <w:tcW w:type="dxa" w:w="3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Scattered across Excel versions, hard to compare periods</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Built-in trend charts showing performance over time for any KPI, pillar, or overall score</w:t>
            </w:r>
          </w:p>
        </w:tc>
      </w:tr>
      <w:tr>
        <w:tc>
          <w:tcPr>
            <w:tcW w:type="dxa" w:w="1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Self-Service</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Employees must ask HR or their manager for their scores</w:t>
            </w:r>
          </w:p>
        </w:tc>
        <w:tc>
          <w:tcPr>
            <w:tcW w:type="dxa" w:w="3826"/>
            <w:tcBorders>
              <w:top w:val="single" w:color="CBD5E1" w:sz="1"/>
              <w:left w:val="single" w:color="CBD5E1" w:sz="1"/>
              <w:bottom w:val="single" w:color="CBD5E1" w:sz="1"/>
              <w:right w:val="single" w:color="CBD5E1" w:sz="1"/>
            </w:tcBorders>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24/7 access to personal dashboard and AI assistant for instant answers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Scalability</w:t>
            </w:r>
          </w:p>
        </w:tc>
        <w:tc>
          <w:tcPr>
            <w:tcW w:type="dxa" w:w="3600"/>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Adding a new employee requires updating multiple spreadsheets</w:t>
            </w:r>
          </w:p>
        </w:tc>
        <w:tc>
          <w:tcPr>
            <w:tcW w:type="dxa" w:w="3826"/>
            <w:tcBorders>
              <w:top w:val="single" w:color="CBD5E1" w:sz="1"/>
              <w:left w:val="single" w:color="CBD5E1" w:sz="1"/>
              <w:bottom w:val="single" w:color="CBD5E1" w:sz="1"/>
              <w:right w:val="single" w:color="CBD5E1" w:sz="1"/>
            </w:tcBorders>
            <w:shd w:fill="F8FAFC" w:val="clear"/>
            <w:tcMar>
              <w:top w:type="dxa" w:w="60"/>
              <w:left w:type="dxa" w:w="100"/>
              <w:bottom w:type="dxa" w:w="60"/>
              <w:right w:type="dxa" w:w="100"/>
            </w:tcMar>
            <w:vAlign w:val="center"/>
          </w:tcPr>
          <w:p>
            <w:pPr>
              <w:spacing w:after="0"/>
            </w:pPr>
            <w:r>
              <w:rPr>
                <w:rFonts w:ascii="Calibri" w:cs="Calibri" w:eastAsia="Calibri" w:hAnsi="Calibri"/>
                <w:color w:val="1E293B"/>
                <w:sz w:val="20"/>
                <w:szCs w:val="20"/>
              </w:rPr>
              <w:t xml:space="preserve">Admin creates one user record; the system handles assignments, targets, and weights automatically</w:t>
            </w:r>
          </w:p>
        </w:tc>
      </w:tr>
    </w:tbl>
    <w:p>
      <w:pPr>
        <w:spacing w:after="100"/>
      </w:pPr>
    </w:p>
    <w:p>
      <w:pPr>
        <w:pBdr>
          <w:bottom w:val="single" w:color="CBD5E1" w:sz="2" w:space="8"/>
        </w:pBdr>
        <w:spacing w:after="200" w:before="200"/>
      </w:pPr>
    </w:p>
    <w:p>
      <w:pPr>
        <w:spacing w:after="60"/>
      </w:pPr>
    </w:p>
    <w:p>
      <w:pPr>
        <w:spacing w:after="100"/>
        <w:jc w:val="center"/>
      </w:pPr>
      <w:r>
        <w:rPr>
          <w:rFonts w:ascii="Calibri" w:cs="Calibri" w:eastAsia="Calibri" w:hAnsi="Calibri"/>
          <w:i/>
          <w:iCs/>
          <w:color w:val="94A3B8"/>
          <w:sz w:val="22"/>
          <w:szCs w:val="22"/>
        </w:rPr>
        <w:t xml:space="preserve">End of Document</w:t>
      </w:r>
    </w:p>
    <w:p>
      <w:pPr>
        <w:spacing w:after="0"/>
        <w:jc w:val="center"/>
      </w:pPr>
      <w:r>
        <w:rPr>
          <w:rFonts w:ascii="Calibri" w:cs="Calibri" w:eastAsia="Calibri" w:hAnsi="Calibri"/>
          <w:color w:val="94A3B8"/>
          <w:sz w:val="18"/>
          <w:szCs w:val="18"/>
        </w:rPr>
        <w:t xml:space="preserve">CC KPI Tracker — Data Architecture &amp; Business Guide — Version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6"/>
      </w:pBdr>
      <w:tabs>
        <w:tab w:val="right" w:pos="9026"/>
      </w:tabs>
      <w:spacing w:after="0"/>
    </w:pPr>
    <w:r>
      <w:rPr>
        <w:rFonts w:ascii="Calibri" w:cs="Calibri" w:eastAsia="Calibri" w:hAnsi="Calibri"/>
        <w:i/>
        <w:iCs/>
        <w:color w:val="94A3B8"/>
        <w:sz w:val="16"/>
        <w:szCs w:val="16"/>
      </w:rPr>
      <w:t xml:space="preserve">Confidential</w:t>
    </w:r>
    <w:r>
      <w:rPr>
        <w:rFonts w:ascii="Calibri" w:cs="Calibri" w:eastAsia="Calibri" w:hAnsi="Calibri"/>
        <w:color w:val="94A3B8"/>
        <w:sz w:val="16"/>
        <w:szCs w:val="16"/>
      </w:rPr>
      <w:t xml:space="preserve">	Page </w:t>
    </w: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6"/>
      </w:pBdr>
      <w:tabs>
        <w:tab w:val="right" w:pos="9026"/>
      </w:tabs>
      <w:spacing w:after="0"/>
    </w:pPr>
    <w:r>
      <w:rPr>
        <w:rFonts w:ascii="Calibri" w:cs="Calibri" w:eastAsia="Calibri" w:hAnsi="Calibri"/>
        <w:b/>
        <w:bCs/>
        <w:color w:val="94A3B8"/>
        <w:sz w:val="16"/>
        <w:szCs w:val="16"/>
      </w:rPr>
      <w:t xml:space="preserve">CC KPI Tracker</w:t>
    </w:r>
    <w:r>
      <w:rPr>
        <w:rFonts w:ascii="Calibri" w:cs="Calibri" w:eastAsia="Calibri" w:hAnsi="Calibri"/>
        <w:color w:val="94A3B8"/>
        <w:sz w:val="16"/>
        <w:szCs w:val="16"/>
      </w:rPr>
      <w:t xml:space="preserve">	Data Architecture &amp; Business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0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20" w:before="1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20"/>
      <w:outlineLvl w:val="2"/>
    </w:pPr>
    <w:rPr>
      <w:rFonts w:ascii="Calibri" w:cs="Calibri" w:eastAsia="Calibri" w:hAnsi="Calibri"/>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2026-03-04T08:50:19.340Z</dcterms:created>
  <dcterms:modified xsi:type="dcterms:W3CDTF">2026-03-04T08:50:19.341Z</dcterms:modified>
</cp:coreProperties>
</file>

<file path=docProps/custom.xml><?xml version="1.0" encoding="utf-8"?>
<Properties xmlns="http://schemas.openxmlformats.org/officeDocument/2006/custom-properties" xmlns:vt="http://schemas.openxmlformats.org/officeDocument/2006/docPropsVTypes"/>
</file>