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2880"/>
              <w:left w:type="dxa" w:w="1440"/>
              <w:bottom w:type="dxa" w:w="800"/>
              <w:right w:type="dxa" w:w="1440"/>
            </w:tcMar>
          </w:tcPr>
          <w:p>
            <w:pPr>
              <w:spacing w:after="160"/>
              <w:jc w:val="left"/>
            </w:pPr>
            <w:r>
              <w:rPr>
                <w:rFonts w:ascii="Arial" w:cs="Arial" w:eastAsia="Arial" w:hAnsi="Arial"/>
                <w:b/>
                <w:bCs/>
                <w:caps/>
                <w:color w:val="7FAADB"/>
                <w:sz w:val="22"/>
                <w:szCs w:val="22"/>
              </w:rPr>
              <w:t xml:space="preserve">MARKET INTELLIGENCE REPORT</w:t>
            </w:r>
          </w:p>
          <w:p>
            <w:pPr>
              <w:spacing w:after="240"/>
              <w:jc w:val="left"/>
            </w:pPr>
            <w:r>
              <w:rPr>
                <w:rFonts w:ascii="Arial" w:cs="Arial" w:eastAsia="Arial" w:hAnsi="Arial"/>
                <w:b/>
                <w:bCs/>
                <w:color w:val="FFFFFF"/>
                <w:sz w:val="64"/>
                <w:szCs w:val="64"/>
              </w:rPr>
              <w:t xml:space="preserve">Social Listening &amp;</w:t>
            </w:r>
          </w:p>
          <w:p>
            <w:pPr>
              <w:spacing w:after="480"/>
              <w:jc w:val="left"/>
            </w:pPr>
            <w:r>
              <w:rPr>
                <w:rFonts w:ascii="Arial" w:cs="Arial" w:eastAsia="Arial" w:hAnsi="Arial"/>
                <w:b/>
                <w:bCs/>
                <w:color w:val="7FAADB"/>
                <w:sz w:val="64"/>
                <w:szCs w:val="64"/>
              </w:rPr>
              <w:t xml:space="preserve">AI-Powered Market Intelligence</w:t>
            </w:r>
          </w:p>
          <w:p>
            <w:pPr>
              <w:spacing w:after="160"/>
              <w:jc w:val="left"/>
            </w:pPr>
            <w:r>
              <w:rPr>
                <w:rFonts w:ascii="Arial" w:cs="Arial" w:eastAsia="Arial" w:hAnsi="Arial"/>
                <w:color w:val="BFDBFE"/>
                <w:sz w:val="22"/>
                <w:szCs w:val="22"/>
              </w:rPr>
              <w:t xml:space="preserve">Global Competitive Landscape | TAM Analysis | Revenue Benchmarks</w:t>
            </w:r>
          </w:p>
          <w:p>
            <w:pPr>
              <w:jc w:val="left"/>
            </w:pPr>
            <w:r>
              <w:rPr>
                <w:rFonts w:ascii="Arial" w:cs="Arial" w:eastAsia="Arial" w:hAnsi="Arial"/>
                <w:color w:val="93C5FD"/>
                <w:sz w:val="22"/>
                <w:szCs w:val="22"/>
              </w:rPr>
              <w:t xml:space="preserve">March 2026  ·  China vs. U.S. Edition</w:t>
            </w:r>
          </w:p>
        </w:tc>
      </w:tr>
      <w:tr>
        <w:tc>
          <w:tcPr>
            <w:tcW w:type="dxa" w:w="12240"/>
            <w:tcBorders>
              <w:top w:val="none" w:color="FFFFFF" w:sz="0"/>
              <w:left w:val="none" w:color="FFFFFF" w:sz="0"/>
              <w:bottom w:val="none" w:color="FFFFFF" w:sz="0"/>
              <w:right w:val="none" w:color="FFFFFF" w:sz="0"/>
            </w:tcBorders>
            <w:shd w:fill="0D9488" w:val="clear"/>
            <w:tcMar>
              <w:top w:type="dxa" w:w="160"/>
              <w:left w:type="dxa" w:w="1440"/>
              <w:bottom w:type="dxa" w:w="160"/>
              <w:right w:type="dxa" w:w="1440"/>
            </w:tcMar>
          </w:tcPr>
          <w:p>
            <w:r>
              <w:rPr>
                <w:rFonts w:ascii="Arial" w:cs="Arial" w:eastAsia="Arial" w:hAnsi="Arial"/>
                <w:color w:val="FFFFFF"/>
                <w:sz w:val="18"/>
                <w:szCs w:val="18"/>
              </w:rPr>
              <w:t xml:space="preserve">Compiled from primary research, public filings, and industry databases</w:t>
            </w:r>
          </w:p>
        </w:tc>
      </w:tr>
    </w:tbl>
    <w:p>
      <w:pPr>
        <w:sectPr>
          <w:pgSz w:w="12240" w:h="15840" w:orient="portrait"/>
          <w:pgMar w:top="0" w:right="0" w:bottom="0" w:left="0" w:header="708" w:footer="708" w:gutter="0"/>
          <w:pgNumType/>
          <w:docGrid w:linePitch="360"/>
        </w:sectPr>
      </w:pPr>
    </w:p>
    <w:p>
      <w:pPr>
        <w:pStyle w:val="Heading1"/>
        <w:pBdr>
          <w:bottom w:val="single" w:color="0D9488" w:sz="8" w:space="6"/>
        </w:pBdr>
        <w:spacing w:before="360" w:after="160"/>
      </w:pPr>
      <w:r>
        <w:rPr>
          <w:rFonts w:ascii="Arial" w:cs="Arial" w:eastAsia="Arial" w:hAnsi="Arial"/>
          <w:b/>
          <w:bCs/>
          <w:color w:val="1B3A6B"/>
          <w:sz w:val="36"/>
          <w:szCs w:val="36"/>
        </w:rPr>
        <w:t xml:space="preserve">What Is Social Listening?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none" w:color="FFFFFF" w:sz="0"/>
              <w:right w:val="none" w:color="FFFFFF" w:sz="0"/>
            </w:tcBorders>
            <w:shd w:fill="DBEAFE" w:val="clear"/>
            <w:tcMar>
              <w:top w:type="dxa" w:w="140"/>
              <w:left w:type="dxa" w:w="200"/>
              <w:bottom w:type="dxa" w:w="140"/>
              <w:right w:type="dxa" w:w="200"/>
            </w:tcMar>
          </w:tcPr>
          <w:p>
            <w:pPr>
              <w:spacing w:after="60"/>
            </w:pPr>
            <w:r>
              <w:rPr>
                <w:rFonts w:ascii="Arial" w:cs="Arial" w:eastAsia="Arial" w:hAnsi="Arial"/>
                <w:b/>
                <w:bCs/>
                <w:color w:val="1B3A6B"/>
                <w:sz w:val="22"/>
                <w:szCs w:val="22"/>
              </w:rPr>
              <w:t xml:space="preserve">Core Definition</w:t>
            </w:r>
          </w:p>
          <w:p>
            <w:pPr>
              <w:spacing w:after="0"/>
            </w:pPr>
            <w:r>
              <w:rPr>
                <w:rFonts w:ascii="Arial" w:cs="Arial" w:eastAsia="Arial" w:hAnsi="Arial"/>
                <w:color w:val="374151"/>
                <w:sz w:val="20"/>
                <w:szCs w:val="20"/>
              </w:rPr>
              <w:t xml:space="preserve">Social Listening in terms of AI-powered market intelligence means using artificial intelligence (especially NLP and machine learning) to automatically monitor, analyze, and interpret public online conversations about brands, competitors, industries, and topics across social media, forums, news, reviews, and other digital channels.</w:t>
            </w:r>
          </w:p>
        </w:tc>
      </w:tr>
    </w:tbl>
    <w:p>
      <w:pPr>
        <w:spacing w:before="240" w:after="0"/>
      </w:pPr>
      <w:r>
        <w:t xml:space="preserve"/>
      </w:r>
    </w:p>
    <w:p>
      <w:pPr>
        <w:pStyle w:val="Heading2"/>
        <w:spacing w:before="280" w:after="120"/>
      </w:pPr>
      <w:r>
        <w:rPr>
          <w:rFonts w:ascii="Arial" w:cs="Arial" w:eastAsia="Arial" w:hAnsi="Arial"/>
          <w:b/>
          <w:bCs/>
          <w:color w:val="2563A8"/>
          <w:sz w:val="28"/>
          <w:szCs w:val="28"/>
        </w:rPr>
        <w:t xml:space="preserve">How AI Transforms Social Listening</w:t>
      </w:r>
    </w:p>
    <w:p>
      <w:pPr>
        <w:spacing w:after="120"/>
      </w:pPr>
      <w:r>
        <w:rPr>
          <w:rFonts w:ascii="Arial" w:cs="Arial" w:eastAsia="Arial" w:hAnsi="Arial"/>
          <w:color w:val="374151"/>
          <w:sz w:val="22"/>
          <w:szCs w:val="22"/>
        </w:rPr>
        <w:t xml:space="preserve">Traditional social listening relied on keyword matching and manual review. AI-driven social listening replaces this with continuous, scalable intelligence across five core capabilities: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AI Capability</w:t>
            </w:r>
          </w:p>
        </w:tc>
        <w:tc>
          <w:tcPr>
            <w:tcW w:type="dxa" w:w="716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NLP &amp; Semantic Analysis</w:t>
            </w:r>
          </w:p>
        </w:tc>
        <w:tc>
          <w:tcPr>
            <w:tcW w:type="dxa" w:w="71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Parses millions of posts to understand meaning, sarcasm, slang, intent, and context — not just keywords.</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Sentiment Analysis</w:t>
            </w:r>
          </w:p>
        </w:tc>
        <w:tc>
          <w:tcPr>
            <w:tcW w:type="dxa" w:w="716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Detects nuanced emotions (frustration, delight, confusion) across positive / neutral / negative spectrums, tracked over time.</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Trend Detection &amp; Forecasting</w:t>
            </w:r>
          </w:p>
        </w:tc>
        <w:tc>
          <w:tcPr>
            <w:tcW w:type="dxa" w:w="71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Identifies emerging topics before they go mainstream — giving brands early signals on shifting consumer preferences or viral risks.</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Audience Intelligence</w:t>
            </w:r>
          </w:p>
        </w:tc>
        <w:tc>
          <w:tcPr>
            <w:tcW w:type="dxa" w:w="716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Clusters online communities to reveal demographics, psychographics, influencer networks, and opinion drivers.</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Competitive Intelligence</w:t>
            </w:r>
          </w:p>
        </w:tc>
        <w:tc>
          <w:tcPr>
            <w:tcW w:type="dxa" w:w="71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Continuously monitors competitor mentions, product feedback, pricing reactions, and campaign performance in real time.</w:t>
            </w:r>
          </w:p>
        </w:tc>
      </w:tr>
    </w:tbl>
    <w:p>
      <w:pPr>
        <w:spacing w:before="280" w:after="0"/>
      </w:pPr>
      <w:r>
        <w:t xml:space="preserve"/>
      </w:r>
    </w:p>
    <w:p>
      <w:pPr>
        <w:pStyle w:val="Heading2"/>
        <w:spacing w:before="280" w:after="120"/>
      </w:pPr>
      <w:r>
        <w:rPr>
          <w:rFonts w:ascii="Arial" w:cs="Arial" w:eastAsia="Arial" w:hAnsi="Arial"/>
          <w:b/>
          <w:bCs/>
          <w:color w:val="2563A8"/>
          <w:sz w:val="28"/>
          <w:szCs w:val="28"/>
        </w:rPr>
        <w:t xml:space="preserve">Real-World Use Cases with Examples</w:t>
      </w:r>
    </w:p>
    <w:p>
      <w:pPr>
        <w:spacing w:after="120"/>
      </w:pPr>
      <w:r>
        <w:rPr>
          <w:rFonts w:ascii="Arial" w:cs="Arial" w:eastAsia="Arial" w:hAnsi="Arial"/>
          <w:color w:val="374151"/>
          <w:sz w:val="22"/>
          <w:szCs w:val="22"/>
        </w:rPr>
        <w:t xml:space="preserve">The following table maps business use cases to concrete examples of how AI social listening generates actionable intelligence: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358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AI Detects</w:t>
            </w:r>
          </w:p>
        </w:tc>
        <w:tc>
          <w:tcPr>
            <w:tcW w:type="dxa" w:w="358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20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b/>
                <w:bCs/>
                <w:color w:val="0D9488"/>
                <w:sz w:val="20"/>
                <w:szCs w:val="20"/>
              </w:rPr>
              <w:t xml:space="preserve">Brand Health</w:t>
            </w:r>
          </w:p>
        </w:tc>
        <w:tc>
          <w:tcPr>
            <w:tcW w:type="dxa" w:w="3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Reputation shifts, PR crisis early warnings</w:t>
            </w:r>
          </w:p>
        </w:tc>
        <w:tc>
          <w:tcPr>
            <w:tcW w:type="dxa" w:w="3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A luxury brand detects a 340% spike in negative sentiment around a packaging change — 72 hours before it trends on Twitter.</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0D9488"/>
                <w:sz w:val="20"/>
                <w:szCs w:val="20"/>
              </w:rPr>
              <w:t xml:space="preserve">Product Feedback</w:t>
            </w:r>
          </w:p>
        </w:tc>
        <w:tc>
          <w:tcPr>
            <w:tcW w:type="dxa" w:w="3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Feature requests, pain points, bugs mentioned online</w:t>
            </w:r>
          </w:p>
        </w:tc>
        <w:tc>
          <w:tcPr>
            <w:tcW w:type="dxa" w:w="3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A SaaS company finds 'slow export' is the #1 complaint in Reddit threads — before it appears in support tickets.</w:t>
            </w:r>
          </w:p>
        </w:tc>
      </w:tr>
      <w:tr>
        <w:tc>
          <w:tcPr>
            <w:tcW w:type="dxa" w:w="220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b/>
                <w:bCs/>
                <w:color w:val="0D9488"/>
                <w:sz w:val="20"/>
                <w:szCs w:val="20"/>
              </w:rPr>
              <w:t xml:space="preserve">Campaign Measurement</w:t>
            </w:r>
          </w:p>
        </w:tc>
        <w:tc>
          <w:tcPr>
            <w:tcW w:type="dxa" w:w="3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Organic reaction vs. paid reach</w:t>
            </w:r>
          </w:p>
        </w:tc>
        <w:tc>
          <w:tcPr>
            <w:tcW w:type="dxa" w:w="3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A CPG brand sees its new TV ad generates 8x more earned conversation in urban markets vs. rural — prompting a budget shift.</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0D9488"/>
                <w:sz w:val="20"/>
                <w:szCs w:val="20"/>
              </w:rPr>
              <w:t xml:space="preserve">Consumer Trends</w:t>
            </w:r>
          </w:p>
        </w:tc>
        <w:tc>
          <w:tcPr>
            <w:tcW w:type="dxa" w:w="3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Lifestyle shifts, emerging needs</w:t>
            </w:r>
          </w:p>
        </w:tc>
        <w:tc>
          <w:tcPr>
            <w:tcW w:type="dxa" w:w="3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A food brand spots rising conversation around 'quiet luxury snacking' on Xiaohongshu 3 months before competitors notice.</w:t>
            </w:r>
          </w:p>
        </w:tc>
      </w:tr>
      <w:tr>
        <w:tc>
          <w:tcPr>
            <w:tcW w:type="dxa" w:w="220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b/>
                <w:bCs/>
                <w:color w:val="0D9488"/>
                <w:sz w:val="20"/>
                <w:szCs w:val="20"/>
              </w:rPr>
              <w:t xml:space="preserve">Crisis Management</w:t>
            </w:r>
          </w:p>
        </w:tc>
        <w:tc>
          <w:tcPr>
            <w:tcW w:type="dxa" w:w="3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Spike detection, negative virality alerts</w:t>
            </w:r>
          </w:p>
        </w:tc>
        <w:tc>
          <w:tcPr>
            <w:tcW w:type="dxa" w:w="3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An airline detects a viral passenger complaint thread and routes a senior CX rep within 4 hours — before media pick it up.</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0D9488"/>
                <w:sz w:val="20"/>
                <w:szCs w:val="20"/>
              </w:rPr>
              <w:t xml:space="preserve">Influencer Mapping</w:t>
            </w:r>
          </w:p>
        </w:tc>
        <w:tc>
          <w:tcPr>
            <w:tcW w:type="dxa" w:w="3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Who drives conversations in your niche</w:t>
            </w:r>
          </w:p>
        </w:tc>
        <w:tc>
          <w:tcPr>
            <w:tcW w:type="dxa" w:w="3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A beauty brand identifies a micro-influencer with 45K followers whose tutorials drive 3x more purchase intent than macro-influencers.</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none" w:color="FFFFFF" w:sz="0"/>
              <w:right w:val="none" w:color="FFFFFF" w:sz="0"/>
            </w:tcBorders>
            <w:shd w:fill="FEF3C7" w:val="clear"/>
            <w:tcMar>
              <w:top w:type="dxa" w:w="140"/>
              <w:left w:type="dxa" w:w="200"/>
              <w:bottom w:type="dxa" w:w="140"/>
              <w:right w:type="dxa" w:w="200"/>
            </w:tcMar>
          </w:tcPr>
          <w:p>
            <w:pPr>
              <w:spacing w:after="60"/>
            </w:pPr>
            <w:r>
              <w:rPr>
                <w:rFonts w:ascii="Arial" w:cs="Arial" w:eastAsia="Arial" w:hAnsi="Arial"/>
                <w:b/>
                <w:bCs/>
                <w:color w:val="1B3A6B"/>
                <w:sz w:val="22"/>
                <w:szCs w:val="22"/>
              </w:rPr>
              <w:t xml:space="preserve">The Core Value Proposition</w:t>
            </w:r>
          </w:p>
          <w:p>
            <w:pPr>
              <w:spacing w:after="0"/>
            </w:pPr>
            <w:r>
              <w:rPr>
                <w:rFonts w:ascii="Arial" w:cs="Arial" w:eastAsia="Arial" w:hAnsi="Arial"/>
                <w:color w:val="374151"/>
                <w:sz w:val="20"/>
                <w:szCs w:val="20"/>
              </w:rPr>
              <w:t xml:space="preserve">Traditional market research is slow, expensive, and backward-looking. AI-powered social listening is real-time, scalable, and predictive — turning the open web into a continuous focus group of millions. It lets companies listen at scale to what consumers say organically, without surveys or prompts — making it one of the most authentic forms of market intelligence available today.</w:t>
            </w:r>
          </w:p>
        </w:tc>
      </w:tr>
    </w:tbl>
    <w:p>
      <w:pPr>
        <w:sectPr>
          <w:pgSz w:w="12240" w:h="15840" w:orient="portrait"/>
          <w:pgMar w:top="1440" w:right="1440" w:bottom="1440" w:left="1440" w:header="708" w:footer="708" w:gutter="0"/>
          <w:pgNumType/>
          <w:docGrid w:linePitch="360"/>
        </w:sectPr>
      </w:pPr>
    </w:p>
    <w:p>
      <w:pPr>
        <w:pStyle w:val="Heading1"/>
        <w:pBdr>
          <w:bottom w:val="single" w:color="0D9488" w:sz="8" w:space="6"/>
        </w:pBdr>
        <w:spacing w:before="360" w:after="160"/>
      </w:pPr>
      <w:r>
        <w:rPr>
          <w:rFonts w:ascii="Arial" w:cs="Arial" w:eastAsia="Arial" w:hAnsi="Arial"/>
          <w:b/>
          <w:bCs/>
          <w:color w:val="1B3A6B"/>
          <w:sz w:val="36"/>
          <w:szCs w:val="36"/>
        </w:rPr>
        <w:t xml:space="preserve">Market Size &amp; TAM Analysis</w:t>
      </w:r>
    </w:p>
    <w:p>
      <w:pPr>
        <w:spacing w:before="80" w:after="0"/>
      </w:pPr>
      <w:r>
        <w:t xml:space="preserve"/>
      </w:r>
    </w:p>
    <w:p>
      <w:pPr>
        <w:spacing w:after="120"/>
      </w:pPr>
      <w:r>
        <w:rPr>
          <w:rFonts w:ascii="Arial" w:cs="Arial" w:eastAsia="Arial" w:hAnsi="Arial"/>
          <w:color w:val="374151"/>
          <w:sz w:val="22"/>
          <w:szCs w:val="22"/>
        </w:rPr>
        <w:t xml:space="preserve">The social listening and social media intelligence market is measured across several overlapping definitions. Below are the most credible estimates from major research firms, cross-referenced with the uploaded document data.</w:t>
      </w:r>
    </w:p>
    <w:p>
      <w:pPr>
        <w:spacing w:before="160" w:after="0"/>
      </w:pPr>
      <w:r>
        <w:t xml:space="preserve"/>
      </w:r>
    </w:p>
    <w:p>
      <w:pPr>
        <w:pStyle w:val="Heading2"/>
        <w:spacing w:before="280" w:after="120"/>
      </w:pPr>
      <w:r>
        <w:rPr>
          <w:rFonts w:ascii="Arial" w:cs="Arial" w:eastAsia="Arial" w:hAnsi="Arial"/>
          <w:b/>
          <w:bCs/>
          <w:color w:val="2563A8"/>
          <w:sz w:val="28"/>
          <w:szCs w:val="28"/>
        </w:rPr>
        <w:t xml:space="preserve">Global Social Listening TAM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Market Segment</w:t>
            </w:r>
          </w:p>
        </w:tc>
        <w:tc>
          <w:tcPr>
            <w:tcW w:type="dxa" w:w="212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2023 / 2026 Value</w:t>
            </w:r>
          </w:p>
        </w:tc>
        <w:tc>
          <w:tcPr>
            <w:tcW w:type="dxa" w:w="212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Projected Value</w:t>
            </w:r>
          </w:p>
        </w:tc>
        <w:tc>
          <w:tcPr>
            <w:tcW w:type="dxa" w:w="212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CAGR</w:t>
            </w:r>
          </w:p>
        </w:tc>
      </w:tr>
      <w:tr>
        <w:tc>
          <w:tcPr>
            <w:tcW w:type="dxa" w:w="30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Social Media Listening (broad)</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$8.36B (2023) / $12.15B (2026)</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$27.6B by 2032</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0D9488"/>
                <w:sz w:val="20"/>
                <w:szCs w:val="20"/>
              </w:rPr>
              <w:t xml:space="preserve">~16.8%</w:t>
            </w:r>
          </w:p>
        </w:tc>
      </w:tr>
      <w:tr>
        <w:tc>
          <w:tcPr>
            <w:tcW w:type="dxa" w:w="30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Social Media Listening (Mordor Intel)</w:t>
            </w:r>
          </w:p>
        </w:tc>
        <w:tc>
          <w:tcPr>
            <w:tcW w:type="dxa" w:w="212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$10.91B (2026)</w:t>
            </w:r>
          </w:p>
        </w:tc>
        <w:tc>
          <w:tcPr>
            <w:tcW w:type="dxa" w:w="212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$20.51B by 2031</w:t>
            </w:r>
          </w:p>
        </w:tc>
        <w:tc>
          <w:tcPr>
            <w:tcW w:type="dxa" w:w="212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0D9488"/>
                <w:sz w:val="20"/>
                <w:szCs w:val="20"/>
              </w:rPr>
              <w:t xml:space="preserve">13.45%</w:t>
            </w:r>
          </w:p>
        </w:tc>
      </w:tr>
      <w:tr>
        <w:tc>
          <w:tcPr>
            <w:tcW w:type="dxa" w:w="30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Social Listening Tools only</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$733M (2023) / $717M (2026)</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$1.39B by 2030–35</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0D9488"/>
                <w:sz w:val="20"/>
                <w:szCs w:val="20"/>
              </w:rPr>
              <w:t xml:space="preserve">~9.8%</w:t>
            </w:r>
          </w:p>
        </w:tc>
      </w:tr>
      <w:tr>
        <w:tc>
          <w:tcPr>
            <w:tcW w:type="dxa" w:w="30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Social Media Analytics (broader)</w:t>
            </w:r>
          </w:p>
        </w:tc>
        <w:tc>
          <w:tcPr>
            <w:tcW w:type="dxa" w:w="212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$4.8B (2023)</w:t>
            </w:r>
          </w:p>
        </w:tc>
        <w:tc>
          <w:tcPr>
            <w:tcW w:type="dxa" w:w="212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$14.6B by 2028</w:t>
            </w:r>
          </w:p>
        </w:tc>
        <w:tc>
          <w:tcPr>
            <w:tcW w:type="dxa" w:w="212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0D9488"/>
                <w:sz w:val="20"/>
                <w:szCs w:val="20"/>
              </w:rPr>
              <w:t xml:space="preserve">24.9%</w:t>
            </w:r>
          </w:p>
        </w:tc>
      </w:tr>
      <w:tr>
        <w:tc>
          <w:tcPr>
            <w:tcW w:type="dxa" w:w="30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U.S. Market Share</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$2.2–2.3B (2023)</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20"/>
                <w:szCs w:val="20"/>
              </w:rPr>
              <w:t xml:space="preserve">$7.1–7.4B by 2032</w:t>
            </w:r>
          </w:p>
        </w:tc>
        <w:tc>
          <w:tcPr>
            <w:tcW w:type="dxa" w:w="212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0D9488"/>
                <w:sz w:val="20"/>
                <w:szCs w:val="20"/>
              </w:rPr>
              <w:t xml:space="preserve">~14%</w:t>
            </w:r>
          </w:p>
        </w:tc>
      </w:tr>
    </w:tbl>
    <w:p>
      <w:pPr>
        <w:spacing w:before="280" w:after="0"/>
      </w:pPr>
      <w:r>
        <w:t xml:space="preserve"/>
      </w:r>
    </w:p>
    <w:p>
      <w:pPr>
        <w:pStyle w:val="Heading2"/>
        <w:spacing w:before="280" w:after="120"/>
      </w:pPr>
      <w:r>
        <w:rPr>
          <w:rFonts w:ascii="Arial" w:cs="Arial" w:eastAsia="Arial" w:hAnsi="Arial"/>
          <w:b/>
          <w:bCs/>
          <w:color w:val="2563A8"/>
          <w:sz w:val="28"/>
          <w:szCs w:val="28"/>
        </w:rPr>
        <w:t xml:space="preserve">Key Market Dynamics</w:t>
      </w:r>
    </w:p>
    <w:p>
      <w:pPr>
        <w:pStyle w:val="ListParagraph"/>
        <w:numPr>
          <w:ilvl w:val="0"/>
          <w:numId w:val="2"/>
        </w:numPr>
        <w:spacing w:after="80"/>
      </w:pPr>
      <w:r>
        <w:rPr>
          <w:rFonts w:ascii="Arial" w:cs="Arial" w:eastAsia="Arial" w:hAnsi="Arial"/>
          <w:b/>
          <w:bCs/>
          <w:color w:val="1B3A6B"/>
          <w:sz w:val="22"/>
          <w:szCs w:val="22"/>
        </w:rPr>
        <w:t xml:space="preserve">Large enterprises account for 64.1% of the market </w:t>
      </w:r>
      <w:r>
        <w:rPr>
          <w:rFonts w:ascii="Arial" w:cs="Arial" w:eastAsia="Arial" w:hAnsi="Arial"/>
          <w:color w:val="374151"/>
          <w:sz w:val="22"/>
          <w:szCs w:val="22"/>
        </w:rPr>
        <w:t xml:space="preserve">reflecting the high investment required for enterprise-grade listening platforms.</w:t>
      </w:r>
    </w:p>
    <w:p>
      <w:pPr>
        <w:pStyle w:val="ListParagraph"/>
        <w:numPr>
          <w:ilvl w:val="0"/>
          <w:numId w:val="2"/>
        </w:numPr>
        <w:spacing w:after="80"/>
      </w:pPr>
      <w:r>
        <w:rPr>
          <w:rFonts w:ascii="Arial" w:cs="Arial" w:eastAsia="Arial" w:hAnsi="Arial"/>
          <w:b/>
          <w:bCs/>
          <w:color w:val="1B3A6B"/>
          <w:sz w:val="22"/>
          <w:szCs w:val="22"/>
        </w:rPr>
        <w:t xml:space="preserve">Retail &amp; e-commerce holds the largest vertical share at 24.3% </w:t>
      </w:r>
      <w:r>
        <w:rPr>
          <w:rFonts w:ascii="Arial" w:cs="Arial" w:eastAsia="Arial" w:hAnsi="Arial"/>
          <w:color w:val="374151"/>
          <w:sz w:val="22"/>
          <w:szCs w:val="22"/>
        </w:rPr>
        <w:t xml:space="preserve">driven by product sentiment monitoring, complaint routing, and UGC strategies.</w:t>
      </w:r>
    </w:p>
    <w:p>
      <w:pPr>
        <w:pStyle w:val="ListParagraph"/>
        <w:numPr>
          <w:ilvl w:val="0"/>
          <w:numId w:val="2"/>
        </w:numPr>
        <w:spacing w:after="80"/>
      </w:pPr>
      <w:r>
        <w:rPr>
          <w:rFonts w:ascii="Arial" w:cs="Arial" w:eastAsia="Arial" w:hAnsi="Arial"/>
          <w:b/>
          <w:bCs/>
          <w:color w:val="1B3A6B"/>
          <w:sz w:val="22"/>
          <w:szCs w:val="22"/>
        </w:rPr>
        <w:t xml:space="preserve">Healthcare &amp; life sciences is the fastest-growing sector at 17.35% CAGR </w:t>
      </w:r>
      <w:r>
        <w:rPr>
          <w:rFonts w:ascii="Arial" w:cs="Arial" w:eastAsia="Arial" w:hAnsi="Arial"/>
          <w:color w:val="374151"/>
          <w:sz w:val="22"/>
          <w:szCs w:val="22"/>
        </w:rPr>
        <w:t xml:space="preserve">fueled by patient sentiment tracking and pharma brand monitoring through 2031.</w:t>
      </w:r>
    </w:p>
    <w:p>
      <w:pPr>
        <w:pStyle w:val="ListParagraph"/>
        <w:numPr>
          <w:ilvl w:val="0"/>
          <w:numId w:val="2"/>
        </w:numPr>
        <w:spacing w:after="80"/>
      </w:pPr>
      <w:r>
        <w:rPr>
          <w:rFonts w:ascii="Arial" w:cs="Arial" w:eastAsia="Arial" w:hAnsi="Arial"/>
          <w:b/>
          <w:bCs/>
          <w:color w:val="1B3A6B"/>
          <w:sz w:val="22"/>
          <w:szCs w:val="22"/>
        </w:rPr>
        <w:t xml:space="preserve">Crisis management is the fastest-growing application at 16.65% CAGR </w:t>
      </w:r>
      <w:r>
        <w:rPr>
          <w:rFonts w:ascii="Arial" w:cs="Arial" w:eastAsia="Arial" w:hAnsi="Arial"/>
          <w:color w:val="374151"/>
          <w:sz w:val="22"/>
          <w:szCs w:val="22"/>
        </w:rPr>
        <w:t xml:space="preserve">as brands face accelerating social media risk and reputational exposure.</w:t>
      </w:r>
    </w:p>
    <w:p>
      <w:pPr>
        <w:pStyle w:val="ListParagraph"/>
        <w:numPr>
          <w:ilvl w:val="0"/>
          <w:numId w:val="2"/>
        </w:numPr>
        <w:spacing w:after="80"/>
      </w:pPr>
      <w:r>
        <w:rPr>
          <w:rFonts w:ascii="Arial" w:cs="Arial" w:eastAsia="Arial" w:hAnsi="Arial"/>
          <w:b/>
          <w:bCs/>
          <w:color w:val="1B3A6B"/>
          <w:sz w:val="22"/>
          <w:szCs w:val="22"/>
        </w:rPr>
        <w:t xml:space="preserve">The U.S. accounts for ~20–25% of global TAM </w:t>
      </w:r>
      <w:r>
        <w:rPr>
          <w:rFonts w:ascii="Arial" w:cs="Arial" w:eastAsia="Arial" w:hAnsi="Arial"/>
          <w:color w:val="374151"/>
          <w:sz w:val="22"/>
          <w:szCs w:val="22"/>
        </w:rPr>
        <w:t xml:space="preserve">meaning the global market is approximately 4–5x larger than the U.S. segment alone.</w:t>
      </w:r>
    </w:p>
    <w:p>
      <w:pPr>
        <w:spacing w:before="240" w:after="0"/>
      </w:pPr>
      <w:r>
        <w:t xml:space="preserve"/>
      </w:r>
    </w:p>
    <w:p>
      <w:pPr>
        <w:pStyle w:val="Heading2"/>
        <w:spacing w:before="280" w:after="120"/>
      </w:pPr>
      <w:r>
        <w:rPr>
          <w:rFonts w:ascii="Arial" w:cs="Arial" w:eastAsia="Arial" w:hAnsi="Arial"/>
          <w:b/>
          <w:bCs/>
          <w:color w:val="2563A8"/>
          <w:sz w:val="28"/>
          <w:szCs w:val="28"/>
        </w:rPr>
        <w:t xml:space="preserve">China vs. U.S. Market Context</w:t>
      </w:r>
    </w:p>
    <w:p>
      <w:pPr>
        <w:spacing w:after="120"/>
      </w:pPr>
      <w:r>
        <w:rPr>
          <w:rFonts w:ascii="Arial" w:cs="Arial" w:eastAsia="Arial" w:hAnsi="Arial"/>
          <w:color w:val="374151"/>
          <w:sz w:val="22"/>
          <w:szCs w:val="22"/>
        </w:rPr>
        <w:t xml:space="preserve">China leads the APAC social listening market for three structural reasons:</w:t>
      </w:r>
    </w:p>
    <w:p>
      <w:pPr>
        <w:spacing w:before="80" w:after="0"/>
      </w:pPr>
      <w:r>
        <w:t xml:space="preserve"/>
      </w:r>
    </w:p>
    <w:p>
      <w:pPr>
        <w:pStyle w:val="ListParagraph"/>
        <w:numPr>
          <w:ilvl w:val="0"/>
          <w:numId w:val="2"/>
        </w:numPr>
        <w:spacing w:after="80"/>
      </w:pPr>
      <w:r>
        <w:rPr>
          <w:rFonts w:ascii="Arial" w:cs="Arial" w:eastAsia="Arial" w:hAnsi="Arial"/>
          <w:b/>
          <w:bCs/>
          <w:color w:val="1B3A6B"/>
          <w:sz w:val="22"/>
          <w:szCs w:val="22"/>
        </w:rPr>
        <w:t xml:space="preserve">Scale: </w:t>
      </w:r>
      <w:r>
        <w:rPr>
          <w:rFonts w:ascii="Arial" w:cs="Arial" w:eastAsia="Arial" w:hAnsi="Arial"/>
          <w:color w:val="374151"/>
          <w:sz w:val="22"/>
          <w:szCs w:val="22"/>
        </w:rPr>
        <w:t xml:space="preserve">Massive user base — over 1.08 billion active social media users (~77% of the population), far larger than any other APAC country. This scale makes listening essential.</w:t>
      </w:r>
    </w:p>
    <w:p>
      <w:pPr>
        <w:pStyle w:val="ListParagraph"/>
        <w:numPr>
          <w:ilvl w:val="0"/>
          <w:numId w:val="2"/>
        </w:numPr>
        <w:spacing w:after="80"/>
      </w:pPr>
      <w:r>
        <w:rPr>
          <w:rFonts w:ascii="Arial" w:cs="Arial" w:eastAsia="Arial" w:hAnsi="Arial"/>
          <w:b/>
          <w:bCs/>
          <w:color w:val="1B3A6B"/>
          <w:sz w:val="22"/>
          <w:szCs w:val="22"/>
        </w:rPr>
        <w:t xml:space="preserve">Platforms: </w:t>
      </w:r>
      <w:r>
        <w:rPr>
          <w:rFonts w:ascii="Arial" w:cs="Arial" w:eastAsia="Arial" w:hAnsi="Arial"/>
          <w:color w:val="374151"/>
          <w:sz w:val="22"/>
          <w:szCs w:val="22"/>
        </w:rPr>
        <w:t xml:space="preserve">Super-apps and social commerce — WeChat, Weibo, and Douyin combine messaging, feeds, payments, and mini-apps, so social media directly drives revenue outcomes. Real-time listening for KOL campaigns is table stakes.</w:t>
      </w:r>
    </w:p>
    <w:p>
      <w:pPr>
        <w:pStyle w:val="ListParagraph"/>
        <w:numPr>
          <w:ilvl w:val="0"/>
          <w:numId w:val="2"/>
        </w:numPr>
        <w:spacing w:after="80"/>
      </w:pPr>
      <w:r>
        <w:rPr>
          <w:rFonts w:ascii="Arial" w:cs="Arial" w:eastAsia="Arial" w:hAnsi="Arial"/>
          <w:b/>
          <w:bCs/>
          <w:color w:val="1B3A6B"/>
          <w:sz w:val="22"/>
          <w:szCs w:val="22"/>
        </w:rPr>
        <w:t xml:space="preserve">Risk: </w:t>
      </w:r>
      <w:r>
        <w:rPr>
          <w:rFonts w:ascii="Arial" w:cs="Arial" w:eastAsia="Arial" w:hAnsi="Arial"/>
          <w:color w:val="374151"/>
          <w:sz w:val="22"/>
          <w:szCs w:val="22"/>
        </w:rPr>
        <w:t xml:space="preserve">Regulatory &amp; brand-risk environment — The Chinese regulatory framework forces brands to monitor sentiment and compliance closely, concentrating APAC-level spend inside China.</w:t>
      </w:r>
    </w:p>
    <w:p>
      <w:pPr>
        <w:spacing w:before="160" w:after="0"/>
      </w:pPr>
      <w:r>
        <w:t xml:space="preserve"/>
      </w:r>
    </w:p>
    <w:p>
      <w:pPr>
        <w:spacing w:after="120"/>
      </w:pPr>
      <w:r>
        <w:rPr>
          <w:rFonts w:ascii="Arial" w:cs="Arial" w:eastAsia="Arial" w:hAnsi="Arial"/>
          <w:color w:val="374151"/>
          <w:sz w:val="22"/>
          <w:szCs w:val="22"/>
        </w:rPr>
        <w:t xml:space="preserve">China also has the world's highest social media penetration per internet user (~98% of Chinese internet users are active on social platforms) and no competition from Facebook, Instagram, or Twitter — concentrating users on a few dominant domestic platforms.</w:t>
      </w:r>
    </w:p>
    <w:p>
      <w:pPr>
        <w:sectPr>
          <w:pgSz w:w="12240" w:h="15840" w:orient="portrait"/>
          <w:pgMar w:top="1440" w:right="1440" w:bottom="1440" w:left="1440" w:header="708" w:footer="708" w:gutter="0"/>
          <w:pgNumType/>
          <w:docGrid w:linePitch="360"/>
        </w:sectPr>
      </w:pPr>
    </w:p>
    <w:p>
      <w:pPr>
        <w:pStyle w:val="Heading1"/>
        <w:pBdr>
          <w:bottom w:val="single" w:color="0D9488" w:sz="8" w:space="6"/>
        </w:pBdr>
        <w:spacing w:before="360" w:after="160"/>
      </w:pPr>
      <w:r>
        <w:rPr>
          <w:rFonts w:ascii="Arial" w:cs="Arial" w:eastAsia="Arial" w:hAnsi="Arial"/>
          <w:b/>
          <w:bCs/>
          <w:color w:val="1B3A6B"/>
          <w:sz w:val="36"/>
          <w:szCs w:val="36"/>
        </w:rPr>
        <w:t xml:space="preserve">Competitive Landscape &amp; Revenue Figures</w:t>
      </w:r>
    </w:p>
    <w:p>
      <w:pPr>
        <w:spacing w:before="80" w:after="0"/>
      </w:pPr>
      <w:r>
        <w:t xml:space="preserve"/>
      </w:r>
    </w:p>
    <w:p>
      <w:pPr>
        <w:spacing w:after="120"/>
      </w:pPr>
      <w:r>
        <w:rPr>
          <w:rFonts w:ascii="Arial" w:cs="Arial" w:eastAsia="Arial" w:hAnsi="Arial"/>
          <w:color w:val="374151"/>
          <w:sz w:val="22"/>
          <w:szCs w:val="22"/>
        </w:rPr>
        <w:t xml:space="preserve">This section consolidates all competitor data from both primary research and the uploaded market intelligence document. Revenue figures for publicly traded companies are sourced from SEC/Oslo Stock Exchange filings. Private company figures are third-party estimates and should be treated as directional.</w:t>
      </w:r>
    </w:p>
    <w:p>
      <w:pPr>
        <w:spacing w:before="200" w:after="0"/>
      </w:pPr>
      <w:r>
        <w:t xml:space="preserve"/>
      </w:r>
    </w:p>
    <w:p>
      <w:pPr>
        <w:pStyle w:val="Heading2"/>
        <w:spacing w:before="280" w:after="120"/>
      </w:pPr>
      <w:r>
        <w:rPr>
          <w:rFonts w:ascii="Arial" w:cs="Arial" w:eastAsia="Arial" w:hAnsi="Arial"/>
          <w:b/>
          <w:bCs/>
          <w:color w:val="2563A8"/>
          <w:sz w:val="28"/>
          <w:szCs w:val="28"/>
        </w:rPr>
        <w:t xml:space="preserve">Global Platforms — Revenue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300"/>
        <w:gridCol w:w="1760"/>
        <w:gridCol w:w="1700"/>
      </w:tblGrid>
      <w:tr>
        <w:tc>
          <w:tcPr>
            <w:tcW w:type="dxa" w:w="22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14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23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Revenue (Latest)</w:t>
            </w:r>
          </w:p>
        </w:tc>
        <w:tc>
          <w:tcPr>
            <w:tcW w:type="dxa" w:w="176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c>
          <w:tcPr>
            <w:tcW w:type="dxa" w:w="17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Industries</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Sprinklr</w:t>
            </w:r>
          </w:p>
        </w:tc>
        <w:tc>
          <w:tcPr>
            <w:tcW w:type="dxa" w:w="14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Public (NASDAQ)</w:t>
            </w:r>
          </w:p>
        </w:tc>
        <w:tc>
          <w:tcPr>
            <w:tcW w:type="dxa" w:w="23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374151"/>
                <w:sz w:val="18"/>
                <w:szCs w:val="18"/>
              </w:rPr>
              <w:t xml:space="preserve">$796M FY2025 · $826M FY2026 guided</w:t>
            </w:r>
          </w:p>
        </w:tc>
        <w:tc>
          <w:tcPr>
            <w:tcW w:type="dxa" w:w="17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Enterprise CX + social listening</w:t>
            </w:r>
          </w:p>
        </w:tc>
        <w:tc>
          <w:tcPr>
            <w:tcW w:type="dxa" w:w="17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Telecom, Banking, Airlines, Healthcare</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Sprout Social</w:t>
            </w:r>
          </w:p>
        </w:tc>
        <w:tc>
          <w:tcPr>
            <w:tcW w:type="dxa" w:w="14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Public (NASDAQ)</w:t>
            </w:r>
          </w:p>
        </w:tc>
        <w:tc>
          <w:tcPr>
            <w:tcW w:type="dxa" w:w="23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374151"/>
                <w:sz w:val="18"/>
                <w:szCs w:val="18"/>
              </w:rPr>
              <w:t xml:space="preserve">$405.9M FY2024 · ~$444M TTM</w:t>
            </w:r>
          </w:p>
        </w:tc>
        <w:tc>
          <w:tcPr>
            <w:tcW w:type="dxa" w:w="176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B2B teams, Salesforce users</w:t>
            </w:r>
          </w:p>
        </w:tc>
        <w:tc>
          <w:tcPr>
            <w:tcW w:type="dxa" w:w="17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B2B SaaS, E-commerce, Education</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Meltwater</w:t>
            </w:r>
          </w:p>
        </w:tc>
        <w:tc>
          <w:tcPr>
            <w:tcW w:type="dxa" w:w="14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Public (Oslo)</w:t>
            </w:r>
          </w:p>
        </w:tc>
        <w:tc>
          <w:tcPr>
            <w:tcW w:type="dxa" w:w="23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374151"/>
                <w:sz w:val="18"/>
                <w:szCs w:val="18"/>
              </w:rPr>
              <w:t xml:space="preserve">~$439M FY2022 (last confirmed)</w:t>
            </w:r>
          </w:p>
        </w:tc>
        <w:tc>
          <w:tcPr>
            <w:tcW w:type="dxa" w:w="17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PR &amp; media + social globally</w:t>
            </w:r>
          </w:p>
        </w:tc>
        <w:tc>
          <w:tcPr>
            <w:tcW w:type="dxa" w:w="17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PR &amp; Comms, Fashion, Sports</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Hootsuite</w:t>
            </w:r>
          </w:p>
        </w:tc>
        <w:tc>
          <w:tcPr>
            <w:tcW w:type="dxa" w:w="14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Private</w:t>
            </w:r>
          </w:p>
        </w:tc>
        <w:tc>
          <w:tcPr>
            <w:tcW w:type="dxa" w:w="23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374151"/>
                <w:sz w:val="18"/>
                <w:szCs w:val="18"/>
              </w:rPr>
              <w:t xml:space="preserve">~$250–300M est. (incl. Talkwalker)</w:t>
            </w:r>
          </w:p>
        </w:tc>
        <w:tc>
          <w:tcPr>
            <w:tcW w:type="dxa" w:w="176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Mid-market scheduling + listening</w:t>
            </w:r>
          </w:p>
        </w:tc>
        <w:tc>
          <w:tcPr>
            <w:tcW w:type="dxa" w:w="17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Hospitality, Retail, Agencies</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Brandwatch</w:t>
            </w:r>
          </w:p>
        </w:tc>
        <w:tc>
          <w:tcPr>
            <w:tcW w:type="dxa" w:w="14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Acquired (Cision)</w:t>
            </w:r>
          </w:p>
        </w:tc>
        <w:tc>
          <w:tcPr>
            <w:tcW w:type="dxa" w:w="23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374151"/>
                <w:sz w:val="18"/>
                <w:szCs w:val="18"/>
              </w:rPr>
              <w:t xml:space="preserve">~$221–232M est.</w:t>
            </w:r>
          </w:p>
        </w:tc>
        <w:tc>
          <w:tcPr>
            <w:tcW w:type="dxa" w:w="17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Deep consumer insight &amp; analytics</w:t>
            </w:r>
          </w:p>
        </w:tc>
        <w:tc>
          <w:tcPr>
            <w:tcW w:type="dxa" w:w="17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FMCG, Finance, Pharma, Gov</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Talkwalker</w:t>
            </w:r>
          </w:p>
        </w:tc>
        <w:tc>
          <w:tcPr>
            <w:tcW w:type="dxa" w:w="14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Acq. by Hootsuite</w:t>
            </w:r>
          </w:p>
        </w:tc>
        <w:tc>
          <w:tcPr>
            <w:tcW w:type="dxa" w:w="23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374151"/>
                <w:sz w:val="18"/>
                <w:szCs w:val="18"/>
              </w:rPr>
              <w:t xml:space="preserve">~$70M standalone est.</w:t>
            </w:r>
          </w:p>
        </w:tc>
        <w:tc>
          <w:tcPr>
            <w:tcW w:type="dxa" w:w="176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Global brand monitoring</w:t>
            </w:r>
          </w:p>
        </w:tc>
        <w:tc>
          <w:tcPr>
            <w:tcW w:type="dxa" w:w="17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CPG, Luxury, Media, Automotive</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Brand24</w:t>
            </w:r>
          </w:p>
        </w:tc>
        <w:tc>
          <w:tcPr>
            <w:tcW w:type="dxa" w:w="14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Public (Warsaw)</w:t>
            </w:r>
          </w:p>
        </w:tc>
        <w:tc>
          <w:tcPr>
            <w:tcW w:type="dxa" w:w="23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374151"/>
                <w:sz w:val="18"/>
                <w:szCs w:val="18"/>
              </w:rPr>
              <w:t xml:space="preserve">~$24M</w:t>
            </w:r>
          </w:p>
        </w:tc>
        <w:tc>
          <w:tcPr>
            <w:tcW w:type="dxa" w:w="17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SMB brand protection &amp; alerts</w:t>
            </w:r>
          </w:p>
        </w:tc>
        <w:tc>
          <w:tcPr>
            <w:tcW w:type="dxa" w:w="17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Small Business, Local Brands</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YouScan</w:t>
            </w:r>
          </w:p>
        </w:tc>
        <w:tc>
          <w:tcPr>
            <w:tcW w:type="dxa" w:w="14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Private</w:t>
            </w:r>
          </w:p>
        </w:tc>
        <w:tc>
          <w:tcPr>
            <w:tcW w:type="dxa" w:w="23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374151"/>
                <w:sz w:val="18"/>
                <w:szCs w:val="18"/>
              </w:rPr>
              <w:t xml:space="preserve">&lt;$20M est.</w:t>
            </w:r>
          </w:p>
        </w:tc>
        <w:tc>
          <w:tcPr>
            <w:tcW w:type="dxa" w:w="176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Visual brand &amp; image recognition</w:t>
            </w:r>
          </w:p>
        </w:tc>
        <w:tc>
          <w:tcPr>
            <w:tcW w:type="dxa" w:w="17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Beauty, Apparel, FMCG</w:t>
            </w:r>
          </w:p>
        </w:tc>
      </w:tr>
      <w:tr>
        <w:tc>
          <w:tcPr>
            <w:tcW w:type="dxa" w:w="22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2563A8"/>
                <w:sz w:val="20"/>
                <w:szCs w:val="20"/>
              </w:rPr>
              <w:t xml:space="preserve">BuzzSumo</w:t>
            </w:r>
          </w:p>
        </w:tc>
        <w:tc>
          <w:tcPr>
            <w:tcW w:type="dxa" w:w="14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Acq. by Brandwatch</w:t>
            </w:r>
          </w:p>
        </w:tc>
        <w:tc>
          <w:tcPr>
            <w:tcW w:type="dxa" w:w="23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b/>
                <w:bCs/>
                <w:color w:val="374151"/>
                <w:sz w:val="18"/>
                <w:szCs w:val="18"/>
              </w:rPr>
              <w:t xml:space="preserve">~$1–20M standalone est.</w:t>
            </w:r>
          </w:p>
        </w:tc>
        <w:tc>
          <w:tcPr>
            <w:tcW w:type="dxa" w:w="176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Content discovery &amp; trends</w:t>
            </w:r>
          </w:p>
        </w:tc>
        <w:tc>
          <w:tcPr>
            <w:tcW w:type="dxa" w:w="1700"/>
            <w:tcBorders>
              <w:top w:val="single" w:color="C5D1E0" w:sz="1"/>
              <w:left w:val="single" w:color="C5D1E0" w:sz="1"/>
              <w:bottom w:val="single" w:color="C5D1E0" w:sz="1"/>
              <w:right w:val="single" w:color="C5D1E0" w:sz="1"/>
            </w:tcBorders>
            <w:shd w:fill="DBEAFE" w:val="clear"/>
            <w:tcMar>
              <w:top w:type="dxa" w:w="100"/>
              <w:left w:type="dxa" w:w="120"/>
              <w:bottom w:type="dxa" w:w="100"/>
              <w:right w:type="dxa" w:w="120"/>
            </w:tcMar>
          </w:tcPr>
          <w:p>
            <w:r>
              <w:rPr>
                <w:rFonts w:ascii="Arial" w:cs="Arial" w:eastAsia="Arial" w:hAnsi="Arial"/>
                <w:color w:val="374151"/>
                <w:sz w:val="18"/>
                <w:szCs w:val="18"/>
              </w:rPr>
              <w:t xml:space="preserve">Content Marketing, Publishing</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2563A8"/>
                <w:sz w:val="20"/>
                <w:szCs w:val="20"/>
              </w:rPr>
              <w:t xml:space="preserve">Awario</w:t>
            </w:r>
          </w:p>
        </w:tc>
        <w:tc>
          <w:tcPr>
            <w:tcW w:type="dxa" w:w="14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Private/Bootstrap</w:t>
            </w:r>
          </w:p>
        </w:tc>
        <w:tc>
          <w:tcPr>
            <w:tcW w:type="dxa" w:w="23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374151"/>
                <w:sz w:val="18"/>
                <w:szCs w:val="18"/>
              </w:rPr>
              <w:t xml:space="preserve">&lt;$5M est.</w:t>
            </w:r>
          </w:p>
        </w:tc>
        <w:tc>
          <w:tcPr>
            <w:tcW w:type="dxa" w:w="176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Budget brand monitoring</w:t>
            </w:r>
          </w:p>
        </w:tc>
        <w:tc>
          <w:tcPr>
            <w:tcW w:type="dxa" w:w="17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Freelance, Small Business</w:t>
            </w:r>
          </w:p>
        </w:tc>
      </w:tr>
    </w:tbl>
    <w:p>
      <w:pPr>
        <w:spacing w:before="200" w:after="0"/>
      </w:pPr>
      <w:r>
        <w:t xml:space="preserve"/>
      </w:r>
    </w:p>
    <w:p>
      <w:pPr>
        <w:spacing w:after="80"/>
      </w:pPr>
      <w:r>
        <w:rPr>
          <w:rFonts w:ascii="Arial" w:cs="Arial" w:eastAsia="Arial" w:hAnsi="Arial"/>
          <w:i/>
          <w:iCs/>
          <w:color w:val="9CA3AF"/>
          <w:sz w:val="16"/>
          <w:szCs w:val="16"/>
        </w:rPr>
        <w:t xml:space="preserve">* Confirmed figures from SEC/exchange filings. Private/acquired company figures are third-party estimates (Growjo, Compworth, RocketReach) and should be treated as directional only.</w:t>
      </w:r>
    </w:p>
    <w:p>
      <w:pPr>
        <w:spacing w:before="280" w:after="0"/>
      </w:pPr>
      <w:r>
        <w:t xml:space="preserve"/>
      </w:r>
    </w:p>
    <w:p>
      <w:pPr>
        <w:pStyle w:val="Heading2"/>
        <w:spacing w:before="280" w:after="120"/>
      </w:pPr>
      <w:r>
        <w:rPr>
          <w:rFonts w:ascii="Arial" w:cs="Arial" w:eastAsia="Arial" w:hAnsi="Arial"/>
          <w:b/>
          <w:bCs/>
          <w:color w:val="2563A8"/>
          <w:sz w:val="28"/>
          <w:szCs w:val="28"/>
        </w:rPr>
        <w:t xml:space="preserve">China-Specific Tools</w:t>
      </w:r>
    </w:p>
    <w:p>
      <w:pPr>
        <w:spacing w:after="120"/>
      </w:pPr>
      <w:r>
        <w:rPr>
          <w:rFonts w:ascii="Arial" w:cs="Arial" w:eastAsia="Arial" w:hAnsi="Arial"/>
          <w:color w:val="374151"/>
          <w:sz w:val="22"/>
          <w:szCs w:val="22"/>
        </w:rPr>
        <w:t xml:space="preserve">The Chinese market operates on entirely different platforms and requires specialized listening tools not represented in Western vendor lists: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380"/>
        <w:gridCol w:w="2200"/>
      </w:tblGrid>
      <w:tr>
        <w:tc>
          <w:tcPr>
            <w:tcW w:type="dxa" w:w="22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58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Platforms Covered</w:t>
            </w:r>
          </w:p>
        </w:tc>
        <w:tc>
          <w:tcPr>
            <w:tcW w:type="dxa" w:w="238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Specialization</w:t>
            </w:r>
          </w:p>
        </w:tc>
        <w:tc>
          <w:tcPr>
            <w:tcW w:type="dxa" w:w="2200"/>
            <w:tcBorders>
              <w:top w:val="single" w:color="C5D1E0" w:sz="1"/>
              <w:left w:val="single" w:color="C5D1E0" w:sz="1"/>
              <w:bottom w:val="single" w:color="C5D1E0" w:sz="1"/>
              <w:right w:val="single" w:color="C5D1E0"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Typical Buyers</w:t>
            </w:r>
          </w:p>
        </w:tc>
      </w:tr>
      <w:tr>
        <w:tc>
          <w:tcPr>
            <w:tcW w:type="dxa" w:w="220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b/>
                <w:bCs/>
                <w:color w:val="0D9488"/>
                <w:sz w:val="20"/>
                <w:szCs w:val="20"/>
              </w:rPr>
              <w:t xml:space="preserve">WisersOne (Wisers)</w:t>
            </w:r>
          </w:p>
        </w:tc>
        <w:tc>
          <w:tcPr>
            <w:tcW w:type="dxa" w:w="2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WeChat, Weibo, News, Forums</w:t>
            </w:r>
          </w:p>
        </w:tc>
        <w:tc>
          <w:tcPr>
            <w:tcW w:type="dxa" w:w="23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Brand reputation, crisis, KOL monitoring</w:t>
            </w:r>
          </w:p>
        </w:tc>
        <w:tc>
          <w:tcPr>
            <w:tcW w:type="dxa" w:w="220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MNCs, Chinese enterprises</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0D9488"/>
                <w:sz w:val="20"/>
                <w:szCs w:val="20"/>
              </w:rPr>
              <w:t xml:space="preserve">PARKLU</w:t>
            </w:r>
          </w:p>
        </w:tc>
        <w:tc>
          <w:tcPr>
            <w:tcW w:type="dxa" w:w="2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Weibo, Xiaohongshu, Douyin</w:t>
            </w:r>
          </w:p>
        </w:tc>
        <w:tc>
          <w:tcPr>
            <w:tcW w:type="dxa" w:w="23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KOL-centric influencer campaign listening</w:t>
            </w:r>
          </w:p>
        </w:tc>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Brands running KOL campaigns</w:t>
            </w:r>
          </w:p>
        </w:tc>
      </w:tr>
      <w:tr>
        <w:tc>
          <w:tcPr>
            <w:tcW w:type="dxa" w:w="220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b/>
                <w:bCs/>
                <w:color w:val="0D9488"/>
                <w:sz w:val="20"/>
                <w:szCs w:val="20"/>
              </w:rPr>
              <w:t xml:space="preserve">K-Matrix Digital</w:t>
            </w:r>
          </w:p>
        </w:tc>
        <w:tc>
          <w:tcPr>
            <w:tcW w:type="dxa" w:w="25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Multi-platform Chinese language</w:t>
            </w:r>
          </w:p>
        </w:tc>
        <w:tc>
          <w:tcPr>
            <w:tcW w:type="dxa" w:w="238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Deep Chinese-language analytics</w:t>
            </w:r>
          </w:p>
        </w:tc>
        <w:tc>
          <w:tcPr>
            <w:tcW w:type="dxa" w:w="2200"/>
            <w:tcBorders>
              <w:top w:val="single" w:color="C5D1E0" w:sz="1"/>
              <w:left w:val="single" w:color="C5D1E0" w:sz="1"/>
              <w:bottom w:val="single" w:color="C5D1E0" w:sz="1"/>
              <w:right w:val="single" w:color="C5D1E0" w:sz="1"/>
            </w:tcBorders>
            <w:shd w:fill="CCFBF1" w:val="clear"/>
            <w:tcMar>
              <w:top w:type="dxa" w:w="100"/>
              <w:left w:type="dxa" w:w="120"/>
              <w:bottom w:type="dxa" w:w="100"/>
              <w:right w:type="dxa" w:w="120"/>
            </w:tcMar>
          </w:tcPr>
          <w:p>
            <w:r>
              <w:rPr>
                <w:rFonts w:ascii="Arial" w:cs="Arial" w:eastAsia="Arial" w:hAnsi="Arial"/>
                <w:color w:val="374151"/>
                <w:sz w:val="20"/>
                <w:szCs w:val="20"/>
              </w:rPr>
              <w:t xml:space="preserve">Agencies, foreign brands in China</w:t>
            </w:r>
          </w:p>
        </w:tc>
      </w:tr>
      <w:tr>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b/>
                <w:bCs/>
                <w:color w:val="0D9488"/>
                <w:sz w:val="20"/>
                <w:szCs w:val="20"/>
              </w:rPr>
              <w:t xml:space="preserve">Chaoly &amp; boutique vendors</w:t>
            </w:r>
          </w:p>
        </w:tc>
        <w:tc>
          <w:tcPr>
            <w:tcW w:type="dxa" w:w="25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Douyin, Kuaishou, Xiaohongshu</w:t>
            </w:r>
          </w:p>
        </w:tc>
        <w:tc>
          <w:tcPr>
            <w:tcW w:type="dxa" w:w="238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Custom listening stacks for social commerce</w:t>
            </w:r>
          </w:p>
        </w:tc>
        <w:tc>
          <w:tcPr>
            <w:tcW w:type="dxa" w:w="2200"/>
            <w:tcBorders>
              <w:top w:val="single" w:color="C5D1E0" w:sz="1"/>
              <w:left w:val="single" w:color="C5D1E0" w:sz="1"/>
              <w:bottom w:val="single" w:color="C5D1E0" w:sz="1"/>
              <w:right w:val="single" w:color="C5D1E0"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Chinese local brands, agencies</w:t>
            </w:r>
          </w:p>
        </w:tc>
      </w:tr>
    </w:tbl>
    <w:p>
      <w:pPr>
        <w:sectPr>
          <w:pgSz w:w="12240" w:h="15840" w:orient="portrait"/>
          <w:pgMar w:top="1440" w:right="1440" w:bottom="1440" w:left="1440" w:header="708" w:footer="708" w:gutter="0"/>
          <w:pgNumType/>
          <w:docGrid w:linePitch="360"/>
        </w:sectPr>
      </w:pPr>
    </w:p>
    <w:p>
      <w:pPr>
        <w:pStyle w:val="Heading1"/>
        <w:pBdr>
          <w:bottom w:val="single" w:color="0D9488" w:sz="8" w:space="6"/>
        </w:pBdr>
        <w:spacing w:before="360" w:after="160"/>
      </w:pPr>
      <w:r>
        <w:rPr>
          <w:rFonts w:ascii="Arial" w:cs="Arial" w:eastAsia="Arial" w:hAnsi="Arial"/>
          <w:b/>
          <w:bCs/>
          <w:color w:val="1B3A6B"/>
          <w:sz w:val="36"/>
          <w:szCs w:val="36"/>
        </w:rPr>
        <w:t xml:space="preserve">Revenue Comparison — Visual Overview</w:t>
      </w:r>
    </w:p>
    <w:p>
      <w:pPr>
        <w:spacing w:before="80" w:after="0"/>
      </w:pPr>
      <w:r>
        <w:t xml:space="preserve"/>
      </w:r>
    </w:p>
    <w:p>
      <w:pPr>
        <w:spacing w:after="120"/>
      </w:pPr>
      <w:r>
        <w:rPr>
          <w:rFonts w:ascii="Arial" w:cs="Arial" w:eastAsia="Arial" w:hAnsi="Arial"/>
          <w:color w:val="374151"/>
          <w:sz w:val="22"/>
          <w:szCs w:val="22"/>
        </w:rPr>
        <w:t xml:space="preserve">The chart below represents estimated annual revenue for the top social listening platforms. Public company figures are from official filings; all others are third-party estimates.</w:t>
      </w:r>
    </w:p>
    <w:p>
      <w:pPr>
        <w:spacing w:before="200" w:after="0"/>
      </w:pPr>
      <w:r>
        <w:t xml:space="preserve"/>
      </w:r>
    </w:p>
    <w:p>
      <w:pPr>
        <w:spacing w:after="80"/>
        <w:jc w:val="center"/>
      </w:pPr>
      <w:r>
        <w:rPr>
          <w:rFonts w:ascii="Arial" w:cs="Arial" w:eastAsia="Arial" w:hAnsi="Arial"/>
          <w:b/>
          <w:bCs/>
          <w:color w:val="1B3A6B"/>
          <w:sz w:val="24"/>
          <w:szCs w:val="24"/>
        </w:rPr>
        <w:t xml:space="preserve">Estimated Annual Revenue by Platform (USD)</w:t>
      </w:r>
    </w:p>
    <w:p>
      <w:pPr>
        <w:spacing w:after="240"/>
        <w:jc w:val="center"/>
      </w:pPr>
      <w:r>
        <w:rPr>
          <w:rFonts w:ascii="Arial" w:cs="Arial" w:eastAsia="Arial" w:hAnsi="Arial"/>
          <w:i/>
          <w:iCs/>
          <w:color w:val="9CA3AF"/>
          <w:sz w:val="18"/>
          <w:szCs w:val="18"/>
        </w:rPr>
        <w:t xml:space="preserve">2024–2026 latest available · Bar length proportional to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bCs/>
                <w:color w:val="374151"/>
                <w:sz w:val="20"/>
                <w:szCs w:val="20"/>
              </w:rPr>
              <w:t xml:space="preserve">Sprinklr</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938"/>
              <w:gridCol w:w="20"/>
            </w:tblGrid>
            <w:tr>
              <w:trPr>
                <w:trHeight w:val="360" w:hRule="exact"/>
              </w:trPr>
              <w:tc>
                <w:tcPr>
                  <w:tcW w:type="dxa" w:w="6938"/>
                  <w:tcBorders>
                    <w:top w:val="none" w:color="FFFFFF" w:sz="0"/>
                    <w:left w:val="none" w:color="FFFFFF" w:sz="0"/>
                    <w:bottom w:val="none" w:color="FFFFFF" w:sz="0"/>
                    <w:right w:val="none" w:color="FFFFFF" w:sz="0"/>
                  </w:tcBorders>
                  <w:shd w:fill="1B3A6B" w:val="clear"/>
                  <w:tcMar>
                    <w:top w:type="dxa" w:w="0"/>
                    <w:left w:type="dxa" w:w="0"/>
                    <w:bottom w:type="dxa" w:w="0"/>
                    <w:right w:type="dxa" w:w="0"/>
                  </w:tcMar>
                </w:tcPr>
                <w:p>
                  <w:r>
                    <w:t xml:space="preserve"/>
                  </w:r>
                </w:p>
              </w:tc>
              <w:tc>
                <w:tcPr>
                  <w:tcW w:type="dxa" w:w="20"/>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bCs/>
                <w:color w:val="374151"/>
                <w:sz w:val="20"/>
                <w:szCs w:val="20"/>
              </w:rPr>
              <w:t xml:space="preserve">$796M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bCs/>
                <w:color w:val="374151"/>
                <w:sz w:val="20"/>
                <w:szCs w:val="20"/>
              </w:rPr>
              <w:t xml:space="preserve">Meltwater</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27"/>
              <w:gridCol w:w="2333"/>
            </w:tblGrid>
            <w:tr>
              <w:trPr>
                <w:trHeight w:val="360" w:hRule="exact"/>
              </w:trPr>
              <w:tc>
                <w:tcPr>
                  <w:tcW w:type="dxa" w:w="4027"/>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2333"/>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bCs/>
                <w:color w:val="374151"/>
                <w:sz w:val="20"/>
                <w:szCs w:val="20"/>
              </w:rPr>
              <w:t xml:space="preserve">$462M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bCs/>
                <w:color w:val="374151"/>
                <w:sz w:val="20"/>
                <w:szCs w:val="20"/>
              </w:rPr>
              <w:t xml:space="preserve">Sprout Social</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3870"/>
              <w:gridCol w:w="2490"/>
            </w:tblGrid>
            <w:tr>
              <w:trPr>
                <w:trHeight w:val="360" w:hRule="exact"/>
              </w:trPr>
              <w:tc>
                <w:tcPr>
                  <w:tcW w:type="dxa" w:w="387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2490"/>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bCs/>
                <w:color w:val="374151"/>
                <w:sz w:val="20"/>
                <w:szCs w:val="20"/>
              </w:rPr>
              <w:t xml:space="preserve">$444M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val="false"/>
                <w:bCs w:val="false"/>
                <w:color w:val="6B7280"/>
                <w:sz w:val="18"/>
                <w:szCs w:val="18"/>
              </w:rPr>
              <w:t xml:space="preserve">Hootsuite (est.)</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397"/>
              <w:gridCol w:w="3963"/>
            </w:tblGrid>
            <w:tr>
              <w:trPr>
                <w:trHeight w:val="360" w:hRule="exact"/>
              </w:trPr>
              <w:tc>
                <w:tcPr>
                  <w:tcW w:type="dxa" w:w="2397"/>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r>
                    <w:t xml:space="preserve"/>
                  </w:r>
                </w:p>
              </w:tc>
              <w:tc>
                <w:tcPr>
                  <w:tcW w:type="dxa" w:w="3963"/>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val="false"/>
                <w:bCs w:val="false"/>
                <w:color w:val="6B7280"/>
                <w:sz w:val="18"/>
                <w:szCs w:val="18"/>
              </w:rPr>
              <w:t xml:space="preserve">$275M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val="false"/>
                <w:bCs w:val="false"/>
                <w:color w:val="6B7280"/>
                <w:sz w:val="18"/>
                <w:szCs w:val="18"/>
              </w:rPr>
              <w:t xml:space="preserve">Brandwatch (est.)</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022"/>
              <w:gridCol w:w="4338"/>
            </w:tblGrid>
            <w:tr>
              <w:trPr>
                <w:trHeight w:val="360" w:hRule="exact"/>
              </w:trPr>
              <w:tc>
                <w:tcPr>
                  <w:tcW w:type="dxa" w:w="2022"/>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r>
                    <w:t xml:space="preserve"/>
                  </w:r>
                </w:p>
              </w:tc>
              <w:tc>
                <w:tcPr>
                  <w:tcW w:type="dxa" w:w="4338"/>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val="false"/>
                <w:bCs w:val="false"/>
                <w:color w:val="6B7280"/>
                <w:sz w:val="18"/>
                <w:szCs w:val="18"/>
              </w:rPr>
              <w:t xml:space="preserve">$232M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val="false"/>
                <w:bCs w:val="false"/>
                <w:color w:val="6B7280"/>
                <w:sz w:val="18"/>
                <w:szCs w:val="18"/>
              </w:rPr>
              <w:t xml:space="preserve">Talkwalker (est.)</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10"/>
              <w:gridCol w:w="5750"/>
            </w:tblGrid>
            <w:tr>
              <w:trPr>
                <w:trHeight w:val="360" w:hRule="exact"/>
              </w:trPr>
              <w:tc>
                <w:tcPr>
                  <w:tcW w:type="dxa" w:w="610"/>
                  <w:tcBorders>
                    <w:top w:val="none" w:color="FFFFFF" w:sz="0"/>
                    <w:left w:val="none" w:color="FFFFFF" w:sz="0"/>
                    <w:bottom w:val="none" w:color="FFFFFF" w:sz="0"/>
                    <w:right w:val="none" w:color="FFFFFF" w:sz="0"/>
                  </w:tcBorders>
                  <w:shd w:fill="0D7490" w:val="clear"/>
                  <w:tcMar>
                    <w:top w:type="dxa" w:w="0"/>
                    <w:left w:type="dxa" w:w="0"/>
                    <w:bottom w:type="dxa" w:w="0"/>
                    <w:right w:type="dxa" w:w="0"/>
                  </w:tcMar>
                </w:tcPr>
                <w:p>
                  <w:r>
                    <w:t xml:space="preserve"/>
                  </w:r>
                </w:p>
              </w:tc>
              <w:tc>
                <w:tcPr>
                  <w:tcW w:type="dxa" w:w="5750"/>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val="false"/>
                <w:bCs w:val="false"/>
                <w:color w:val="6B7280"/>
                <w:sz w:val="18"/>
                <w:szCs w:val="18"/>
              </w:rPr>
              <w:t xml:space="preserve">$70M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bCs/>
                <w:color w:val="374151"/>
                <w:sz w:val="20"/>
                <w:szCs w:val="20"/>
              </w:rPr>
              <w:t xml:space="preserve">Brand24</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09"/>
              <w:gridCol w:w="6151"/>
            </w:tblGrid>
            <w:tr>
              <w:trPr>
                <w:trHeight w:val="360" w:hRule="exact"/>
              </w:trPr>
              <w:tc>
                <w:tcPr>
                  <w:tcW w:type="dxa" w:w="209"/>
                  <w:tcBorders>
                    <w:top w:val="none" w:color="FFFFFF" w:sz="0"/>
                    <w:left w:val="none" w:color="FFFFFF" w:sz="0"/>
                    <w:bottom w:val="none" w:color="FFFFFF" w:sz="0"/>
                    <w:right w:val="none" w:color="FFFFFF" w:sz="0"/>
                  </w:tcBorders>
                  <w:shd w:fill="0D7490" w:val="clear"/>
                  <w:tcMar>
                    <w:top w:type="dxa" w:w="0"/>
                    <w:left w:type="dxa" w:w="0"/>
                    <w:bottom w:type="dxa" w:w="0"/>
                    <w:right w:type="dxa" w:w="0"/>
                  </w:tcMar>
                </w:tcPr>
                <w:p>
                  <w:r>
                    <w:t xml:space="preserve"/>
                  </w:r>
                </w:p>
              </w:tc>
              <w:tc>
                <w:tcPr>
                  <w:tcW w:type="dxa" w:w="6151"/>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bCs/>
                <w:color w:val="374151"/>
                <w:sz w:val="20"/>
                <w:szCs w:val="20"/>
              </w:rPr>
              <w:t xml:space="preserve">$24M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val="false"/>
                <w:bCs w:val="false"/>
                <w:color w:val="6B7280"/>
                <w:sz w:val="18"/>
                <w:szCs w:val="18"/>
              </w:rPr>
              <w:t xml:space="preserve">YouScan (est.)</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00"/>
              <w:gridCol w:w="6160"/>
            </w:tblGrid>
            <w:tr>
              <w:trPr>
                <w:trHeight w:val="360" w:hRule="exact"/>
              </w:trPr>
              <w:tc>
                <w:tcPr>
                  <w:tcW w:type="dxa" w:w="200"/>
                  <w:tcBorders>
                    <w:top w:val="none" w:color="FFFFFF" w:sz="0"/>
                    <w:left w:val="none" w:color="FFFFFF" w:sz="0"/>
                    <w:bottom w:val="none" w:color="FFFFFF" w:sz="0"/>
                    <w:right w:val="none" w:color="FFFFFF" w:sz="0"/>
                  </w:tcBorders>
                  <w:shd w:fill="6B7280" w:val="clear"/>
                  <w:tcMar>
                    <w:top w:type="dxa" w:w="0"/>
                    <w:left w:type="dxa" w:w="0"/>
                    <w:bottom w:type="dxa" w:w="0"/>
                    <w:right w:type="dxa" w:w="0"/>
                  </w:tcMar>
                </w:tcPr>
                <w:p>
                  <w:r>
                    <w:t xml:space="preserve"/>
                  </w:r>
                </w:p>
              </w:tc>
              <w:tc>
                <w:tcPr>
                  <w:tcW w:type="dxa" w:w="6160"/>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val="false"/>
                <w:bCs w:val="false"/>
                <w:color w:val="6B7280"/>
                <w:sz w:val="18"/>
                <w:szCs w:val="18"/>
              </w:rPr>
              <w:t xml:space="preserve">$18M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val="false"/>
                <w:bCs w:val="false"/>
                <w:color w:val="6B7280"/>
                <w:sz w:val="18"/>
                <w:szCs w:val="18"/>
              </w:rPr>
              <w:t xml:space="preserve">BuzzSumo (est.)</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00"/>
              <w:gridCol w:w="6160"/>
            </w:tblGrid>
            <w:tr>
              <w:trPr>
                <w:trHeight w:val="360" w:hRule="exact"/>
              </w:trPr>
              <w:tc>
                <w:tcPr>
                  <w:tcW w:type="dxa" w:w="200"/>
                  <w:tcBorders>
                    <w:top w:val="none" w:color="FFFFFF" w:sz="0"/>
                    <w:left w:val="none" w:color="FFFFFF" w:sz="0"/>
                    <w:bottom w:val="none" w:color="FFFFFF" w:sz="0"/>
                    <w:right w:val="none" w:color="FFFFFF" w:sz="0"/>
                  </w:tcBorders>
                  <w:shd w:fill="6B7280" w:val="clear"/>
                  <w:tcMar>
                    <w:top w:type="dxa" w:w="0"/>
                    <w:left w:type="dxa" w:w="0"/>
                    <w:bottom w:type="dxa" w:w="0"/>
                    <w:right w:type="dxa" w:w="0"/>
                  </w:tcMar>
                </w:tcPr>
                <w:p>
                  <w:r>
                    <w:t xml:space="preserve"/>
                  </w:r>
                </w:p>
              </w:tc>
              <w:tc>
                <w:tcPr>
                  <w:tcW w:type="dxa" w:w="6160"/>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val="false"/>
                <w:bCs w:val="false"/>
                <w:color w:val="6B7280"/>
                <w:sz w:val="18"/>
                <w:szCs w:val="18"/>
              </w:rPr>
              <w:t xml:space="preserve">$10M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rHeight w:val="520" w:hRule="exact"/>
        </w:trP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right"/>
            </w:pPr>
            <w:r>
              <w:rPr>
                <w:rFonts w:ascii="Arial" w:cs="Arial" w:eastAsia="Arial" w:hAnsi="Arial"/>
                <w:b w:val="false"/>
                <w:bCs w:val="false"/>
                <w:color w:val="6B7280"/>
                <w:sz w:val="18"/>
                <w:szCs w:val="18"/>
              </w:rPr>
              <w:t xml:space="preserve">Awario (est.)</w:t>
            </w:r>
          </w:p>
        </w:tc>
        <w:tc>
          <w:tcPr>
            <w:tcW w:type="dxa" w:w="636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00"/>
              <w:gridCol w:w="6160"/>
            </w:tblGrid>
            <w:tr>
              <w:trPr>
                <w:trHeight w:val="360" w:hRule="exact"/>
              </w:trPr>
              <w:tc>
                <w:tcPr>
                  <w:tcW w:type="dxa" w:w="200"/>
                  <w:tcBorders>
                    <w:top w:val="none" w:color="FFFFFF" w:sz="0"/>
                    <w:left w:val="none" w:color="FFFFFF" w:sz="0"/>
                    <w:bottom w:val="none" w:color="FFFFFF" w:sz="0"/>
                    <w:right w:val="none" w:color="FFFFFF" w:sz="0"/>
                  </w:tcBorders>
                  <w:shd w:fill="9CA3AF" w:val="clear"/>
                  <w:tcMar>
                    <w:top w:type="dxa" w:w="0"/>
                    <w:left w:type="dxa" w:w="0"/>
                    <w:bottom w:type="dxa" w:w="0"/>
                    <w:right w:type="dxa" w:w="0"/>
                  </w:tcMar>
                </w:tcPr>
                <w:p>
                  <w:r>
                    <w:t xml:space="preserve"/>
                  </w:r>
                </w:p>
              </w:tc>
              <w:tc>
                <w:tcPr>
                  <w:tcW w:type="dxa" w:w="6160"/>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val="false"/>
                <w:bCs w:val="false"/>
                <w:color w:val="6B7280"/>
                <w:sz w:val="18"/>
                <w:szCs w:val="18"/>
              </w:rPr>
              <w:t xml:space="preserve">$4M</w:t>
            </w:r>
          </w:p>
        </w:tc>
      </w:tr>
    </w:tbl>
    <w:p>
      <w:pPr>
        <w:spacing w:before="6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none" w:color="FFFFFF" w:sz="0"/>
              <w:bottom w:val="none" w:color="FFFFFF" w:sz="0"/>
              <w:right w:val="none" w:color="FFFFFF" w:sz="0"/>
            </w:tcBorders>
            <w:shd w:fill="FFFFFF" w:val="clear"/>
            <w:tcMar>
              <w:top w:type="dxa" w:w="80"/>
              <w:left w:type="dxa" w:w="0"/>
              <w:bottom w:type="dxa" w:w="0"/>
              <w:right w:type="dxa" w:w="120"/>
            </w:tcMar>
          </w:tcPr>
          <w:p>
            <w:r>
              <w:rPr>
                <w:rFonts w:ascii="Arial" w:cs="Arial" w:eastAsia="Arial" w:hAnsi="Arial"/>
                <w:b/>
                <w:bCs/>
                <w:color w:val="374151"/>
                <w:sz w:val="18"/>
                <w:szCs w:val="18"/>
              </w:rPr>
              <w:t xml:space="preserve">Dark/solid bars = Publicly verified revenue figures (SEC / exchange filings)</w:t>
            </w:r>
          </w:p>
        </w:tc>
        <w:tc>
          <w:tcPr>
            <w:tcW w:type="dxa" w:w="4680"/>
            <w:tcBorders>
              <w:top w:val="single" w:color="9CA3AF" w:sz="4"/>
              <w:left w:val="none" w:color="FFFFFF" w:sz="0"/>
              <w:bottom w:val="none" w:color="FFFFFF" w:sz="0"/>
              <w:right w:val="none" w:color="FFFFFF" w:sz="0"/>
            </w:tcBorders>
            <w:shd w:fill="FFFFFF" w:val="clear"/>
            <w:tcMar>
              <w:top w:type="dxa" w:w="80"/>
              <w:left w:type="dxa" w:w="120"/>
              <w:bottom w:type="dxa" w:w="0"/>
              <w:right w:type="dxa" w:w="0"/>
            </w:tcMar>
          </w:tcPr>
          <w:p>
            <w:r>
              <w:rPr>
                <w:rFonts w:ascii="Arial" w:cs="Arial" w:eastAsia="Arial" w:hAnsi="Arial"/>
                <w:i/>
                <w:iCs/>
                <w:color w:val="6B7280"/>
                <w:sz w:val="18"/>
                <w:szCs w:val="18"/>
              </w:rPr>
              <w:t xml:space="preserve">Light/italicized = Third-party estimates (Growjo, Compworth, RocketReach)</w:t>
            </w:r>
          </w:p>
        </w:tc>
      </w:tr>
    </w:tbl>
    <w:p>
      <w:pPr>
        <w:spacing w:before="320" w:after="0"/>
      </w:pPr>
      <w:r>
        <w:t xml:space="preserve"/>
      </w:r>
    </w:p>
    <w:p>
      <w:pPr>
        <w:pStyle w:val="Heading2"/>
        <w:spacing w:before="280" w:after="120"/>
      </w:pPr>
      <w:r>
        <w:rPr>
          <w:rFonts w:ascii="Arial" w:cs="Arial" w:eastAsia="Arial" w:hAnsi="Arial"/>
          <w:b/>
          <w:bCs/>
          <w:color w:val="2563A8"/>
          <w:sz w:val="28"/>
          <w:szCs w:val="28"/>
        </w:rPr>
        <w:t xml:space="preserve">Key Revenue Insights</w:t>
      </w:r>
    </w:p>
    <w:p>
      <w:pPr>
        <w:pStyle w:val="ListParagraph"/>
        <w:numPr>
          <w:ilvl w:val="0"/>
          <w:numId w:val="2"/>
        </w:numPr>
        <w:spacing w:after="80"/>
      </w:pPr>
      <w:r>
        <w:rPr>
          <w:rFonts w:ascii="Arial" w:cs="Arial" w:eastAsia="Arial" w:hAnsi="Arial"/>
          <w:color w:val="374151"/>
          <w:sz w:val="22"/>
          <w:szCs w:val="22"/>
        </w:rPr>
        <w:t xml:space="preserve">Sprinklr is the largest standalone public company in the space at $796M FY2025, though it spans the full customer experience front-office — not listening alone.</w:t>
      </w:r>
    </w:p>
    <w:p>
      <w:pPr>
        <w:pStyle w:val="ListParagraph"/>
        <w:numPr>
          <w:ilvl w:val="0"/>
          <w:numId w:val="2"/>
        </w:numPr>
        <w:spacing w:after="80"/>
      </w:pPr>
      <w:r>
        <w:rPr>
          <w:rFonts w:ascii="Arial" w:cs="Arial" w:eastAsia="Arial" w:hAnsi="Arial"/>
          <w:color w:val="374151"/>
          <w:sz w:val="22"/>
          <w:szCs w:val="22"/>
        </w:rPr>
        <w:t xml:space="preserve">Sprout Social ($406M FY2024) and Meltwater (~$439–462M) are the closest pure-play social media intelligence rivals.</w:t>
      </w:r>
    </w:p>
    <w:p>
      <w:pPr>
        <w:pStyle w:val="ListParagraph"/>
        <w:numPr>
          <w:ilvl w:val="0"/>
          <w:numId w:val="2"/>
        </w:numPr>
        <w:spacing w:after="80"/>
      </w:pPr>
      <w:r>
        <w:rPr>
          <w:rFonts w:ascii="Arial" w:cs="Arial" w:eastAsia="Arial" w:hAnsi="Arial"/>
          <w:color w:val="374151"/>
          <w:sz w:val="22"/>
          <w:szCs w:val="22"/>
        </w:rPr>
        <w:t xml:space="preserve">Brandwatch, despite its brand prestige and 2021 $450M acquisition price, likely generates ~$220–232M — reflecting its narrower listening-focused scope.</w:t>
      </w:r>
    </w:p>
    <w:p>
      <w:pPr>
        <w:pStyle w:val="ListParagraph"/>
        <w:numPr>
          <w:ilvl w:val="0"/>
          <w:numId w:val="2"/>
        </w:numPr>
        <w:spacing w:after="80"/>
      </w:pPr>
      <w:r>
        <w:rPr>
          <w:rFonts w:ascii="Arial" w:cs="Arial" w:eastAsia="Arial" w:hAnsi="Arial"/>
          <w:color w:val="374151"/>
          <w:sz w:val="22"/>
          <w:szCs w:val="22"/>
        </w:rPr>
        <w:t xml:space="preserve">The SMB tier (Brand24, YouScan, Awario, BuzzSumo) collectively represents less than $60M, underlining how revenue is heavily concentrated among enterprise platforms.</w:t>
      </w:r>
    </w:p>
    <w:p>
      <w:pPr>
        <w:pStyle w:val="ListParagraph"/>
        <w:numPr>
          <w:ilvl w:val="0"/>
          <w:numId w:val="2"/>
        </w:numPr>
        <w:spacing w:after="80"/>
      </w:pPr>
      <w:r>
        <w:rPr>
          <w:rFonts w:ascii="Arial" w:cs="Arial" w:eastAsia="Arial" w:hAnsi="Arial"/>
          <w:color w:val="374151"/>
          <w:sz w:val="22"/>
          <w:szCs w:val="22"/>
        </w:rPr>
        <w:t xml:space="preserve">The gap between #1 Sprinklr ($796M) and #10 Awario (&lt;$5M) spans over 150x — the widest revenue range of any major SaaS sub-vertical.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2026-03-24T22:49:57.621Z</dcterms:created>
  <dcterms:modified xsi:type="dcterms:W3CDTF">2026-03-24T22:49:57.622Z</dcterms:modified>
</cp:coreProperties>
</file>

<file path=docProps/custom.xml><?xml version="1.0" encoding="utf-8"?>
<Properties xmlns="http://schemas.openxmlformats.org/officeDocument/2006/custom-properties" xmlns:vt="http://schemas.openxmlformats.org/officeDocument/2006/docPropsVTypes"/>
</file>