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120"/>
      </w:pPr>
      <w:r>
        <w:rPr>
          <w:rFonts w:ascii="Arial" w:cs="Arial" w:eastAsia="Arial" w:hAnsi="Arial"/>
          <w:b/>
          <w:bCs/>
          <w:color w:val="1F3864"/>
          <w:sz w:val="56"/>
          <w:szCs w:val="56"/>
        </w:rPr>
        <w:t xml:space="preserve">Vex — Competitive Intelligence Report</w:t>
      </w:r>
    </w:p>
    <w:p>
      <w:pPr>
        <w:pBdr>
          <w:bottom w:val="single" w:color="2E75B6" w:sz="8" w:space="1"/>
        </w:pBdr>
        <w:spacing w:before="0" w:after="80"/>
      </w:pPr>
      <w:r>
        <w:rPr>
          <w:rFonts w:ascii="Arial" w:cs="Arial" w:eastAsia="Arial" w:hAnsi="Arial"/>
          <w:i/>
          <w:iCs/>
          <w:color w:val="555555"/>
          <w:sz w:val="22"/>
          <w:szCs w:val="22"/>
        </w:rPr>
        <w:t xml:space="preserve">AI Agent Runtime Reliability  |  Technical Deep-Dive  |  Market Sizing  |  Competitive Landscape</w:t>
      </w:r>
    </w:p>
    <w:p>
      <w:pPr>
        <w:spacing w:before="40" w:after="40"/>
      </w:pPr>
      <w:r>
        <w:rPr>
          <w:rFonts w:ascii="Arial" w:cs="Arial" w:eastAsia="Arial" w:hAnsi="Arial"/>
          <w:b w:val="false"/>
          <w:bCs w:val="false"/>
          <w:i w:val="false"/>
          <w:iCs w:val="false"/>
          <w:color w:val="888888"/>
          <w:sz w:val="17"/>
          <w:szCs w:val="17"/>
        </w:rPr>
        <w:t xml:space="preserve">Prepared: March 2026  |  Sources: tryvex.dev, docs.tryvex.dev, Vex blog, Mordor Intelligence, ResearchNester, Tracxn, Sacra, TechCrunch</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1. Product Overview</w:t>
      </w:r>
    </w:p>
    <w:p>
      <w:pPr>
        <w:spacing w:before="40" w:after="40"/>
      </w:pPr>
      <w:r>
        <w:rPr>
          <w:rFonts w:ascii="Arial" w:cs="Arial" w:eastAsia="Arial" w:hAnsi="Arial"/>
          <w:b w:val="false"/>
          <w:bCs w:val="false"/>
          <w:i w:val="false"/>
          <w:iCs w:val="false"/>
          <w:color w:val="1F1F1F"/>
          <w:sz w:val="20"/>
          <w:szCs w:val="20"/>
        </w:rPr>
        <w:t xml:space="preserve">Vex is an open-source runtime reliability platform for AI agents. Its core claim — and gap in the market it addresses — is that it is the only tool combining real-time behavioural drift detection with an automated 3-layer correction cascade, preventing bad agent output from ever reaching end users.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What is Vex?</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An open-source runtime reliability layer for AI agents. Sits between your agent and your users, continuously verifying outputs for hallucinations, behavioural drift, and policy violations — then auto-correcting before users see bad output.</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Core problem solved</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AI agents that pass every evaluation can silently degrade in production (hallucinate, drift off-task, violate policies) without throwing errors. Traditional tools show you what failed; Vex prevents it reaching users.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Founded</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2024. Co-founder: Abhishek (last name not published). Blog activity confirms active development as of Feb 2026.</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Funding / Valuation</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Undisclosed. Early-stage startup.</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Open source</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SDK + core engine: Apache 2.0 licence. Dashboard: AGPLv3. Classic open-core model.</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Frameworks supported</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LangChain, CrewAI, OpenAI Assistants, any Python or TypeScript agent. Framework-agnostic.</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Integration complexity</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3 lines of code. @guard.watch() decorator wraps any agent function. Setup in ~5 minutes.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Latency impact</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Async mode (default): zero latency. Sync mode (correction enabled): typically 200–500ms.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Pricing</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Free (1K obs/mo), Starter $29/mo, Pro $99/mo, Team $349/mo, Enterprise custom.</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Contact</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info@tryvex.dev  |  app.tryvex.dev  |  github.com/Vex-AI-Dev</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Pr>
          <w:p>
            <w:r>
              <w:rPr>
                <w:rFonts w:ascii="Arial" w:cs="Arial" w:eastAsia="Arial" w:hAnsi="Arial"/>
                <w:i/>
                <w:iCs/>
                <w:color w:val="1F3864"/>
                <w:sz w:val="18"/>
                <w:szCs w:val="18"/>
              </w:rPr>
              <w:t xml:space="preserve">Key intel: Vex's blog (active Feb 2026) reveals founder 'Abhishek' conducted 11 interviews with production AI teams before building. The core insight driving product decisions: agents fail silently, never loudly. Logs stay green while users see degraded output.</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2. Technical Architecture — How Vex Works</w:t>
      </w:r>
    </w:p>
    <w:p>
      <w:pPr>
        <w:spacing w:before="40" w:after="40"/>
      </w:pPr>
      <w:r>
        <w:rPr>
          <w:rFonts w:ascii="Arial" w:cs="Arial" w:eastAsia="Arial" w:hAnsi="Arial"/>
          <w:b w:val="false"/>
          <w:bCs w:val="false"/>
          <w:i w:val="false"/>
          <w:iCs w:val="false"/>
          <w:color w:val="1F1F1F"/>
          <w:sz w:val="20"/>
          <w:szCs w:val="20"/>
        </w:rPr>
        <w:t xml:space="preserve">Vex operates via a continuous Observe → Verify → Correct loop. Understanding the mechanics of each layer is critical to evaluating its competitive moat.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1 — Observation</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Records every LLM call, tool invocation, and agent action. Tracks multi-turn conversation trajectories. Detects drift in milliseconds.</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2 — Verification (6 checks)</w:t>
            </w:r>
          </w:p>
        </w:tc>
        <w:tc>
          <w:tcPr>
            <w:tcW w:type="dxa" w:w="71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Runs 6 parallel checks: schema validation, hallucination detection, drift detection (single-turn + trajectory), multi-turn coherence, custom guardrails, tool-loop detection. Outputs a weighted confidence score.</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3 — Scoring &amp; Action</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Confidence ≥ 0.8 → PASS. Confidence 0.5–0.8 → FLAG (delivered, marked for review). Confidence &lt; 0.5 → BLOCK + correction cascade.</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4 — Correction Layer 1</w:t>
            </w:r>
          </w:p>
        </w:tc>
        <w:tc>
          <w:tcPr>
            <w:tcW w:type="dxa" w:w="71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Surgical repair via gpt-4o-mini (~200ms). Targets schema errors and minor factual corrections. Agent's failed output is NOT shown to correction model.</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5 — Correction Layer 2</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Constrained regeneration. Fresh response generated without the failed output (avoids anchoring). Constrained to original task + conversation history. Primary layer for drift.</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6 — Correction Layer 3</w:t>
            </w:r>
          </w:p>
        </w:tc>
        <w:tc>
          <w:tcPr>
            <w:tcW w:type="dxa" w:w="71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Full re-prompt. Model sees failed output + explicit failure explanation. Last resort before blocking.</w:t>
            </w:r>
          </w:p>
        </w:tc>
      </w:tr>
      <w:tr>
        <w:tc>
          <w:tcPr>
            <w:tcW w:type="dxa" w:w="22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Cascade exit logic</w:t>
            </w:r>
          </w:p>
        </w:tc>
        <w:tc>
          <w:tcPr>
            <w:tcW w:type="dxa" w:w="7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Max 2 attempts within 10-second budget. Each attempt re-verified. Best correction accepted if it improved on original. If none pass, original returned with flag.</w:t>
            </w:r>
          </w:p>
        </w:tc>
      </w:tr>
    </w:tbl>
    <w:p>
      <w:pPr>
        <w:spacing w:before="80" w:after="80"/>
      </w:pPr>
      <w:r>
        <w:t xml:space="preserve"/>
      </w:r>
    </w:p>
    <w:p>
      <w:pPr>
        <w:spacing w:before="160" w:after="60"/>
      </w:pPr>
      <w:r>
        <w:rPr>
          <w:rFonts w:ascii="Arial" w:cs="Arial" w:eastAsia="Arial" w:hAnsi="Arial"/>
          <w:b/>
          <w:bCs/>
          <w:color w:val="2E75B6"/>
          <w:sz w:val="22"/>
          <w:szCs w:val="22"/>
        </w:rPr>
        <w:t xml:space="preserve">2a. Drift Detection — The Core Innovation</w:t>
      </w:r>
    </w:p>
    <w:p>
      <w:pPr>
        <w:spacing w:before="40" w:after="40"/>
      </w:pPr>
      <w:r>
        <w:rPr>
          <w:rFonts w:ascii="Arial" w:cs="Arial" w:eastAsia="Arial" w:hAnsi="Arial"/>
          <w:b w:val="false"/>
          <w:bCs w:val="false"/>
          <w:i w:val="false"/>
          <w:iCs w:val="false"/>
          <w:color w:val="1F1F1F"/>
          <w:sz w:val="20"/>
          <w:szCs w:val="20"/>
        </w:rPr>
        <w:t xml:space="preserve">Vex's multi-turn drift detection is the feature with the most meaningful technical differentiation. No other tool in the competitive set implements trajectory-level drift scoring.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Single-turn check</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Relevance of output to assigned task. Score 0–1. Below 0.5 = drifted.</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Trajectory drift check</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Evaluates full conversation history — is the entire arc still on-task? Catches gradual boiling-frog drift that single-turn checks miss.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Combined score formula</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drift_score = min(immediate_relevance, trajectory_drift). Uses minimum to be deliberately strict.</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Why min() matters</w:t>
            </w:r>
          </w:p>
        </w:tc>
        <w:tc>
          <w:tcPr>
            <w:tcW w:type="dxa" w:w="68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 turn can score 0.7 in isolation but 0.4 trajectory-wide. min(0.7, 0.4) = 0.4 → DRIFT DETECTED. Traditional monitoring would have passed this.</w:t>
            </w:r>
          </w:p>
        </w:tc>
      </w:tr>
      <w:tr>
        <w:tc>
          <w:tcPr>
            <w:tcW w:type="dxa" w:w="25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Example conversation scores</w:t>
            </w:r>
          </w:p>
        </w:tc>
        <w:tc>
          <w:tcPr>
            <w:tcW w:type="dxa" w:w="68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Turn 1: 0.95 PASS → Turn 5: 0.80 PASS → Turn 10: 0.50 FLAG → Turn 15: 0.35 BLOCK. Vex catches at turn 10; traditional tools catch at user complaint.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8F4FD" w:val="clear"/>
          </w:tcPr>
          <w:p>
            <w:r>
              <w:rPr>
                <w:rFonts w:ascii="Arial" w:cs="Arial" w:eastAsia="Arial" w:hAnsi="Arial"/>
                <w:i/>
                <w:iCs/>
                <w:color w:val="1F3864"/>
                <w:sz w:val="18"/>
                <w:szCs w:val="18"/>
              </w:rPr>
              <w:t xml:space="preserve">Why this matters competitively: LangSmith, Langfuse, Arize, and Braintrust all evaluate outputs in isolation or after the fact. Guardrails AI checks structure, not behaviour. Galileo runs static evaluators. Only Vex tracks conversation trajectory and uses the minimum of immediate + trajectory scores — making it structurally impossible for gradual drift to pass undetected.</w:t>
            </w:r>
          </w:p>
        </w:tc>
      </w:tr>
    </w:tbl>
    <w:p>
      <w:pPr>
        <w:spacing w:before="80" w:after="80"/>
      </w:pPr>
      <w:r>
        <w:t xml:space="preserve"/>
      </w:r>
    </w:p>
    <w:p>
      <w:pPr>
        <w:spacing w:before="160" w:after="60"/>
      </w:pPr>
      <w:r>
        <w:rPr>
          <w:rFonts w:ascii="Arial" w:cs="Arial" w:eastAsia="Arial" w:hAnsi="Arial"/>
          <w:b/>
          <w:bCs/>
          <w:color w:val="2E75B6"/>
          <w:sz w:val="22"/>
          <w:szCs w:val="22"/>
        </w:rPr>
        <w:t xml:space="preserve">2b. The 6-Check Verification Pipeline</w:t>
      </w:r>
    </w:p>
    <w:p>
      <w:pPr>
        <w:spacing w:before="40" w:after="40"/>
      </w:pPr>
      <w:r>
        <w:rPr>
          <w:rFonts w:ascii="Arial" w:cs="Arial" w:eastAsia="Arial" w:hAnsi="Arial"/>
          <w:b w:val="false"/>
          <w:bCs w:val="false"/>
          <w:i w:val="false"/>
          <w:iCs w:val="false"/>
          <w:color w:val="1F1F1F"/>
          <w:sz w:val="20"/>
          <w:szCs w:val="20"/>
        </w:rPr>
        <w:t xml:space="preserve">Every agent output runs through up to six parallel checks:</w:t>
      </w:r>
    </w:p>
    <w:p>
      <w:pPr>
        <w:pStyle w:val="ListParagraph"/>
        <w:numPr>
          <w:ilvl w:val="0"/>
          <w:numId w:val="2"/>
        </w:numPr>
      </w:pPr>
      <w:r>
        <w:rPr>
          <w:rFonts w:ascii="Arial" w:cs="Arial" w:eastAsia="Arial" w:hAnsi="Arial"/>
          <w:sz w:val="20"/>
          <w:szCs w:val="20"/>
        </w:rPr>
        <w:t xml:space="preserve">Schema validation — is the output structure correct?</w:t>
      </w:r>
    </w:p>
    <w:p>
      <w:pPr>
        <w:pStyle w:val="ListParagraph"/>
        <w:numPr>
          <w:ilvl w:val="0"/>
          <w:numId w:val="2"/>
        </w:numPr>
      </w:pPr>
      <w:r>
        <w:rPr>
          <w:rFonts w:ascii="Arial" w:cs="Arial" w:eastAsia="Arial" w:hAnsi="Arial"/>
          <w:sz w:val="20"/>
          <w:szCs w:val="20"/>
        </w:rPr>
        <w:t xml:space="preserve">Hallucination detection — are facts grounded vs. fabricated?</w:t>
      </w:r>
    </w:p>
    <w:p>
      <w:pPr>
        <w:pStyle w:val="ListParagraph"/>
        <w:numPr>
          <w:ilvl w:val="0"/>
          <w:numId w:val="2"/>
        </w:numPr>
      </w:pPr>
      <w:r>
        <w:rPr>
          <w:rFonts w:ascii="Arial" w:cs="Arial" w:eastAsia="Arial" w:hAnsi="Arial"/>
          <w:sz w:val="20"/>
          <w:szCs w:val="20"/>
        </w:rPr>
        <w:t xml:space="preserve">Drift detection — is the output (and trajectory) still on-task?</w:t>
      </w:r>
    </w:p>
    <w:p>
      <w:pPr>
        <w:pStyle w:val="ListParagraph"/>
        <w:numPr>
          <w:ilvl w:val="0"/>
          <w:numId w:val="2"/>
        </w:numPr>
      </w:pPr>
      <w:r>
        <w:rPr>
          <w:rFonts w:ascii="Arial" w:cs="Arial" w:eastAsia="Arial" w:hAnsi="Arial"/>
          <w:sz w:val="20"/>
          <w:szCs w:val="20"/>
        </w:rPr>
        <w:t xml:space="preserve">Multi-turn coherence — does this output contradict earlier turns?</w:t>
      </w:r>
    </w:p>
    <w:p>
      <w:pPr>
        <w:pStyle w:val="ListParagraph"/>
        <w:numPr>
          <w:ilvl w:val="0"/>
          <w:numId w:val="2"/>
        </w:numPr>
      </w:pPr>
      <w:r>
        <w:rPr>
          <w:rFonts w:ascii="Arial" w:cs="Arial" w:eastAsia="Arial" w:hAnsi="Arial"/>
          <w:sz w:val="20"/>
          <w:szCs w:val="20"/>
        </w:rPr>
        <w:t xml:space="preserve">Custom guardrails — user-defined regex, keywords, LLM-based rules.</w:t>
      </w:r>
    </w:p>
    <w:p>
      <w:pPr>
        <w:pStyle w:val="ListParagraph"/>
        <w:numPr>
          <w:ilvl w:val="0"/>
          <w:numId w:val="2"/>
        </w:numPr>
      </w:pPr>
      <w:r>
        <w:rPr>
          <w:rFonts w:ascii="Arial" w:cs="Arial" w:eastAsia="Arial" w:hAnsi="Arial"/>
          <w:sz w:val="20"/>
          <w:szCs w:val="20"/>
        </w:rPr>
        <w:t xml:space="preserve">Tool-loop detection — is the agent stuck calling the same tools in a cycle?</w:t>
      </w:r>
    </w:p>
    <w:p>
      <w:pPr>
        <w:spacing w:before="40" w:after="40"/>
      </w:pPr>
      <w:r>
        <w:rPr>
          <w:rFonts w:ascii="Arial" w:cs="Arial" w:eastAsia="Arial" w:hAnsi="Arial"/>
          <w:b w:val="false"/>
          <w:bCs w:val="false"/>
          <w:i/>
          <w:iCs/>
          <w:color w:val="1F1F1F"/>
          <w:sz w:val="20"/>
          <w:szCs w:val="20"/>
        </w:rPr>
        <w:t xml:space="preserve">Each check produces a 0–1 score. Weights are dynamic — they rebalance proportionally based on which checks are active for a given request.</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3. Pricing</w:t>
      </w:r>
    </w:p>
    <w:p>
      <w:pPr>
        <w:spacing w:before="40" w:after="40"/>
      </w:pPr>
      <w:r>
        <w:rPr>
          <w:rFonts w:ascii="Arial" w:cs="Arial" w:eastAsia="Arial" w:hAnsi="Arial"/>
          <w:b w:val="false"/>
          <w:bCs w:val="false"/>
          <w:i w:val="false"/>
          <w:iCs w:val="false"/>
          <w:color w:val="1F1F1F"/>
          <w:sz w:val="20"/>
          <w:szCs w:val="20"/>
        </w:rPr>
        <w:t xml:space="preserve">Vex's pricing is transparent and developer-friendly. All tiers include unlimited agents. The free tier is intentionally limited to drive conversion, not to provide meaningful production coverage.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500"/>
        <w:gridCol w:w="2560"/>
      </w:tblGrid>
      <w:tr>
        <w:tc>
          <w:tcPr>
            <w:tcW w:type="dxa" w:w="14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Plan</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Free</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Starter</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Pro</w:t>
            </w:r>
          </w:p>
        </w:tc>
        <w:tc>
          <w:tcPr>
            <w:tcW w:type="dxa" w:w="15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Team</w:t>
            </w:r>
          </w:p>
        </w:tc>
        <w:tc>
          <w:tcPr>
            <w:tcW w:type="dxa" w:w="25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Enterprise</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Price</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$0/mo</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$29/mo</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$99/mo ($83 annual)</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$349/mo ($291 annual)</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Observations</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1,000</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25,000</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150,000</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1,500,000</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Verifications</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50</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1,000</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15,000</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150,000</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Corrections</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None</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Full cascade</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Full cascade + priority</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Data retention</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 day</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7 days</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30 days</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90 days</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Rate limit</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 RPM</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500 RPM</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1,000 RPM</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5,000 RPM</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Custom</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Overage</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Hard limit</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Hard limit</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$0.0005/obs, $0.005/verify</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$0.0004/obs, $0.004/verify</w:t>
            </w:r>
          </w:p>
        </w:tc>
        <w:tc>
          <w:tcPr>
            <w:tcW w:type="dxa" w:w="25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r>
      <w:tr>
        <w:tc>
          <w:tcPr>
            <w:tcW w:type="dxa" w:w="1400"/>
            <w:tcBorders>
              <w:top w:val="single" w:color="CCCCCC" w:sz="1"/>
              <w:left w:val="single" w:color="CCCCCC" w:sz="1"/>
              <w:bottom w:val="single" w:color="CCCCCC" w:sz="1"/>
              <w:right w:val="single" w:color="CCCCCC" w:sz="1"/>
            </w:tcBorders>
            <w:shd w:fill="D5E8F0" w:val="clear"/>
          </w:tcPr>
          <w:p>
            <w:pPr>
              <w:jc w:val="left"/>
            </w:pPr>
            <w:r>
              <w:rPr>
                <w:rFonts w:ascii="Arial" w:cs="Arial" w:eastAsia="Arial" w:hAnsi="Arial"/>
                <w:b/>
                <w:bCs/>
                <w:i w:val="false"/>
                <w:iCs w:val="false"/>
                <w:color w:val="1F3864"/>
                <w:sz w:val="18"/>
                <w:szCs w:val="18"/>
              </w:rPr>
              <w:t xml:space="preserve">Support</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Community</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Email</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Email (48h)</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Priority (24h)</w:t>
            </w:r>
          </w:p>
        </w:tc>
        <w:tc>
          <w:tcPr>
            <w:tcW w:type="dxa" w:w="25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Dedicated</w:t>
            </w:r>
          </w:p>
        </w:tc>
      </w:tr>
    </w:tbl>
    <w:p>
      <w:pPr>
        <w:spacing w:before="80" w:after="80"/>
      </w:pPr>
      <w:r>
        <w:t xml:space="preserve"/>
      </w:r>
    </w:p>
    <w:p>
      <w:pPr>
        <w:spacing w:before="40" w:after="40"/>
      </w:pPr>
      <w:r>
        <w:rPr>
          <w:rFonts w:ascii="Arial" w:cs="Arial" w:eastAsia="Arial" w:hAnsi="Arial"/>
          <w:b w:val="false"/>
          <w:bCs w:val="false"/>
          <w:i/>
          <w:iCs/>
          <w:color w:val="555555"/>
          <w:sz w:val="20"/>
          <w:szCs w:val="20"/>
        </w:rPr>
        <w:t xml:space="preserve">Competitively: Pro at $99/mo is significantly cheaper than Braintrust Pro ($249/mo). Galileo is sales-led (no public pricing). LangSmith and Langfuse scale by volume without fixed tiers.</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4. Market Sizing (TAM / SAM / SOM)</w:t>
      </w:r>
    </w:p>
    <w:p>
      <w:pPr>
        <w:spacing w:before="40" w:after="40"/>
      </w:pPr>
      <w:r>
        <w:rPr>
          <w:rFonts w:ascii="Arial" w:cs="Arial" w:eastAsia="Arial" w:hAnsi="Arial"/>
          <w:b w:val="false"/>
          <w:bCs w:val="false"/>
          <w:i w:val="false"/>
          <w:iCs w:val="false"/>
          <w:color w:val="1F1F1F"/>
          <w:sz w:val="20"/>
          <w:szCs w:val="20"/>
        </w:rPr>
        <w:t xml:space="preserve">Vex operates at the intersection of AI agent adoption and production reliability tooling. The market directly addressable by Vex is the Agentic AI Monitoring segment.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200"/>
        <w:gridCol w:w="1200"/>
        <w:gridCol w:w="2160"/>
      </w:tblGrid>
      <w:tr>
        <w:tc>
          <w:tcPr>
            <w:tcW w:type="dxa" w:w="26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Market Segment</w:t>
            </w:r>
          </w:p>
        </w:tc>
        <w:tc>
          <w:tcPr>
            <w:tcW w:type="dxa" w:w="11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TAM 2025</w:t>
            </w:r>
          </w:p>
        </w:tc>
        <w:tc>
          <w:tcPr>
            <w:tcW w:type="dxa" w:w="11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TAM 2030E</w:t>
            </w:r>
          </w:p>
        </w:tc>
        <w:tc>
          <w:tcPr>
            <w:tcW w:type="dxa" w:w="12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SAM 2025E</w:t>
            </w:r>
          </w:p>
        </w:tc>
        <w:tc>
          <w:tcPr>
            <w:tcW w:type="dxa" w:w="12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SOM 2025E</w:t>
            </w:r>
          </w:p>
        </w:tc>
        <w:tc>
          <w:tcPr>
            <w:tcW w:type="dxa" w:w="21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CAGR / Source</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Overall Observability Tools &amp; Platforms</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$28.5B</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$172.1B</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21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19.7% — ResearchNester 2025</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AI-Specific Observability</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$1.7B</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$12.5B</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N/A</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N/A</w:t>
            </w:r>
          </w:p>
        </w:tc>
        <w:tc>
          <w:tcPr>
            <w:tcW w:type="dxa" w:w="21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22.5% — CMI / Market.us 2025</w:t>
            </w:r>
          </w:p>
        </w:tc>
      </w:tr>
      <w:tr>
        <w:tc>
          <w:tcPr>
            <w:tcW w:type="dxa" w:w="2600"/>
            <w:tcBorders>
              <w:top w:val="single" w:color="CCCCCC" w:sz="1"/>
              <w:left w:val="single" w:color="CCCCCC" w:sz="1"/>
              <w:bottom w:val="single" w:color="CCCCCC" w:sz="1"/>
              <w:right w:val="single" w:color="CCCCCC" w:sz="1"/>
            </w:tcBorders>
            <w:shd w:fill="D6EAF8" w:val="clear"/>
          </w:tcPr>
          <w:p>
            <w:pPr>
              <w:jc w:val="left"/>
            </w:pPr>
            <w:r>
              <w:rPr>
                <w:rFonts w:ascii="Arial" w:cs="Arial" w:eastAsia="Arial" w:hAnsi="Arial"/>
                <w:b/>
                <w:bCs/>
                <w:i w:val="false"/>
                <w:iCs w:val="false"/>
                <w:color w:val="1F3864"/>
                <w:sz w:val="18"/>
                <w:szCs w:val="18"/>
              </w:rPr>
              <w:t xml:space="preserve">Agentic AI Monitoring — Vex's Core TAM ★</w:t>
            </w:r>
          </w:p>
        </w:tc>
        <w:tc>
          <w:tcPr>
            <w:tcW w:type="dxa" w:w="11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$0.55B</w:t>
            </w:r>
          </w:p>
        </w:tc>
        <w:tc>
          <w:tcPr>
            <w:tcW w:type="dxa" w:w="11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$2.05B</w:t>
            </w:r>
          </w:p>
        </w:tc>
        <w:tc>
          <w:tcPr>
            <w:tcW w:type="dxa" w:w="12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~$275M</w:t>
            </w:r>
          </w:p>
        </w:tc>
        <w:tc>
          <w:tcPr>
            <w:tcW w:type="dxa" w:w="12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~$27.5M</w:t>
            </w:r>
          </w:p>
        </w:tc>
        <w:tc>
          <w:tcPr>
            <w:tcW w:type="dxa" w:w="216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1F1F"/>
                <w:sz w:val="18"/>
                <w:szCs w:val="18"/>
              </w:rPr>
              <w:t xml:space="preserve">30.1% — Mordor Intelligence 2025</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LLM / Agent Observability Sub-segment</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~$220M</w:t>
            </w:r>
          </w:p>
        </w:tc>
        <w:tc>
          <w:tcPr>
            <w:tcW w:type="dxa" w:w="11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~$820M</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~$110M</w:t>
            </w:r>
          </w:p>
        </w:tc>
        <w:tc>
          <w:tcPr>
            <w:tcW w:type="dxa" w:w="12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~$11M</w:t>
            </w:r>
          </w:p>
        </w:tc>
        <w:tc>
          <w:tcPr>
            <w:tcW w:type="dxa" w:w="216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30.1% — Mordor Intelligence</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AI Agents Market (end-market served)</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$5.4B</w:t>
            </w:r>
          </w:p>
        </w:tc>
        <w:tc>
          <w:tcPr>
            <w:tcW w:type="dxa" w:w="11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~$50B</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N/A</w:t>
            </w:r>
          </w:p>
        </w:tc>
        <w:tc>
          <w:tcPr>
            <w:tcW w:type="dxa" w:w="216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~45% — Precedence Research 2024</w:t>
            </w:r>
          </w:p>
        </w:tc>
      </w:tr>
    </w:tbl>
    <w:p>
      <w:pPr>
        <w:spacing w:before="80" w:after="80"/>
      </w:pPr>
      <w:r>
        <w:t xml:space="preserve"/>
      </w:r>
    </w:p>
    <w:p>
      <w:pPr>
        <w:pStyle w:val="ListParagraph"/>
        <w:numPr>
          <w:ilvl w:val="0"/>
          <w:numId w:val="2"/>
        </w:numPr>
      </w:pPr>
      <w:r>
        <w:rPr>
          <w:rFonts w:ascii="Arial" w:cs="Arial" w:eastAsia="Arial" w:hAnsi="Arial"/>
          <w:sz w:val="20"/>
          <w:szCs w:val="20"/>
        </w:rPr>
        <w:t xml:space="preserve">★ Vex's core TAM: $550M in 2025, growing at 30.1% CAGR to $2.05B by 2030 (Mordor Intelligence).</w:t>
      </w:r>
    </w:p>
    <w:p>
      <w:pPr>
        <w:pStyle w:val="ListParagraph"/>
        <w:numPr>
          <w:ilvl w:val="0"/>
          <w:numId w:val="2"/>
        </w:numPr>
      </w:pPr>
      <w:r>
        <w:rPr>
          <w:rFonts w:ascii="Arial" w:cs="Arial" w:eastAsia="Arial" w:hAnsi="Arial"/>
          <w:sz w:val="20"/>
          <w:szCs w:val="20"/>
        </w:rPr>
        <w:t xml:space="preserve">SAM ~$275M: assumes ~50% of companies deploying agents are actively seeking runtime monitoring.</w:t>
      </w:r>
    </w:p>
    <w:p>
      <w:pPr>
        <w:pStyle w:val="ListParagraph"/>
        <w:numPr>
          <w:ilvl w:val="0"/>
          <w:numId w:val="2"/>
        </w:numPr>
      </w:pPr>
      <w:r>
        <w:rPr>
          <w:rFonts w:ascii="Arial" w:cs="Arial" w:eastAsia="Arial" w:hAnsi="Arial"/>
          <w:sz w:val="20"/>
          <w:szCs w:val="20"/>
        </w:rPr>
        <w:t xml:space="preserve">SOM ~$27.5M: realistic near-term capture (~10% of SAM) for an early-stage startup.</w:t>
      </w:r>
    </w:p>
    <w:p>
      <w:pPr>
        <w:pStyle w:val="ListParagraph"/>
        <w:numPr>
          <w:ilvl w:val="0"/>
          <w:numId w:val="2"/>
        </w:numPr>
      </w:pPr>
      <w:r>
        <w:rPr>
          <w:rFonts w:ascii="Arial" w:cs="Arial" w:eastAsia="Arial" w:hAnsi="Arial"/>
          <w:sz w:val="20"/>
          <w:szCs w:val="20"/>
        </w:rPr>
        <w:t xml:space="preserve">The broader AI agents end-market ($5.4B → $50B by 2030, 45% CAGR) creates massive downstream demand.</w:t>
      </w:r>
    </w:p>
    <w:p>
      <w:pPr>
        <w:pStyle w:val="ListParagraph"/>
        <w:numPr>
          <w:ilvl w:val="0"/>
          <w:numId w:val="2"/>
        </w:numPr>
      </w:pPr>
      <w:r>
        <w:rPr>
          <w:rFonts w:ascii="Arial" w:cs="Arial" w:eastAsia="Arial" w:hAnsi="Arial"/>
          <w:sz w:val="20"/>
          <w:szCs w:val="20"/>
        </w:rPr>
        <w:t xml:space="preserve">EU AI Act (enforced Aug 2024) and NIST AI RMF accelerate enterprise demand for tamper-proof monitoring.</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5. Competitor Profiles</w:t>
      </w:r>
    </w:p>
    <w:p>
      <w:pPr>
        <w:spacing w:before="40" w:after="40"/>
      </w:pPr>
      <w:r>
        <w:rPr>
          <w:rFonts w:ascii="Arial" w:cs="Arial" w:eastAsia="Arial" w:hAnsi="Arial"/>
          <w:b w:val="false"/>
          <w:bCs w:val="false"/>
          <w:i w:val="false"/>
          <w:iCs w:val="false"/>
          <w:color w:val="1F1F1F"/>
          <w:sz w:val="20"/>
          <w:szCs w:val="20"/>
        </w:rPr>
        <w:t xml:space="preserve">The table below profiles all major competitors across funding, valuation, and strategic positioning. Vex is highlighted.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1500"/>
        <w:gridCol w:w="3360"/>
      </w:tblGrid>
      <w:tr>
        <w:tc>
          <w:tcPr>
            <w:tcW w:type="dxa" w:w="17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Company</w:t>
            </w:r>
          </w:p>
        </w:tc>
        <w:tc>
          <w:tcPr>
            <w:tcW w:type="dxa" w:w="15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Funding</w:t>
            </w:r>
          </w:p>
        </w:tc>
        <w:tc>
          <w:tcPr>
            <w:tcW w:type="dxa" w:w="13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Valuation</w:t>
            </w:r>
          </w:p>
        </w:tc>
        <w:tc>
          <w:tcPr>
            <w:tcW w:type="dxa" w:w="15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ARR / Revenue</w:t>
            </w:r>
          </w:p>
        </w:tc>
        <w:tc>
          <w:tcPr>
            <w:tcW w:type="dxa" w:w="33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Competitive Intel</w:t>
            </w:r>
          </w:p>
        </w:tc>
      </w:tr>
      <w:tr>
        <w:tc>
          <w:tcPr>
            <w:tcW w:type="dxa" w:w="1700"/>
            <w:tcBorders>
              <w:top w:val="single" w:color="CCCCCC" w:sz="1"/>
              <w:left w:val="single" w:color="CCCCCC" w:sz="1"/>
              <w:bottom w:val="single" w:color="CCCCCC" w:sz="1"/>
              <w:right w:val="single" w:color="CCCCCC" w:sz="1"/>
            </w:tcBorders>
            <w:shd w:fill="D6EAF8" w:val="clear"/>
          </w:tcPr>
          <w:p>
            <w:pPr>
              <w:jc w:val="left"/>
            </w:pPr>
            <w:r>
              <w:rPr>
                <w:rFonts w:ascii="Arial" w:cs="Arial" w:eastAsia="Arial" w:hAnsi="Arial"/>
                <w:b/>
                <w:bCs/>
                <w:i w:val="false"/>
                <w:iCs w:val="false"/>
                <w:color w:val="1F3864"/>
                <w:sz w:val="18"/>
                <w:szCs w:val="18"/>
              </w:rPr>
              <w:t xml:space="preserve">Vex</w:t>
            </w:r>
          </w:p>
        </w:tc>
        <w:tc>
          <w:tcPr>
            <w:tcW w:type="dxa" w:w="15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3864"/>
                <w:sz w:val="18"/>
                <w:szCs w:val="18"/>
              </w:rPr>
              <w:t xml:space="preserve">Undisclosed</w:t>
            </w:r>
          </w:p>
        </w:tc>
        <w:tc>
          <w:tcPr>
            <w:tcW w:type="dxa" w:w="13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3864"/>
                <w:sz w:val="18"/>
                <w:szCs w:val="18"/>
              </w:rPr>
              <w:t xml:space="preserve">Early-stage</w:t>
            </w:r>
          </w:p>
        </w:tc>
        <w:tc>
          <w:tcPr>
            <w:tcW w:type="dxa" w:w="1500"/>
            <w:tcBorders>
              <w:top w:val="single" w:color="CCCCCC" w:sz="1"/>
              <w:left w:val="single" w:color="CCCCCC" w:sz="1"/>
              <w:bottom w:val="single" w:color="CCCCCC" w:sz="1"/>
              <w:right w:val="single" w:color="CCCCCC" w:sz="1"/>
            </w:tcBorders>
            <w:shd w:fill="D6EAF8" w:val="clear"/>
          </w:tcPr>
          <w:p>
            <w:pPr>
              <w:jc w:val="center"/>
            </w:pPr>
            <w:r>
              <w:rPr>
                <w:rFonts w:ascii="Arial" w:cs="Arial" w:eastAsia="Arial" w:hAnsi="Arial"/>
                <w:b/>
                <w:bCs/>
                <w:i w:val="false"/>
                <w:iCs w:val="false"/>
                <w:color w:val="1F3864"/>
                <w:sz w:val="18"/>
                <w:szCs w:val="18"/>
              </w:rPr>
              <w:t xml:space="preserve">Undisclosed</w:t>
            </w:r>
          </w:p>
        </w:tc>
        <w:tc>
          <w:tcPr>
            <w:tcW w:type="dxa" w:w="3360"/>
            <w:tcBorders>
              <w:top w:val="single" w:color="CCCCCC" w:sz="1"/>
              <w:left w:val="single" w:color="CCCCCC" w:sz="1"/>
              <w:bottom w:val="single" w:color="CCCCCC" w:sz="1"/>
              <w:right w:val="single" w:color="CCCCCC" w:sz="1"/>
            </w:tcBorders>
            <w:shd w:fill="D6EAF8" w:val="clear"/>
          </w:tcPr>
          <w:p>
            <w:pPr>
              <w:jc w:val="left"/>
            </w:pPr>
            <w:r>
              <w:rPr>
                <w:rFonts w:ascii="Arial" w:cs="Arial" w:eastAsia="Arial" w:hAnsi="Arial"/>
                <w:b/>
                <w:bCs/>
                <w:i w:val="false"/>
                <w:iCs w:val="false"/>
                <w:color w:val="1F3864"/>
                <w:sz w:val="18"/>
                <w:szCs w:val="18"/>
              </w:rPr>
              <w:t xml:space="preserve">3-layer correction cascade (unique). 6-check parallel verification. Open-core (Apache 2.0 + AGPLv3). Spoke to 11 production teams before building. Entry price $29/mo.</w:t>
            </w:r>
          </w:p>
        </w:tc>
      </w:tr>
      <w:tr>
        <w:tc>
          <w:tcPr>
            <w:tcW w:type="dxa" w:w="17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LangChain / LangSmith</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$260M total</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$1.25B</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$12–16M ARR</w:t>
            </w:r>
          </w:p>
        </w:tc>
        <w:tc>
          <w:tcPr>
            <w:tcW w:type="dxa" w:w="3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Dominant in LangChain ecosystem. Now framework-agnostic. Online evals added 2024–25. Does NOT auto-correct. Self-host on K8s available.</w:t>
            </w:r>
          </w:p>
        </w:tc>
      </w:tr>
      <w:tr>
        <w:tc>
          <w:tcPr>
            <w:tcW w:type="dxa" w:w="17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Langfuse</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$4.5M</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Acquired Jan 2026</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~$1.1M ARR</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OSS (MIT). Best-in-class prompt &amp; dataset mgmt. 7-person team at acquisition. No auto-correction. Self-hostable.</w:t>
            </w:r>
          </w:p>
        </w:tc>
      </w:tr>
      <w:tr>
        <w:tc>
          <w:tcPr>
            <w:tcW w:type="dxa" w:w="17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Guardrails AI</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$7.5M seed</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Early-stage</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~$1.1M ARR</w:t>
            </w:r>
          </w:p>
        </w:tc>
        <w:tc>
          <w:tcPr>
            <w:tcW w:type="dxa" w:w="3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Schema/structural validation only. Apache 2.0. No TypeScript SDK. Complementary — different safety layer from Vex.</w:t>
            </w:r>
          </w:p>
        </w:tc>
      </w:tr>
      <w:tr>
        <w:tc>
          <w:tcPr>
            <w:tcW w:type="dxa" w:w="17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Galileo</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$68M raised</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Growth-stage</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Undisclosed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ChainPoll multi-model consensus. Luna-2 SLM sub-50ms. SOC2. Eval-to-guardrail pipeline. No self-host. No auto-correction. Free tier 5K traces/mo.</w:t>
            </w:r>
          </w:p>
        </w:tc>
      </w:tr>
      <w:tr>
        <w:tc>
          <w:tcPr>
            <w:tcW w:type="dxa" w:w="17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Braintrust</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$80M Series B</w:t>
            </w:r>
          </w:p>
        </w:tc>
        <w:tc>
          <w:tcPr>
            <w:tcW w:type="dxa" w:w="13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$800M</w:t>
            </w:r>
          </w:p>
        </w:tc>
        <w:tc>
          <w:tcPr>
            <w:tcW w:type="dxa" w:w="1500"/>
            <w:tcBorders>
              <w:top w:val="single" w:color="CCCCCC" w:sz="1"/>
              <w:left w:val="single" w:color="CCCCCC" w:sz="1"/>
              <w:bottom w:val="single" w:color="CCCCCC" w:sz="1"/>
              <w:right w:val="single" w:color="CCCCCC" w:sz="1"/>
            </w:tcBorders>
            <w:shd w:fill="F2F2F2" w:val="clear"/>
          </w:tcPr>
          <w:p>
            <w:pPr>
              <w:jc w:val="center"/>
            </w:pPr>
            <w:r>
              <w:rPr>
                <w:rFonts w:ascii="Arial" w:cs="Arial" w:eastAsia="Arial" w:hAnsi="Arial"/>
                <w:b w:val="false"/>
                <w:bCs w:val="false"/>
                <w:i w:val="false"/>
                <w:iCs w:val="false"/>
                <w:color w:val="1F1F1F"/>
                <w:sz w:val="18"/>
                <w:szCs w:val="18"/>
              </w:rPr>
              <w:t xml:space="preserve">Undisclosed</w:t>
            </w:r>
          </w:p>
        </w:tc>
        <w:tc>
          <w:tcPr>
            <w:tcW w:type="dxa" w:w="33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Eval-first / post-hoc. Prompt playground + datasets. Pro $249/mo. Does NOT detect drift, hallucinations, or coherence. Closed source.</w:t>
            </w:r>
          </w:p>
        </w:tc>
      </w:tr>
      <w:tr>
        <w:tc>
          <w:tcPr>
            <w:tcW w:type="dxa" w:w="17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Arize / Phoenix</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~$38M</w:t>
            </w:r>
          </w:p>
        </w:tc>
        <w:tc>
          <w:tcPr>
            <w:tcW w:type="dxa" w:w="13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Growth-stage</w:t>
            </w:r>
          </w:p>
        </w:tc>
        <w:tc>
          <w:tcPr>
            <w:tcW w:type="dxa" w:w="15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i w:val="false"/>
                <w:iCs w:val="false"/>
                <w:color w:val="1F1F1F"/>
                <w:sz w:val="18"/>
                <w:szCs w:val="18"/>
              </w:rPr>
              <w:t xml:space="preserve">Undisclosed</w:t>
            </w:r>
          </w:p>
        </w:tc>
        <w:tc>
          <w:tcPr>
            <w:tcW w:type="dxa" w:w="3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OpenInference standard (adopted by LangSmith, Opik). Phoenix fully free OSS. SOC2 + HIPAA. Alyx AI co-pilot. No auto-correction.</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6. Head-to-Head Competitive Positioning</w:t>
      </w:r>
    </w:p>
    <w:p>
      <w:pPr>
        <w:spacing w:before="40" w:after="40"/>
      </w:pPr>
      <w:r>
        <w:rPr>
          <w:rFonts w:ascii="Arial" w:cs="Arial" w:eastAsia="Arial" w:hAnsi="Arial"/>
          <w:b w:val="false"/>
          <w:bCs w:val="false"/>
          <w:i w:val="false"/>
          <w:iCs w:val="false"/>
          <w:color w:val="1F1F1F"/>
          <w:sz w:val="20"/>
          <w:szCs w:val="20"/>
        </w:rPr>
        <w:t xml:space="preserve">Vex's core differentiator across all competitors is real-time behavioural drift detection combined with automated correction — a capability gap no other tool closes. The table below shows where Vex wins and where it is exposed.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480"/>
        <w:gridCol w:w="2800"/>
      </w:tblGrid>
      <w:tr>
        <w:tc>
          <w:tcPr>
            <w:tcW w:type="dxa" w:w="16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Versus</w:t>
            </w:r>
          </w:p>
        </w:tc>
        <w:tc>
          <w:tcPr>
            <w:tcW w:type="dxa" w:w="248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Vex Advantage</w:t>
            </w:r>
          </w:p>
        </w:tc>
        <w:tc>
          <w:tcPr>
            <w:tcW w:type="dxa" w:w="248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Vex Disadvantage</w:t>
            </w:r>
          </w:p>
        </w:tc>
        <w:tc>
          <w:tcPr>
            <w:tcW w:type="dxa" w:w="28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Relationship</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LangSmith</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Only tool that blocks + auto-corrects before user sees output. 3-line setup vs moderate. OSS, self-hostable.</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No prompt playground. No dataset mgmt. Smaller community. No SOC2.</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Complementary — LangSmith for dev debugging, Vex for production guardrails.</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Langfuse</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Runtime auto-correction. Hallucination blocking. 3-line setup. Both OSS + self-hostable.</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No prompt management. No dataset management. Smaller ecosystem.</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Complementary — Langfuse for observability + prompt mgmt, Vex for safety.</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Guardrails AI</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Detects behavioural/semantic drift (Guardrails only checks structure). Auto-correction. TypeScript SDK.</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Guardrails has more mature structural validation. Larger community.</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Complementary — stack them. Guardrails for structure, Vex for behaviour.</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Galileo</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Simpler setup (3 lines vs complex). Auto-correction cascade (Galileo has none). OSS + self-hostable.</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Galileo has $68M, SOC2, Luna-2 custom evals, HIPAA, eval-to-guardrail pipeline. Enterprise ready.</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Direct competitor in runtime safety; Galileo wins on enterprise compliance.</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Braintrust</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Real-time blocking + correction. Drift + hallucination + coherence detection. 3x cheaper (Pro $99 vs $249).</w:t>
            </w:r>
          </w:p>
        </w:tc>
        <w:tc>
          <w:tcPr>
            <w:tcW w:type="dxa" w:w="24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Braintrust has prompt playground, datasets, regression testing. $800M valuation / more resources.</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Partially complementary — different timing (pre-delivery vs post-hoc).</w:t>
            </w:r>
          </w:p>
        </w:tc>
      </w:tr>
      <w:tr>
        <w:tc>
          <w:tcPr>
            <w:tcW w:type="dxa" w:w="1600"/>
            <w:tcBorders>
              <w:top w:val="single" w:color="CCCCCC" w:sz="1"/>
              <w:left w:val="single" w:color="CCCCCC" w:sz="1"/>
              <w:bottom w:val="single" w:color="CCCCCC" w:sz="1"/>
              <w:right w:val="single" w:color="CCCCCC" w:sz="1"/>
            </w:tcBorders>
            <w:shd w:fill="2E75B6" w:val="clear"/>
          </w:tcPr>
          <w:p>
            <w:pPr>
              <w:jc w:val="left"/>
            </w:pPr>
            <w:r>
              <w:rPr>
                <w:rFonts w:ascii="Arial" w:cs="Arial" w:eastAsia="Arial" w:hAnsi="Arial"/>
                <w:b/>
                <w:bCs/>
                <w:i w:val="false"/>
                <w:iCs w:val="false"/>
                <w:color w:val="FFFFFF"/>
                <w:sz w:val="18"/>
                <w:szCs w:val="18"/>
              </w:rPr>
              <w:t xml:space="preserve">Arize / Phoenix</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Auto-correction. More complete runtime safety. 3-line setup.</w:t>
            </w:r>
          </w:p>
        </w:tc>
        <w:tc>
          <w:tcPr>
            <w:tcW w:type="dxa" w:w="248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Arize has OpenInference standard, HIPAA, SOC2, Alyx co-pilot, massive enterprise footprint.</w:t>
            </w:r>
          </w:p>
        </w:tc>
        <w:tc>
          <w:tcPr>
            <w:tcW w:type="dxa" w:w="28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Complementary — Arize/Phoenix for observability, Vex for runtime correction.</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7. Vex's Strategic Advantages</w:t>
      </w:r>
    </w:p>
    <w:p>
      <w:pPr>
        <w:pStyle w:val="ListParagraph"/>
        <w:numPr>
          <w:ilvl w:val="0"/>
          <w:numId w:val="2"/>
        </w:numPr>
      </w:pPr>
      <w:r>
        <w:rPr>
          <w:rFonts w:ascii="Arial" w:cs="Arial" w:eastAsia="Arial" w:hAnsi="Arial"/>
          <w:sz w:val="20"/>
          <w:szCs w:val="20"/>
        </w:rPr>
        <w:t xml:space="preserve">Unique technical moat: Trajectory-based min(IR, TD) drift scoring is genuinely novel. No competitor implements this.</w:t>
      </w:r>
    </w:p>
    <w:p>
      <w:pPr>
        <w:pStyle w:val="ListParagraph"/>
        <w:numPr>
          <w:ilvl w:val="0"/>
          <w:numId w:val="2"/>
        </w:numPr>
      </w:pPr>
      <w:r>
        <w:rPr>
          <w:rFonts w:ascii="Arial" w:cs="Arial" w:eastAsia="Arial" w:hAnsi="Arial"/>
          <w:sz w:val="20"/>
          <w:szCs w:val="20"/>
        </w:rPr>
        <w:t xml:space="preserve">Auto-correction: The 3-layer cascade (repair → constrained regen → full re-prompt) is the only automated correction pipeline in the market. Galileo blocks but does not correct. Others only observe.</w:t>
      </w:r>
    </w:p>
    <w:p>
      <w:pPr>
        <w:pStyle w:val="ListParagraph"/>
        <w:numPr>
          <w:ilvl w:val="0"/>
          <w:numId w:val="2"/>
        </w:numPr>
      </w:pPr>
      <w:r>
        <w:rPr>
          <w:rFonts w:ascii="Arial" w:cs="Arial" w:eastAsia="Arial" w:hAnsi="Arial"/>
          <w:sz w:val="20"/>
          <w:szCs w:val="20"/>
        </w:rPr>
        <w:t xml:space="preserve">Complementary by design: Vex does not replace LangSmith, Langfuse, or Guardrails AI — it fills the production safety gap those tools leave. This reduces sales friction.</w:t>
      </w:r>
    </w:p>
    <w:p>
      <w:pPr>
        <w:pStyle w:val="ListParagraph"/>
        <w:numPr>
          <w:ilvl w:val="0"/>
          <w:numId w:val="2"/>
        </w:numPr>
      </w:pPr>
      <w:r>
        <w:rPr>
          <w:rFonts w:ascii="Arial" w:cs="Arial" w:eastAsia="Arial" w:hAnsi="Arial"/>
          <w:sz w:val="20"/>
          <w:szCs w:val="20"/>
        </w:rPr>
        <w:t xml:space="preserve">Open-core model: Apache 2.0 SDK drives adoption; AGPLv3 dashboard creates enterprise revenue opportunity. Matches Langfuse's successful open-source playbook.</w:t>
      </w:r>
    </w:p>
    <w:p>
      <w:pPr>
        <w:pStyle w:val="ListParagraph"/>
        <w:numPr>
          <w:ilvl w:val="0"/>
          <w:numId w:val="2"/>
        </w:numPr>
      </w:pPr>
      <w:r>
        <w:rPr>
          <w:rFonts w:ascii="Arial" w:cs="Arial" w:eastAsia="Arial" w:hAnsi="Arial"/>
          <w:sz w:val="20"/>
          <w:szCs w:val="20"/>
        </w:rPr>
        <w:t xml:space="preserve">Developer-first onboarding: 3-line integration vs 'moderate' complexity for all competitors. Lower barrier = higher top-of-funnel conversion.</w:t>
      </w:r>
    </w:p>
    <w:p>
      <w:pPr>
        <w:pStyle w:val="ListParagraph"/>
        <w:numPr>
          <w:ilvl w:val="0"/>
          <w:numId w:val="2"/>
        </w:numPr>
      </w:pPr>
      <w:r>
        <w:rPr>
          <w:rFonts w:ascii="Arial" w:cs="Arial" w:eastAsia="Arial" w:hAnsi="Arial"/>
          <w:sz w:val="20"/>
          <w:szCs w:val="20"/>
        </w:rPr>
        <w:t xml:space="preserve">Market timing: EU AI Act enforcement (Aug 2024) + rising enterprise agentic deployment = urgency. Vex is early.</w:t>
      </w:r>
    </w:p>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8. Competitive Gaps, Risks &amp; Threats</w:t>
      </w:r>
    </w:p>
    <w:p>
      <w:pPr>
        <w:spacing w:before="40" w:after="40"/>
      </w:pPr>
      <w:r>
        <w:rPr>
          <w:rFonts w:ascii="Arial" w:cs="Arial" w:eastAsia="Arial" w:hAnsi="Arial"/>
          <w:b w:val="false"/>
          <w:bCs w:val="false"/>
          <w:i w:val="false"/>
          <w:iCs w:val="false"/>
          <w:color w:val="1F1F1F"/>
          <w:sz w:val="20"/>
          <w:szCs w:val="20"/>
        </w:rPr>
        <w:t xml:space="preserve">The following gaps represent the areas most likely to be exploited by competitors or cited in sales cycles: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Gap / Risk</w:t>
            </w:r>
          </w:p>
        </w:tc>
        <w:tc>
          <w:tcPr>
            <w:tcW w:type="dxa" w:w="356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Detail</w:t>
            </w:r>
          </w:p>
        </w:tc>
        <w:tc>
          <w:tcPr>
            <w:tcW w:type="dxa" w:w="3600"/>
            <w:tcBorders>
              <w:top w:val="single" w:color="CCCCCC" w:sz="1"/>
              <w:left w:val="single" w:color="CCCCCC" w:sz="1"/>
              <w:bottom w:val="single" w:color="CCCCCC" w:sz="1"/>
              <w:right w:val="single" w:color="CCCCCC" w:sz="1"/>
            </w:tcBorders>
            <w:shd w:fill="1F3864" w:val="clear"/>
          </w:tcPr>
          <w:p>
            <w:pPr>
              <w:jc w:val="center"/>
            </w:pPr>
            <w:r>
              <w:rPr>
                <w:rFonts w:ascii="Arial" w:cs="Arial" w:eastAsia="Arial" w:hAnsi="Arial"/>
                <w:b/>
                <w:bCs/>
                <w:i w:val="false"/>
                <w:iCs w:val="false"/>
                <w:color w:val="FFFFFF"/>
                <w:sz w:val="18"/>
                <w:szCs w:val="18"/>
              </w:rPr>
              <w:t xml:space="preserve">Who Has It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No prompt management</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Cannot version, A/B test, or manage prompts. Significant gap for teams iterating on agent prompts.</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Langfuse, Braintrust, Galileo</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No dataset management</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Cannot store curated test cases or turn traces into regression datasets.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Langfuse, Braintrust, LangSmith</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No custom evaluators</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No Luna-2-style domain-specific evaluation. Vex uses general-purpose checks only.</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Galileo (Luna-2), LangSmith (LLM-as-judge)</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No SOC 2 / HIPAA</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No published compliance certifications. Blocks enterprise procurement in regulated industries.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LangSmith (SOC2, HIPAA), Galileo (SOC2), Arize (SOC2, HIPAA)</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No eval-to-guardrail pipeline</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Cannot automatically promote pre-deploy evals into production guardrails.</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Galileo</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Undisclosed funding</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No announced funding round. Competitors have $4.5M–$260M raised. Limits scale and sales.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All named competitors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i w:val="false"/>
                <w:iCs w:val="false"/>
                <w:color w:val="1F3864"/>
                <w:sz w:val="18"/>
                <w:szCs w:val="18"/>
              </w:rPr>
              <w:t xml:space="preserve">Early-stage brand</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val="false"/>
                <w:iCs w:val="false"/>
                <w:color w:val="1F1F1F"/>
                <w:sz w:val="18"/>
                <w:szCs w:val="18"/>
              </w:rPr>
              <w:t xml:space="preserve">No case studies, logos, or customer proof points published. Harder enterprise sell.</w:t>
            </w:r>
          </w:p>
        </w:tc>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i/>
                <w:iCs/>
                <w:color w:val="1F1F1F"/>
                <w:sz w:val="17"/>
                <w:szCs w:val="17"/>
              </w:rPr>
              <w:t xml:space="preserve">All named competitors</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bCs/>
                <w:i w:val="false"/>
                <w:iCs w:val="false"/>
                <w:color w:val="1F3864"/>
                <w:sz w:val="18"/>
                <w:szCs w:val="18"/>
              </w:rPr>
              <w:t xml:space="preserve">Capital risk</w:t>
            </w:r>
          </w:p>
        </w:tc>
        <w:tc>
          <w:tcPr>
            <w:tcW w:type="dxa" w:w="356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val="false"/>
                <w:iCs w:val="false"/>
                <w:color w:val="1F1F1F"/>
                <w:sz w:val="18"/>
                <w:szCs w:val="18"/>
              </w:rPr>
              <w:t xml:space="preserve">Galileo ($68M), Braintrust ($80M / $800M), LangChain ($260M / $1.25B) could all add auto-correction as a feature with existing resources.</w:t>
            </w:r>
          </w:p>
        </w:tc>
        <w:tc>
          <w:tcPr>
            <w:tcW w:type="dxa" w:w="3600"/>
            <w:tcBorders>
              <w:top w:val="single" w:color="CCCCCC" w:sz="1"/>
              <w:left w:val="single" w:color="CCCCCC" w:sz="1"/>
              <w:bottom w:val="single" w:color="CCCCCC" w:sz="1"/>
              <w:right w:val="single" w:color="CCCCCC" w:sz="1"/>
            </w:tcBorders>
            <w:shd w:fill="F2F2F2" w:val="clear"/>
          </w:tcPr>
          <w:p>
            <w:pPr>
              <w:jc w:val="left"/>
            </w:pPr>
            <w:r>
              <w:rPr>
                <w:rFonts w:ascii="Arial" w:cs="Arial" w:eastAsia="Arial" w:hAnsi="Arial"/>
                <w:b w:val="false"/>
                <w:bCs w:val="false"/>
                <w:i/>
                <w:iCs/>
                <w:color w:val="1F1F1F"/>
                <w:sz w:val="17"/>
                <w:szCs w:val="17"/>
              </w:rPr>
              <w:t xml:space="preserve">Galileo, Braintrust, LangChain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DEDEC" w:val="clear"/>
          </w:tcPr>
          <w:p>
            <w:r>
              <w:rPr>
                <w:rFonts w:ascii="Arial" w:cs="Arial" w:eastAsia="Arial" w:hAnsi="Arial"/>
                <w:i/>
                <w:iCs/>
                <w:color w:val="1F3864"/>
                <w:sz w:val="18"/>
                <w:szCs w:val="18"/>
              </w:rPr>
              <w:t xml:space="preserve">Most critical near-term risk: Galileo ($68M raised) or LangChain ($260M raised, $1.25B valuation) adding an auto-correction feature to their existing platform would neutralise Vex's primary differentiator. Vex's window of technical uniqueness is likely 12–24 months before replication.</w:t>
            </w:r>
          </w:p>
        </w:tc>
      </w:tr>
    </w:tbl>
    <w:p>
      <w:pPr>
        <w:spacing w:before="80" w:after="80"/>
      </w:pPr>
      <w:r>
        <w:t xml:space="preserve"/>
      </w:r>
    </w:p>
    <w:p>
      <w:pPr>
        <w:pBdr>
          <w:bottom w:val="single" w:color="2E75B6" w:sz="6" w:space="1"/>
        </w:pBdr>
        <w:spacing w:before="280" w:after="100"/>
      </w:pPr>
      <w:r>
        <w:rPr>
          <w:rFonts w:ascii="Arial" w:cs="Arial" w:eastAsia="Arial" w:hAnsi="Arial"/>
          <w:b/>
          <w:bCs/>
          <w:color w:val="1F3864"/>
          <w:sz w:val="28"/>
          <w:szCs w:val="28"/>
        </w:rPr>
        <w:t xml:space="preserve">9. Strategic Observations</w:t>
      </w:r>
    </w:p>
    <w:p>
      <w:pPr>
        <w:pStyle w:val="ListParagraph"/>
        <w:numPr>
          <w:ilvl w:val="0"/>
          <w:numId w:val="2"/>
        </w:numPr>
      </w:pPr>
      <w:r>
        <w:rPr>
          <w:rFonts w:ascii="Arial" w:cs="Arial" w:eastAsia="Arial" w:hAnsi="Arial"/>
          <w:sz w:val="20"/>
          <w:szCs w:val="20"/>
        </w:rPr>
        <w:t xml:space="preserve">Vex should prioritise SOC 2 certification to unblock enterprise procurement — this is a hard gate for regulated industries.</w:t>
      </w:r>
    </w:p>
    <w:p>
      <w:pPr>
        <w:pStyle w:val="ListParagraph"/>
        <w:numPr>
          <w:ilvl w:val="0"/>
          <w:numId w:val="2"/>
        </w:numPr>
      </w:pPr>
      <w:r>
        <w:rPr>
          <w:rFonts w:ascii="Arial" w:cs="Arial" w:eastAsia="Arial" w:hAnsi="Arial"/>
          <w:sz w:val="20"/>
          <w:szCs w:val="20"/>
        </w:rPr>
        <w:t xml:space="preserve">Adding basic prompt management (even lightweight versioning) would close the most-cited gap vs. Langfuse and Braintrust.</w:t>
      </w:r>
    </w:p>
    <w:p>
      <w:pPr>
        <w:pStyle w:val="ListParagraph"/>
        <w:numPr>
          <w:ilvl w:val="0"/>
          <w:numId w:val="2"/>
        </w:numPr>
      </w:pPr>
      <w:r>
        <w:rPr>
          <w:rFonts w:ascii="Arial" w:cs="Arial" w:eastAsia="Arial" w:hAnsi="Arial"/>
          <w:sz w:val="20"/>
          <w:szCs w:val="20"/>
        </w:rPr>
        <w:t xml:space="preserve">Publishing customer case studies and logos (even anonymised) is the fastest way to build credibility against well-funded competitors.</w:t>
      </w:r>
    </w:p>
    <w:p>
      <w:pPr>
        <w:pStyle w:val="ListParagraph"/>
        <w:numPr>
          <w:ilvl w:val="0"/>
          <w:numId w:val="2"/>
        </w:numPr>
      </w:pPr>
      <w:r>
        <w:rPr>
          <w:rFonts w:ascii="Arial" w:cs="Arial" w:eastAsia="Arial" w:hAnsi="Arial"/>
          <w:sz w:val="20"/>
          <w:szCs w:val="20"/>
        </w:rPr>
        <w:t xml:space="preserve">Fundraising: The competitive set has $4.5M–$260M raised. Vex needs capital to keep pace with product velocity and go-to-market reach.</w:t>
      </w:r>
    </w:p>
    <w:p>
      <w:pPr>
        <w:pStyle w:val="ListParagraph"/>
        <w:numPr>
          <w:ilvl w:val="0"/>
          <w:numId w:val="2"/>
        </w:numPr>
      </w:pPr>
      <w:r>
        <w:rPr>
          <w:rFonts w:ascii="Arial" w:cs="Arial" w:eastAsia="Arial" w:hAnsi="Arial"/>
          <w:sz w:val="20"/>
          <w:szCs w:val="20"/>
        </w:rPr>
        <w:t xml:space="preserve">The positioning as complementary (not competitive) to LangSmith / Langfuse is smart — it enables co-sell and avoids head-on conflict with $1.25B+ incumbents.</w:t>
      </w:r>
    </w:p>
    <w:p>
      <w:pPr>
        <w:spacing w:before="80" w:after="80"/>
      </w:pPr>
      <w:r>
        <w:t xml:space="preserve"/>
      </w:r>
    </w:p>
    <w:p>
      <w:pPr>
        <w:pBdr>
          <w:top w:val="single" w:color="CCCCCC" w:sz="4" w:space="1"/>
        </w:pBdr>
        <w:spacing w:before="400"/>
      </w:pPr>
      <w:r>
        <w:rPr>
          <w:rFonts w:ascii="Arial" w:cs="Arial" w:eastAsia="Arial" w:hAnsi="Arial"/>
          <w:i/>
          <w:iCs/>
          <w:color w:val="888888"/>
          <w:sz w:val="16"/>
          <w:szCs w:val="16"/>
        </w:rPr>
        <w:t xml:space="preserve">Disclaimer: This report is based on publicly available information from tryvex.dev, docs.tryvex.dev, Vex blog posts, competitor websites, and third-party analyst reports (Mordor Intelligence, ResearchNester, CMI, Tracxn, Sacra, TechCrunch). Competitive comparisons may reflect Vex's own positioning. Market sizing figures are estimates. SAM/SOM are author estimates derived from published market data. This document is for informational purposes only.</w:t>
      </w:r>
    </w:p>
    <w:p>
      <w:pPr>
        <w:spacing w:before="280" w:after="100"/>
      </w:pPr>
      <w:r>
        <w:rPr>
          <w:rFonts w:ascii="Arial" w:cs="Arial" w:eastAsia="Arial" w:hAnsi="Arial"/>
          <w:b/>
          <w:bCs/>
          <w:color w:val="1F3864"/>
          <w:sz w:val="28"/>
          <w:szCs w:val="28"/>
        </w:rPr>
        <w:t>10. Competitor Size, Offerings &amp; Target Market (March 2026 Update)</w:t>
      </w:r>
    </w:p>
    <w:p>
      <w:pPr>
        <w:spacing w:before="40" w:after="40"/>
      </w:pPr>
      <w:r>
        <w:rPr>
          <w:rFonts w:ascii="Arial" w:cs="Arial" w:eastAsia="Arial" w:hAnsi="Arial"/>
          <w:sz w:val="20"/>
          <w:szCs w:val="20"/>
        </w:rPr>
        <w:t>This section synthesises the latest research (March 2026) on each competitor’s company size, product offerings, and addressable market. Data sourced from Tracxn, Sacra, LinkedIn, TechCrunch, and company announcements.</w:t>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1700"/>
        <w:gridCol w:w="1000"/>
        <w:gridCol w:w="1100"/>
        <w:gridCol w:w="1200"/>
        <w:gridCol w:w="2260"/>
        <w:gridCol w:w="2100"/>
      </w:tblGrid>
      <w:tr>
        <w:tc>
          <w:tcPr>
            <w:tcW w:w="1700" w:type="dxa"/>
            <w:shd w:fill="1F3864" w:val="clear"/>
          </w:tcPr>
          <w:p>
            <w:pPr>
              <w:jc w:val="center"/>
            </w:pPr>
            <w:r>
              <w:rPr>
                <w:rFonts w:ascii="Arial" w:cs="Arial" w:hAnsi="Arial"/>
                <w:b/>
                <w:color w:val="FFFFFF"/>
                <w:sz w:val="18"/>
              </w:rPr>
              <w:t>Company</w:t>
            </w:r>
          </w:p>
        </w:tc>
        <w:tc>
          <w:tcPr>
            <w:tcW w:w="1000" w:type="dxa"/>
            <w:shd w:fill="1F3864" w:val="clear"/>
          </w:tcPr>
          <w:p>
            <w:pPr>
              <w:jc w:val="center"/>
            </w:pPr>
            <w:r>
              <w:rPr>
                <w:rFonts w:ascii="Arial" w:cs="Arial" w:hAnsi="Arial"/>
                <w:b/>
                <w:color w:val="FFFFFF"/>
                <w:sz w:val="18"/>
              </w:rPr>
              <w:t>Employees</w:t>
            </w:r>
          </w:p>
        </w:tc>
        <w:tc>
          <w:tcPr>
            <w:tcW w:w="1100" w:type="dxa"/>
            <w:shd w:fill="1F3864" w:val="clear"/>
          </w:tcPr>
          <w:p>
            <w:pPr>
              <w:jc w:val="center"/>
            </w:pPr>
            <w:r>
              <w:rPr>
                <w:rFonts w:ascii="Arial" w:cs="Arial" w:hAnsi="Arial"/>
                <w:b/>
                <w:color w:val="FFFFFF"/>
                <w:sz w:val="18"/>
              </w:rPr>
              <w:t>Funding</w:t>
            </w:r>
          </w:p>
        </w:tc>
        <w:tc>
          <w:tcPr>
            <w:tcW w:w="1200" w:type="dxa"/>
            <w:shd w:fill="1F3864" w:val="clear"/>
          </w:tcPr>
          <w:p>
            <w:pPr>
              <w:jc w:val="center"/>
            </w:pPr>
            <w:r>
              <w:rPr>
                <w:rFonts w:ascii="Arial" w:cs="Arial" w:hAnsi="Arial"/>
                <w:b/>
                <w:color w:val="FFFFFF"/>
                <w:sz w:val="18"/>
              </w:rPr>
              <w:t>Revenue/ARR</w:t>
            </w:r>
          </w:p>
        </w:tc>
        <w:tc>
          <w:tcPr>
            <w:tcW w:w="2260" w:type="dxa"/>
            <w:shd w:fill="1F3864" w:val="clear"/>
          </w:tcPr>
          <w:p>
            <w:pPr>
              <w:jc w:val="center"/>
            </w:pPr>
            <w:r>
              <w:rPr>
                <w:rFonts w:ascii="Arial" w:cs="Arial" w:hAnsi="Arial"/>
                <w:b/>
                <w:color w:val="FFFFFF"/>
                <w:sz w:val="18"/>
              </w:rPr>
              <w:t>Primary Offerings</w:t>
            </w:r>
          </w:p>
        </w:tc>
        <w:tc>
          <w:tcPr>
            <w:tcW w:w="2100" w:type="dxa"/>
            <w:shd w:fill="1F3864" w:val="clear"/>
          </w:tcPr>
          <w:p>
            <w:pPr>
              <w:jc w:val="center"/>
            </w:pPr>
            <w:r>
              <w:rPr>
                <w:rFonts w:ascii="Arial" w:cs="Arial" w:hAnsi="Arial"/>
                <w:b/>
                <w:color w:val="FFFFFF"/>
                <w:sz w:val="18"/>
              </w:rPr>
              <w:t>Target Market &amp; TAM</w:t>
            </w:r>
          </w:p>
        </w:tc>
      </w:tr>
      <w:tr>
        <w:tc>
          <w:tcPr>
            <w:tcW w:w="1700" w:type="dxa"/>
            <w:shd w:fill="D5E8F0" w:val="clear"/>
          </w:tcPr>
          <w:p>
            <w:r>
              <w:rPr>
                <w:rFonts w:ascii="Arial" w:cs="Arial" w:hAnsi="Arial"/>
                <w:b/>
                <w:color w:val="1F3864"/>
                <w:sz w:val="18"/>
              </w:rPr>
              <w:t>LangChain / LangSmith</w:t>
            </w:r>
          </w:p>
        </w:tc>
        <w:tc>
          <w:tcPr>
            <w:tcW w:w="1000" w:type="dxa"/>
            <w:shd w:fill="FFFFFF" w:val="clear"/>
          </w:tcPr>
          <w:p>
            <w:pPr>
              <w:jc w:val="center"/>
            </w:pPr>
            <w:r>
              <w:rPr>
                <w:rFonts w:ascii="Arial" w:cs="Arial" w:hAnsi="Arial"/>
                <w:sz w:val="18"/>
              </w:rPr>
              <w:t>~195</w:t>
            </w:r>
          </w:p>
        </w:tc>
        <w:tc>
          <w:tcPr>
            <w:tcW w:w="1100" w:type="dxa"/>
            <w:shd w:fill="FFFFFF" w:val="clear"/>
          </w:tcPr>
          <w:p>
            <w:pPr>
              <w:jc w:val="center"/>
            </w:pPr>
            <w:r>
              <w:rPr>
                <w:rFonts w:ascii="Arial" w:cs="Arial" w:hAnsi="Arial"/>
                <w:sz w:val="18"/>
              </w:rPr>
              <w:t>$260M</w:t>
            </w:r>
          </w:p>
        </w:tc>
        <w:tc>
          <w:tcPr>
            <w:tcW w:w="1200" w:type="dxa"/>
            <w:shd w:fill="FFFFFF" w:val="clear"/>
          </w:tcPr>
          <w:p>
            <w:pPr>
              <w:jc w:val="center"/>
            </w:pPr>
            <w:r>
              <w:rPr>
                <w:rFonts w:ascii="Arial" w:cs="Arial" w:hAnsi="Arial"/>
                <w:sz w:val="18"/>
              </w:rPr>
              <w:t>$16M ARR</w:t>
            </w:r>
          </w:p>
        </w:tc>
        <w:tc>
          <w:tcPr>
            <w:tcW w:w="2260" w:type="dxa"/>
            <w:shd w:fill="FFFFFF" w:val="clear"/>
          </w:tcPr>
          <w:p>
            <w:r>
              <w:rPr>
                <w:rFonts w:ascii="Arial" w:cs="Arial" w:hAnsi="Arial"/>
                <w:sz w:val="17"/>
              </w:rPr>
              <w:t>Agent engineering framework (LangChain OSS), multi-agent orchestration (LangGraph), observability + tracing + evals + prompt mgmt (LangSmith). 25K+ monthly active teams, 1B+ trace logs.</w:t>
            </w:r>
          </w:p>
        </w:tc>
        <w:tc>
          <w:tcPr>
            <w:tcW w:w="2100" w:type="dxa"/>
            <w:shd w:fill="FFFFFF" w:val="clear"/>
          </w:tcPr>
          <w:p>
            <w:r>
              <w:rPr>
                <w:rFonts w:ascii="Arial" w:cs="Arial" w:hAnsi="Arial"/>
                <w:sz w:val="17"/>
              </w:rPr>
              <w:t>Enterprise across financial, legal, medical, tech. Customers: Morningstar, BCG, Microsoft, Klarna. TAM: $1.7B (AI observability, 2025).</w:t>
            </w:r>
          </w:p>
        </w:tc>
      </w:tr>
      <w:tr>
        <w:tc>
          <w:tcPr>
            <w:tcW w:w="1700" w:type="dxa"/>
            <w:shd w:fill="D5E8F0" w:val="clear"/>
          </w:tcPr>
          <w:p>
            <w:r>
              <w:rPr>
                <w:rFonts w:ascii="Arial" w:cs="Arial" w:hAnsi="Arial"/>
                <w:b/>
                <w:color w:val="1F3864"/>
                <w:sz w:val="18"/>
              </w:rPr>
              <w:t>Galileo AI</w:t>
            </w:r>
          </w:p>
        </w:tc>
        <w:tc>
          <w:tcPr>
            <w:tcW w:w="1000" w:type="dxa"/>
            <w:shd w:fill="F2F2F2" w:val="clear"/>
          </w:tcPr>
          <w:p>
            <w:pPr>
              <w:jc w:val="center"/>
            </w:pPr>
            <w:r>
              <w:rPr>
                <w:rFonts w:ascii="Arial" w:cs="Arial" w:hAnsi="Arial"/>
                <w:sz w:val="18"/>
              </w:rPr>
              <w:t>~142</w:t>
            </w:r>
          </w:p>
        </w:tc>
        <w:tc>
          <w:tcPr>
            <w:tcW w:w="1100" w:type="dxa"/>
            <w:shd w:fill="F2F2F2" w:val="clear"/>
          </w:tcPr>
          <w:p>
            <w:pPr>
              <w:jc w:val="center"/>
            </w:pPr>
            <w:r>
              <w:rPr>
                <w:rFonts w:ascii="Arial" w:cs="Arial" w:hAnsi="Arial"/>
                <w:sz w:val="18"/>
              </w:rPr>
              <w:t>$68M</w:t>
            </w:r>
          </w:p>
        </w:tc>
        <w:tc>
          <w:tcPr>
            <w:tcW w:w="1200" w:type="dxa"/>
            <w:shd w:fill="F2F2F2" w:val="clear"/>
          </w:tcPr>
          <w:p>
            <w:pPr>
              <w:jc w:val="center"/>
            </w:pPr>
            <w:r>
              <w:rPr>
                <w:rFonts w:ascii="Arial" w:cs="Arial" w:hAnsi="Arial"/>
                <w:sz w:val="18"/>
              </w:rPr>
              <w:t>N/D (834% growth)</w:t>
            </w:r>
          </w:p>
        </w:tc>
        <w:tc>
          <w:tcPr>
            <w:tcW w:w="2260" w:type="dxa"/>
            <w:shd w:fill="F2F2F2" w:val="clear"/>
          </w:tcPr>
          <w:p>
            <w:r>
              <w:rPr>
                <w:rFonts w:ascii="Arial" w:cs="Arial" w:hAnsi="Arial"/>
                <w:sz w:val="17"/>
              </w:rPr>
              <w:t>Enterprise eval platform. ChainPoll hallucination detection, Luna-2 SLM evaluators (&lt;50ms), eval-to-guardrail pipeline, SOC 2 certified. No auto-correction.</w:t>
            </w:r>
          </w:p>
        </w:tc>
        <w:tc>
          <w:tcPr>
            <w:tcW w:w="2100" w:type="dxa"/>
            <w:shd w:fill="F2F2F2" w:val="clear"/>
          </w:tcPr>
          <w:p>
            <w:r>
              <w:rPr>
                <w:rFonts w:ascii="Arial" w:cs="Arial" w:hAnsi="Arial"/>
                <w:sz w:val="17"/>
              </w:rPr>
              <w:t>Fortune 500 / regulated enterprises. Signed 6 Fortune 50 companies incl. Comcast &amp; Twilio. TAM: $550M (agentic AI monitoring, 2025).</w:t>
            </w:r>
          </w:p>
        </w:tc>
      </w:tr>
      <w:tr>
        <w:tc>
          <w:tcPr>
            <w:tcW w:w="1700" w:type="dxa"/>
            <w:shd w:fill="D5E8F0" w:val="clear"/>
          </w:tcPr>
          <w:p>
            <w:r>
              <w:rPr>
                <w:rFonts w:ascii="Arial" w:cs="Arial" w:hAnsi="Arial"/>
                <w:b/>
                <w:color w:val="1F3864"/>
                <w:sz w:val="18"/>
              </w:rPr>
              <w:t>Braintrust</w:t>
            </w:r>
          </w:p>
        </w:tc>
        <w:tc>
          <w:tcPr>
            <w:tcW w:w="1000" w:type="dxa"/>
            <w:shd w:fill="FFFFFF" w:val="clear"/>
          </w:tcPr>
          <w:p>
            <w:pPr>
              <w:jc w:val="center"/>
            </w:pPr>
            <w:r>
              <w:rPr>
                <w:rFonts w:ascii="Arial" w:cs="Arial" w:hAnsi="Arial"/>
                <w:sz w:val="18"/>
              </w:rPr>
              <w:t>11–50</w:t>
            </w:r>
          </w:p>
        </w:tc>
        <w:tc>
          <w:tcPr>
            <w:tcW w:w="1100" w:type="dxa"/>
            <w:shd w:fill="FFFFFF" w:val="clear"/>
          </w:tcPr>
          <w:p>
            <w:pPr>
              <w:jc w:val="center"/>
            </w:pPr>
            <w:r>
              <w:rPr>
                <w:rFonts w:ascii="Arial" w:cs="Arial" w:hAnsi="Arial"/>
                <w:sz w:val="18"/>
              </w:rPr>
              <w:t>$121M</w:t>
            </w:r>
          </w:p>
        </w:tc>
        <w:tc>
          <w:tcPr>
            <w:tcW w:w="1200" w:type="dxa"/>
            <w:shd w:fill="FFFFFF" w:val="clear"/>
          </w:tcPr>
          <w:p>
            <w:pPr>
              <w:jc w:val="center"/>
            </w:pPr>
            <w:r>
              <w:rPr>
                <w:rFonts w:ascii="Arial" w:cs="Arial" w:hAnsi="Arial"/>
                <w:sz w:val="18"/>
              </w:rPr>
              <w:t>N/D</w:t>
            </w:r>
          </w:p>
        </w:tc>
        <w:tc>
          <w:tcPr>
            <w:tcW w:w="2260" w:type="dxa"/>
            <w:shd w:fill="FFFFFF" w:val="clear"/>
          </w:tcPr>
          <w:p>
            <w:r>
              <w:rPr>
                <w:rFonts w:ascii="Arial" w:cs="Arial" w:hAnsi="Arial"/>
                <w:sz w:val="17"/>
              </w:rPr>
              <w:t>Eval-first observability, prompt playground, dataset mgmt, batch testing, regression detection, real-time trace monitoring. Pro: $249/mo. No runtime correction.</w:t>
            </w:r>
          </w:p>
        </w:tc>
        <w:tc>
          <w:tcPr>
            <w:tcW w:w="2100" w:type="dxa"/>
            <w:shd w:fill="FFFFFF" w:val="clear"/>
          </w:tcPr>
          <w:p>
            <w:r>
              <w:rPr>
                <w:rFonts w:ascii="Arial" w:cs="Arial" w:hAnsi="Arial"/>
                <w:sz w:val="17"/>
              </w:rPr>
              <w:t>Enterprise + mid-market. Customers: Notion, Stripe, Zapier, Instacart, Airtable. HIPAA &amp; financial services. TAM: $550M (agentic AI monitoring, 2025).</w:t>
            </w:r>
          </w:p>
        </w:tc>
      </w:tr>
      <w:tr>
        <w:tc>
          <w:tcPr>
            <w:tcW w:w="1700" w:type="dxa"/>
            <w:shd w:fill="D5E8F0" w:val="clear"/>
          </w:tcPr>
          <w:p>
            <w:r>
              <w:rPr>
                <w:rFonts w:ascii="Arial" w:cs="Arial" w:hAnsi="Arial"/>
                <w:b/>
                <w:color w:val="1F3864"/>
                <w:sz w:val="18"/>
              </w:rPr>
              <w:t>Langfuse</w:t>
            </w:r>
          </w:p>
        </w:tc>
        <w:tc>
          <w:tcPr>
            <w:tcW w:w="1000" w:type="dxa"/>
            <w:shd w:fill="F2F2F2" w:val="clear"/>
          </w:tcPr>
          <w:p>
            <w:pPr>
              <w:jc w:val="center"/>
            </w:pPr>
            <w:r>
              <w:rPr>
                <w:rFonts w:ascii="Arial" w:cs="Arial" w:hAnsi="Arial"/>
                <w:sz w:val="18"/>
              </w:rPr>
              <w:t>~15</w:t>
            </w:r>
          </w:p>
        </w:tc>
        <w:tc>
          <w:tcPr>
            <w:tcW w:w="1100" w:type="dxa"/>
            <w:shd w:fill="F2F2F2" w:val="clear"/>
          </w:tcPr>
          <w:p>
            <w:pPr>
              <w:jc w:val="center"/>
            </w:pPr>
            <w:r>
              <w:rPr>
                <w:rFonts w:ascii="Arial" w:cs="Arial" w:hAnsi="Arial"/>
                <w:sz w:val="18"/>
              </w:rPr>
              <w:t>$4.5M</w:t>
            </w:r>
          </w:p>
        </w:tc>
        <w:tc>
          <w:tcPr>
            <w:tcW w:w="1200" w:type="dxa"/>
            <w:shd w:fill="F2F2F2" w:val="clear"/>
          </w:tcPr>
          <w:p>
            <w:pPr>
              <w:jc w:val="center"/>
            </w:pPr>
            <w:r>
              <w:rPr>
                <w:rFonts w:ascii="Arial" w:cs="Arial" w:hAnsi="Arial"/>
                <w:sz w:val="18"/>
              </w:rPr>
              <w:t>$1.1M ARR</w:t>
            </w:r>
          </w:p>
        </w:tc>
        <w:tc>
          <w:tcPr>
            <w:tcW w:w="2260" w:type="dxa"/>
            <w:shd w:fill="F2F2F2" w:val="clear"/>
          </w:tcPr>
          <w:p>
            <w:r>
              <w:rPr>
                <w:rFonts w:ascii="Arial" w:cs="Arial" w:hAnsi="Arial"/>
                <w:sz w:val="17"/>
              </w:rPr>
              <w:t>OSS LLM observability (MIT), tracing, prompt mgmt, dataset mgmt, LLM-as-judge evals, cost/latency analytics, A/B prompt testing. 22.9K GitHub stars. Now part of ClickHouse.</w:t>
            </w:r>
          </w:p>
        </w:tc>
        <w:tc>
          <w:tcPr>
            <w:tcW w:w="2100" w:type="dxa"/>
            <w:shd w:fill="F2F2F2" w:val="clear"/>
          </w:tcPr>
          <w:p>
            <w:r>
              <w:rPr>
                <w:rFonts w:ascii="Arial" w:cs="Arial" w:hAnsi="Arial"/>
                <w:sz w:val="17"/>
              </w:rPr>
              <w:t>Developers wanting no vendor lock-in. Self-hostable, ISO 27001. TAM: $220M (LLM observability sub-segment, 2025).</w:t>
            </w:r>
          </w:p>
        </w:tc>
      </w:tr>
      <w:tr>
        <w:tc>
          <w:tcPr>
            <w:tcW w:w="1700" w:type="dxa"/>
            <w:shd w:fill="D5E8F0" w:val="clear"/>
          </w:tcPr>
          <w:p>
            <w:r>
              <w:rPr>
                <w:rFonts w:ascii="Arial" w:cs="Arial" w:hAnsi="Arial"/>
                <w:b/>
                <w:color w:val="1F3864"/>
                <w:sz w:val="18"/>
              </w:rPr>
              <w:t>Guardrails AI</w:t>
            </w:r>
          </w:p>
        </w:tc>
        <w:tc>
          <w:tcPr>
            <w:tcW w:w="1000" w:type="dxa"/>
            <w:shd w:fill="FFFFFF" w:val="clear"/>
          </w:tcPr>
          <w:p>
            <w:pPr>
              <w:jc w:val="center"/>
            </w:pPr>
            <w:r>
              <w:rPr>
                <w:rFonts w:ascii="Arial" w:cs="Arial" w:hAnsi="Arial"/>
                <w:sz w:val="18"/>
              </w:rPr>
              <w:t>~10</w:t>
            </w:r>
          </w:p>
        </w:tc>
        <w:tc>
          <w:tcPr>
            <w:tcW w:w="1100" w:type="dxa"/>
            <w:shd w:fill="FFFFFF" w:val="clear"/>
          </w:tcPr>
          <w:p>
            <w:pPr>
              <w:jc w:val="center"/>
            </w:pPr>
            <w:r>
              <w:rPr>
                <w:rFonts w:ascii="Arial" w:cs="Arial" w:hAnsi="Arial"/>
                <w:sz w:val="18"/>
              </w:rPr>
              <w:t>$7.5M</w:t>
            </w:r>
          </w:p>
        </w:tc>
        <w:tc>
          <w:tcPr>
            <w:tcW w:w="1200" w:type="dxa"/>
            <w:shd w:fill="FFFFFF" w:val="clear"/>
          </w:tcPr>
          <w:p>
            <w:pPr>
              <w:jc w:val="center"/>
            </w:pPr>
            <w:r>
              <w:rPr>
                <w:rFonts w:ascii="Arial" w:cs="Arial" w:hAnsi="Arial"/>
                <w:sz w:val="18"/>
              </w:rPr>
              <w:t>~$1.1M ARR</w:t>
            </w:r>
          </w:p>
        </w:tc>
        <w:tc>
          <w:tcPr>
            <w:tcW w:w="2260" w:type="dxa"/>
            <w:shd w:fill="FFFFFF" w:val="clear"/>
          </w:tcPr>
          <w:p>
            <w:r>
              <w:rPr>
                <w:rFonts w:ascii="Arial" w:cs="Arial" w:hAnsi="Arial"/>
                <w:sz w:val="17"/>
              </w:rPr>
              <w:t>OSS schema/structural validation (Apache 2.0), PII filtering, keyword blocking, format enforcement, managed enterprise guardrail control. Complements Vex.</w:t>
            </w:r>
          </w:p>
        </w:tc>
        <w:tc>
          <w:tcPr>
            <w:tcW w:w="2100" w:type="dxa"/>
            <w:shd w:fill="FFFFFF" w:val="clear"/>
          </w:tcPr>
          <w:p>
            <w:r>
              <w:rPr>
                <w:rFonts w:ascii="Arial" w:cs="Arial" w:hAnsi="Arial"/>
                <w:sz w:val="17"/>
              </w:rPr>
              <w:t>Regulated industries needing structural LLM output compliance. TAM: $550M (agentic AI monitoring, 2025).</w:t>
            </w:r>
          </w:p>
        </w:tc>
      </w:tr>
      <w:tr>
        <w:tc>
          <w:tcPr>
            <w:tcW w:w="1700" w:type="dxa"/>
            <w:shd w:fill="D5E8F0" w:val="clear"/>
          </w:tcPr>
          <w:p>
            <w:r>
              <w:rPr>
                <w:rFonts w:ascii="Arial" w:cs="Arial" w:hAnsi="Arial"/>
                <w:b/>
                <w:color w:val="1F3864"/>
                <w:sz w:val="18"/>
              </w:rPr>
              <w:t>Arize / Phoenix</w:t>
            </w:r>
          </w:p>
        </w:tc>
        <w:tc>
          <w:tcPr>
            <w:tcW w:w="1000" w:type="dxa"/>
            <w:shd w:fill="F2F2F2" w:val="clear"/>
          </w:tcPr>
          <w:p>
            <w:pPr>
              <w:jc w:val="center"/>
            </w:pPr>
            <w:r>
              <w:rPr>
                <w:rFonts w:ascii="Arial" w:cs="Arial" w:hAnsi="Arial"/>
                <w:sz w:val="18"/>
              </w:rPr>
              <w:t>51–200</w:t>
            </w:r>
          </w:p>
        </w:tc>
        <w:tc>
          <w:tcPr>
            <w:tcW w:w="1100" w:type="dxa"/>
            <w:shd w:fill="F2F2F2" w:val="clear"/>
          </w:tcPr>
          <w:p>
            <w:pPr>
              <w:jc w:val="center"/>
            </w:pPr>
            <w:r>
              <w:rPr>
                <w:rFonts w:ascii="Arial" w:cs="Arial" w:hAnsi="Arial"/>
                <w:sz w:val="18"/>
              </w:rPr>
              <w:t>~$38M</w:t>
            </w:r>
          </w:p>
        </w:tc>
        <w:tc>
          <w:tcPr>
            <w:tcW w:w="1200" w:type="dxa"/>
            <w:shd w:fill="F2F2F2" w:val="clear"/>
          </w:tcPr>
          <w:p>
            <w:pPr>
              <w:jc w:val="center"/>
            </w:pPr>
            <w:r>
              <w:rPr>
                <w:rFonts w:ascii="Arial" w:cs="Arial" w:hAnsi="Arial"/>
                <w:sz w:val="18"/>
              </w:rPr>
              <w:t>N/D</w:t>
            </w:r>
          </w:p>
        </w:tc>
        <w:tc>
          <w:tcPr>
            <w:tcW w:w="2260" w:type="dxa"/>
            <w:shd w:fill="F2F2F2" w:val="clear"/>
          </w:tcPr>
          <w:p>
            <w:r>
              <w:rPr>
                <w:rFonts w:ascii="Arial" w:cs="Arial" w:hAnsi="Arial"/>
                <w:sz w:val="17"/>
              </w:rPr>
              <w:t>ML + LLM observability (OpenInference standard), embedding drift detection, LLM tracing, Alyx AI co-pilot, SOC2 + HIPAA. Phoenix fully OSS &amp; free.</w:t>
            </w:r>
          </w:p>
        </w:tc>
        <w:tc>
          <w:tcPr>
            <w:tcW w:w="2100" w:type="dxa"/>
            <w:shd w:fill="F2F2F2" w:val="clear"/>
          </w:tcPr>
          <w:p>
            <w:r>
              <w:rPr>
                <w:rFonts w:ascii="Arial" w:cs="Arial" w:hAnsi="Arial"/>
                <w:sz w:val="17"/>
              </w:rPr>
              <w:t>Enterprise ML + LLM teams. Healthcare, financial services. OpenInference adopted by LangSmith, Opik. TAM: $1.7B (AI observability, 2025).</w:t>
            </w:r>
          </w:p>
        </w:tc>
      </w:tr>
    </w:tbl>
    <w:p>
      <w:pPr>
        <w:spacing w:before="80" w:after="40"/>
      </w:pPr>
      <w:r>
        <w:rPr>
          <w:rFonts w:ascii="Arial" w:cs="Arial" w:hAnsi="Arial"/>
          <w:i/>
          <w:color w:val="555555"/>
          <w:sz w:val="16"/>
        </w:rPr>
        <w:t>N/D = Not disclosed. Employee counts sourced from LinkedIn/Tracxn (March 2026). All TAM figures from Mordor Intelligence 2025 unless noted.</w:t>
      </w:r>
    </w:p>
    <w:sectPr>
      <w:headerReference w:type="default" r:id="rId6"/>
      <w:footerReference w:type="default" r:id="rId7"/>
      <w:pgSz w:w="12240" w:h="15840" w:orient="portrait"/>
      <w:pgMar w:top="1440" w:right="1080" w:bottom="1440" w:left="1080" w:header="708" w:footer="708" w:gutter="0"/>
      <w:pgNumType/>
      <w:docGrid w:linePitch="360"/>
    </w:sectPr>
    <w:p>
      <w:r>
        <w:br w:type="page"/>
      </w:r>
    </w:p>
    <w:p xmlns:w="http://schemas.openxmlformats.org/wordprocessingml/2006/main">
      <w:pPr>
        <w:pStyle w:val="Heading1"/>
      </w:pPr>
      <w:r>
        <w:t xml:space="preserve">11. Wallaroo.AI — Full Competitor Profile</w:t>
      </w:r>
    </w:p>
    <w:p xmlns:w="http://schemas.openxmlformats.org/wordprocessingml/2006/main">
      <w:pPr>
        <w:pStyle w:val="Heading2"/>
      </w:pPr>
      <w:r>
        <w:t xml:space="preserve">11.1 Company Overview</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500"/>
        <w:gridCol w:w="6860"/>
      </w:tblGrid>
      <w:tr>
        <w:tc>
          <w:tcPr>
            <w:tcW w:w="2500" w:type="dxa"/>
            <w:shd w:val="clear" w:color="auto" w:fill="F4F6FA"/>
          </w:tcPr>
          <w:p>
            <w:pPr>
              <w:spacing w:before="60" w:after="60"/>
            </w:pPr>
            <w:r>
              <w:rPr>
                <w:b/>
                <w:sz w:val="20"/>
                <w:szCs w:val="20"/>
              </w:rPr>
              <w:t xml:space="preserve">Founded</w:t>
            </w:r>
          </w:p>
        </w:tc>
        <w:tc>
          <w:tcPr>
            <w:tcW w:w="6860" w:type="dxa"/>
            <w:shd w:val="clear" w:color="auto" w:fill="F4F6FA"/>
          </w:tcPr>
          <w:p>
            <w:pPr>
              <w:spacing w:before="60" w:after="60"/>
            </w:pPr>
            <w:r>
              <w:rPr>
                <w:sz w:val="20"/>
                <w:szCs w:val="20"/>
              </w:rPr>
              <w:t xml:space="preserve">2017, Brooklyn / New York City, USA</w:t>
            </w:r>
          </w:p>
        </w:tc>
      </w:tr>
      <w:tr>
        <w:tc>
          <w:tcPr>
            <w:tcW w:w="2500" w:type="dxa"/>
            <w:shd w:val="clear" w:color="auto" w:fill="FFFFFF"/>
          </w:tcPr>
          <w:p>
            <w:pPr>
              <w:spacing w:before="60" w:after="60"/>
            </w:pPr>
            <w:r>
              <w:rPr>
                <w:b/>
                <w:sz w:val="20"/>
                <w:szCs w:val="20"/>
              </w:rPr>
              <w:t xml:space="preserve">CEO &amp; Founder</w:t>
            </w:r>
          </w:p>
        </w:tc>
        <w:tc>
          <w:tcPr>
            <w:tcW w:w="6860" w:type="dxa"/>
            <w:shd w:val="clear" w:color="auto" w:fill="FFFFFF"/>
          </w:tcPr>
          <w:p>
            <w:pPr>
              <w:spacing w:before="60" w:after="60"/>
            </w:pPr>
            <w:r>
              <w:rPr>
                <w:sz w:val="20"/>
                <w:szCs w:val="20"/>
              </w:rPr>
              <w:t xml:space="preserve">Vid Jain</w:t>
            </w:r>
          </w:p>
        </w:tc>
      </w:tr>
      <w:tr>
        <w:tc>
          <w:tcPr>
            <w:tcW w:w="2500" w:type="dxa"/>
            <w:shd w:val="clear" w:color="auto" w:fill="F4F6FA"/>
          </w:tcPr>
          <w:p>
            <w:pPr>
              <w:spacing w:before="60" w:after="60"/>
            </w:pPr>
            <w:r>
              <w:rPr>
                <w:b/>
                <w:sz w:val="20"/>
                <w:szCs w:val="20"/>
              </w:rPr>
              <w:t xml:space="preserve">Employees</w:t>
            </w:r>
          </w:p>
        </w:tc>
        <w:tc>
          <w:tcPr>
            <w:tcW w:w="6860" w:type="dxa"/>
            <w:shd w:val="clear" w:color="auto" w:fill="F4F6FA"/>
          </w:tcPr>
          <w:p>
            <w:pPr>
              <w:spacing w:before="60" w:after="60"/>
            </w:pPr>
            <w:r>
              <w:rPr>
                <w:sz w:val="20"/>
                <w:szCs w:val="20"/>
              </w:rPr>
              <w:t xml:space="preserve">~43 (PitchBook, March 2026)</w:t>
            </w:r>
          </w:p>
        </w:tc>
      </w:tr>
      <w:tr>
        <w:tc>
          <w:tcPr>
            <w:tcW w:w="2500" w:type="dxa"/>
            <w:shd w:val="clear" w:color="auto" w:fill="FFFFFF"/>
          </w:tcPr>
          <w:p>
            <w:pPr>
              <w:spacing w:before="60" w:after="60"/>
            </w:pPr>
            <w:r>
              <w:rPr>
                <w:b/>
                <w:sz w:val="20"/>
                <w:szCs w:val="20"/>
              </w:rPr>
              <w:t xml:space="preserve">Stage</w:t>
            </w:r>
          </w:p>
        </w:tc>
        <w:tc>
          <w:tcPr>
            <w:tcW w:w="6860" w:type="dxa"/>
            <w:shd w:val="clear" w:color="auto" w:fill="FFFFFF"/>
          </w:tcPr>
          <w:p>
            <w:pPr>
              <w:spacing w:before="60" w:after="60"/>
            </w:pPr>
            <w:r>
              <w:rPr>
                <w:sz w:val="20"/>
                <w:szCs w:val="20"/>
              </w:rPr>
              <w:t xml:space="preserve">Series A — last round July 2024</w:t>
            </w:r>
          </w:p>
        </w:tc>
      </w:tr>
      <w:tr>
        <w:tc>
          <w:tcPr>
            <w:tcW w:w="2500" w:type="dxa"/>
            <w:shd w:val="clear" w:color="auto" w:fill="F4F6FA"/>
          </w:tcPr>
          <w:p>
            <w:pPr>
              <w:spacing w:before="60" w:after="60"/>
            </w:pPr>
            <w:r>
              <w:rPr>
                <w:b/>
                <w:sz w:val="20"/>
                <w:szCs w:val="20"/>
              </w:rPr>
              <w:t xml:space="preserve">Total Funding</w:t>
            </w:r>
          </w:p>
        </w:tc>
        <w:tc>
          <w:tcPr>
            <w:tcW w:w="6860" w:type="dxa"/>
            <w:shd w:val="clear" w:color="auto" w:fill="F4F6FA"/>
          </w:tcPr>
          <w:p>
            <w:pPr>
              <w:spacing w:before="60" w:after="60"/>
            </w:pPr>
            <w:r>
              <w:rPr>
                <w:sz w:val="20"/>
                <w:szCs w:val="20"/>
              </w:rPr>
              <w:t xml:space="preserve">$34.4M across 7 rounds</w:t>
            </w:r>
          </w:p>
        </w:tc>
      </w:tr>
      <w:tr>
        <w:tc>
          <w:tcPr>
            <w:tcW w:w="2500" w:type="dxa"/>
            <w:shd w:val="clear" w:color="auto" w:fill="FFFFFF"/>
          </w:tcPr>
          <w:p>
            <w:pPr>
              <w:spacing w:before="60" w:after="60"/>
            </w:pPr>
            <w:r>
              <w:rPr>
                <w:b/>
                <w:sz w:val="20"/>
                <w:szCs w:val="20"/>
              </w:rPr>
              <w:t xml:space="preserve">Largest Round</w:t>
            </w:r>
          </w:p>
        </w:tc>
        <w:tc>
          <w:tcPr>
            <w:tcW w:w="6860" w:type="dxa"/>
            <w:shd w:val="clear" w:color="auto" w:fill="FFFFFF"/>
          </w:tcPr>
          <w:p>
            <w:pPr>
              <w:spacing w:before="60" w:after="60"/>
            </w:pPr>
            <w:r>
              <w:rPr>
                <w:sz w:val="20"/>
                <w:szCs w:val="20"/>
              </w:rPr>
              <w:t xml:space="preserve">$25M Series A — February 2022, led by M12 (Microsoft's Venture Fund)</w:t>
            </w:r>
          </w:p>
        </w:tc>
      </w:tr>
      <w:tr>
        <w:tc>
          <w:tcPr>
            <w:tcW w:w="2500" w:type="dxa"/>
            <w:shd w:val="clear" w:color="auto" w:fill="F4F6FA"/>
          </w:tcPr>
          <w:p>
            <w:pPr>
              <w:spacing w:before="60" w:after="60"/>
            </w:pPr>
            <w:r>
              <w:rPr>
                <w:b/>
                <w:sz w:val="20"/>
                <w:szCs w:val="20"/>
              </w:rPr>
              <w:t xml:space="preserve">Other Key Investors</w:t>
            </w:r>
          </w:p>
        </w:tc>
        <w:tc>
          <w:tcPr>
            <w:tcW w:w="6860" w:type="dxa"/>
            <w:shd w:val="clear" w:color="auto" w:fill="F4F6FA"/>
          </w:tcPr>
          <w:p>
            <w:pPr>
              <w:spacing w:before="60" w:after="60"/>
            </w:pPr>
            <w:r>
              <w:rPr>
                <w:sz w:val="20"/>
                <w:szCs w:val="20"/>
              </w:rPr>
              <w:t xml:space="preserve">Greycroft, Boldstart Ventures, Eniac Ventures, Contour Venture Partners, Resolute Ventures</w:t>
            </w:r>
          </w:p>
        </w:tc>
      </w:tr>
      <w:tr>
        <w:tc>
          <w:tcPr>
            <w:tcW w:w="2500" w:type="dxa"/>
            <w:shd w:val="clear" w:color="auto" w:fill="FFFFFF"/>
          </w:tcPr>
          <w:p>
            <w:pPr>
              <w:spacing w:before="60" w:after="60"/>
            </w:pPr>
            <w:r>
              <w:rPr>
                <w:b/>
                <w:sz w:val="20"/>
                <w:szCs w:val="20"/>
              </w:rPr>
              <w:t xml:space="preserve">Latest Financing</w:t>
            </w:r>
          </w:p>
        </w:tc>
        <w:tc>
          <w:tcPr>
            <w:tcW w:w="6860" w:type="dxa"/>
            <w:shd w:val="clear" w:color="auto" w:fill="FFFFFF"/>
          </w:tcPr>
          <w:p>
            <w:pPr>
              <w:spacing w:before="60" w:after="60"/>
            </w:pPr>
            <w:r>
              <w:rPr>
                <w:sz w:val="20"/>
                <w:szCs w:val="20"/>
              </w:rPr>
              <w:t xml:space="preserve">$1.1M convertible note — July 2024</w:t>
            </w:r>
          </w:p>
        </w:tc>
      </w:tr>
      <w:tr>
        <w:tc>
          <w:tcPr>
            <w:tcW w:w="2500" w:type="dxa"/>
            <w:shd w:val="clear" w:color="auto" w:fill="F4F6FA"/>
          </w:tcPr>
          <w:p>
            <w:pPr>
              <w:spacing w:before="60" w:after="60"/>
            </w:pPr>
            <w:r>
              <w:rPr>
                <w:b/>
                <w:sz w:val="20"/>
                <w:szCs w:val="20"/>
              </w:rPr>
              <w:t xml:space="preserve">Gov't Contracts</w:t>
            </w:r>
          </w:p>
        </w:tc>
        <w:tc>
          <w:tcPr>
            <w:tcW w:w="6860" w:type="dxa"/>
            <w:shd w:val="clear" w:color="auto" w:fill="F4F6FA"/>
          </w:tcPr>
          <w:p>
            <w:pPr>
              <w:spacing w:before="60" w:after="60"/>
            </w:pPr>
            <w:r>
              <w:rPr>
                <w:sz w:val="20"/>
                <w:szCs w:val="20"/>
              </w:rPr>
              <w:t xml:space="preserve">$1.25M USAF STTR Phase II (Aug 2024); US Space Force SDA TAP Lab Apollo Accelerator</w:t>
            </w:r>
          </w:p>
        </w:tc>
      </w:tr>
      <w:tr>
        <w:tc>
          <w:tcPr>
            <w:tcW w:w="2500" w:type="dxa"/>
            <w:shd w:val="clear" w:color="auto" w:fill="FFFFFF"/>
          </w:tcPr>
          <w:p>
            <w:pPr>
              <w:spacing w:before="60" w:after="60"/>
            </w:pPr>
            <w:r>
              <w:rPr>
                <w:b/>
                <w:sz w:val="20"/>
                <w:szCs w:val="20"/>
              </w:rPr>
              <w:t xml:space="preserve">Website</w:t>
            </w:r>
          </w:p>
        </w:tc>
        <w:tc>
          <w:tcPr>
            <w:tcW w:w="6860" w:type="dxa"/>
            <w:shd w:val="clear" w:color="auto" w:fill="FFFFFF"/>
          </w:tcPr>
          <w:p>
            <w:pPr>
              <w:spacing w:before="60" w:after="60"/>
            </w:pPr>
            <w:r>
              <w:rPr>
                <w:sz w:val="20"/>
                <w:szCs w:val="20"/>
              </w:rPr>
              <w:t xml:space="preserve">wallaroo.ai</w:t>
            </w:r>
          </w:p>
        </w:tc>
      </w:tr>
    </w:tbl>
    <w:p xmlns:w="http://schemas.openxmlformats.org/wordprocessingml/2006/main"/>
    <w:p xmlns:w="http://schemas.openxmlformats.org/wordprocessingml/2006/main">
      <w:pPr>
        <w:pStyle w:val="Heading2"/>
      </w:pPr>
      <w:r>
        <w:t xml:space="preserve">11.2 Product &amp; Technology</w:t>
      </w:r>
    </w:p>
    <w:p xmlns:w="http://schemas.openxmlformats.org/wordprocessingml/2006/main">
      <w:r>
        <w:t xml:space="preserve">Core Platform: Wallaroo positions itself as a Unified AI Orchestration Platform — software for deploying, executing, and operating AI models at scale across cloud, on-premises, and edge environments. The tagline is "any model, any hardware, anywhere."</w:t>
      </w:r>
    </w:p>
    <w:p xmlns:w="http://schemas.openxmlformats.org/wordprocessingml/2006/main"/>
    <w:p xmlns:w="http://schemas.openxmlformats.org/wordprocessingml/2006/main">
      <w:r>
        <w:t xml:space="preserve">Rust-Based Inference Engine: Wallaroo's inference engine is built in Rust, delivering 2x–10x performance gains on CPU and GPU versus standard Python/Flask-based model servers. It supports smart inference batching, automated resource orchestration, autoscaling, load balancing, and disaggregated serving for LLMs.</w:t>
      </w:r>
    </w:p>
    <w:p xmlns:w="http://schemas.openxmlformats.org/wordprocessingml/2006/main"/>
    <w:p xmlns:w="http://schemas.openxmlformats.org/wordprocessingml/2006/main">
      <w:r>
        <w:t xml:space="preserve">AI Hub (Control Plane): A centralized dashboard for inference monitoring, model lifecycle management, AI workflow automation, enterprise authentication and access management. Supports private AI and fully air-gapped deployments.</w:t>
      </w:r>
    </w:p>
    <w:p xmlns:w="http://schemas.openxmlformats.org/wordprocessingml/2006/main"/>
    <w:p xmlns:w="http://schemas.openxmlformats.org/wordprocessingml/2006/main">
      <w:r>
        <w:t xml:space="preserve">Wallaroo Toolkit: APIs and SDK connectors integrating with OpenAI SDK, vector databases, model registries, and Jupyter notebooks. Supports any ML runtime and complex multi-model workflow orchestration.</w:t>
      </w:r>
    </w:p>
    <w:p xmlns:w="http://schemas.openxmlformats.org/wordprocessingml/2006/main"/>
    <w:p xmlns:w="http://schemas.openxmlformats.org/wordprocessingml/2006/main">
      <w:r>
        <w:t xml:space="preserve">Infrastructure Breadth: Wallaroo uniquely spans x86, Arm, GPU, IBM Power, cloud (AWS, GCP, Azure), on-prem, and edge. This hardware-agnostic architecture is a meaningful differentiator against cloud-native competitors.</w:t>
      </w:r>
    </w:p>
    <w:p xmlns:w="http://schemas.openxmlformats.org/wordprocessingml/2006/main"/>
    <w:p xmlns:w="http://schemas.openxmlformats.org/wordprocessingml/2006/main">
      <w:r>
        <w:t xml:space="preserve">MLOps + LLMOps + Agentic AI: The platform covers the full spectrum: traditional ML model deployment, LLM validation and monitoring, and agentic AI workflow orchestration. LLM drift detection and basic validation are included in Team and Enterprise tiers.</w:t>
      </w:r>
    </w:p>
    <w:p xmlns:w="http://schemas.openxmlformats.org/wordprocessingml/2006/main"/>
    <w:p xmlns:w="http://schemas.openxmlformats.org/wordprocessingml/2006/main">
      <w:pPr>
        <w:pStyle w:val="Heading2"/>
      </w:pPr>
      <w:r>
        <w:t xml:space="preserve">11.3 Pricing</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200"/>
        <w:gridCol w:w="1800"/>
        <w:gridCol w:w="5360"/>
      </w:tblGrid>
      <w:tr>
        <w:trPr>
          <w:tblHeader/>
        </w:trPr>
        <w:tc>
          <w:tcPr>
            <w:tcW w:w="2200" w:type="dxa"/>
            <w:shd w:val="clear" w:color="auto" w:fill="1F3864"/>
          </w:tcPr>
          <w:p>
            <w:r>
              <w:rPr>
                <w:b/>
                <w:color w:val="FFFFFF"/>
                <w:sz w:val="20"/>
                <w:szCs w:val="20"/>
              </w:rPr>
              <w:t>Tier</w:t>
            </w:r>
          </w:p>
        </w:tc>
        <w:tc>
          <w:tcPr>
            <w:tcW w:w="1800" w:type="dxa"/>
            <w:shd w:val="clear" w:color="auto" w:fill="1F3864"/>
          </w:tcPr>
          <w:p>
            <w:r>
              <w:rPr>
                <w:b/>
                <w:color w:val="FFFFFF"/>
                <w:sz w:val="20"/>
                <w:szCs w:val="20"/>
              </w:rPr>
              <w:t>Price</w:t>
            </w:r>
          </w:p>
        </w:tc>
        <w:tc>
          <w:tcPr>
            <w:tcW w:w="5360" w:type="dxa"/>
            <w:shd w:val="clear" w:color="auto" w:fill="1F3864"/>
          </w:tcPr>
          <w:p>
            <w:r>
              <w:rPr>
                <w:b/>
                <w:color w:val="FFFFFF"/>
                <w:sz w:val="20"/>
                <w:szCs w:val="20"/>
              </w:rPr>
              <w:t>Key Features</w:t>
            </w:r>
          </w:p>
        </w:tc>
      </w:tr>
      <w:tr>
        <w:tc>
          <w:tcPr>
            <w:tcW w:w="2200" w:type="dxa"/>
            <w:shd w:val="clear" w:color="auto" w:fill="F4F6FA"/>
          </w:tcPr>
          <w:p>
            <w:r>
              <w:rPr>
                <w:b/>
                <w:sz w:val="20"/>
                <w:szCs w:val="20"/>
              </w:rPr>
              <w:t>Community (Free)</w:t>
            </w:r>
          </w:p>
        </w:tc>
        <w:tc>
          <w:tcPr>
            <w:tcW w:w="1800" w:type="dxa"/>
            <w:shd w:val="clear" w:color="auto" w:fill="F4F6FA"/>
          </w:tcPr>
          <w:p>
            <w:r>
              <w:rPr>
                <w:sz w:val="20"/>
                <w:szCs w:val="20"/>
                <w:color w:val="2E75B6"/>
              </w:rPr>
              <w:t>Free</w:t>
            </w:r>
          </w:p>
        </w:tc>
        <w:tc>
          <w:tcPr>
            <w:tcW w:w="5360" w:type="dxa"/>
            <w:shd w:val="clear" w:color="auto" w:fill="F4F6FA"/>
          </w:tcPr>
          <w:p>
            <w:r>
              <w:rPr>
                <w:sz w:val="20"/>
                <w:szCs w:val="20"/>
              </w:rPr>
              <w:t xml:space="preserve">2 users, 2 endpoints — model packaging, inference serving, model evaluation, x86 only</w:t>
            </w:r>
          </w:p>
        </w:tc>
      </w:tr>
      <w:tr>
        <w:tc>
          <w:tcPr>
            <w:tcW w:w="2200" w:type="dxa"/>
            <w:shd w:val="clear" w:color="auto" w:fill="FFFFFF"/>
          </w:tcPr>
          <w:p>
            <w:r>
              <w:rPr>
                <w:b/>
                <w:sz w:val="20"/>
                <w:szCs w:val="20"/>
              </w:rPr>
              <w:t>Starter</w:t>
            </w:r>
          </w:p>
        </w:tc>
        <w:tc>
          <w:tcPr>
            <w:tcW w:w="1800" w:type="dxa"/>
            <w:shd w:val="clear" w:color="auto" w:fill="FFFFFF"/>
          </w:tcPr>
          <w:p>
            <w:r>
              <w:rPr>
                <w:sz w:val="20"/>
                <w:szCs w:val="20"/>
                <w:color w:val="2E75B6"/>
              </w:rPr>
              <w:t>$500/mo</w:t>
            </w:r>
          </w:p>
        </w:tc>
        <w:tc>
          <w:tcPr>
            <w:tcW w:w="5360" w:type="dxa"/>
            <w:shd w:val="clear" w:color="auto" w:fill="FFFFFF"/>
          </w:tcPr>
          <w:p>
            <w:r>
              <w:rPr>
                <w:sz w:val="20"/>
                <w:szCs w:val="20"/>
              </w:rPr>
              <w:t xml:space="preserve">Basic MLOps: endpoints, edge deployment, x86 / Arm / IBM Power — Silver support</w:t>
            </w:r>
          </w:p>
        </w:tc>
      </w:tr>
      <w:tr>
        <w:tc>
          <w:tcPr>
            <w:tcW w:w="2200" w:type="dxa"/>
            <w:shd w:val="clear" w:color="auto" w:fill="F4F6FA"/>
          </w:tcPr>
          <w:p>
            <w:r>
              <w:rPr>
                <w:b/>
                <w:sz w:val="20"/>
                <w:szCs w:val="20"/>
              </w:rPr>
              <w:t>Team</w:t>
            </w:r>
          </w:p>
        </w:tc>
        <w:tc>
          <w:tcPr>
            <w:tcW w:w="1800" w:type="dxa"/>
            <w:shd w:val="clear" w:color="auto" w:fill="F4F6FA"/>
          </w:tcPr>
          <w:p>
            <w:r>
              <w:rPr>
                <w:sz w:val="20"/>
                <w:szCs w:val="20"/>
                <w:color w:val="2E75B6"/>
              </w:rPr>
              <w:t>Talk to Sales</w:t>
            </w:r>
          </w:p>
        </w:tc>
        <w:tc>
          <w:tcPr>
            <w:tcW w:w="5360" w:type="dxa"/>
            <w:shd w:val="clear" w:color="auto" w:fill="F4F6FA"/>
          </w:tcPr>
          <w:p>
            <w:r>
              <w:rPr>
                <w:sz w:val="20"/>
                <w:szCs w:val="20"/>
              </w:rPr>
              <w:t xml:space="preserve">Drift detection, A/B &amp; shadow testing, batch inference, GPU, autoscaling, enterprise security, SSO — Gold support</w:t>
            </w:r>
          </w:p>
        </w:tc>
      </w:tr>
      <w:tr>
        <w:tc>
          <w:tcPr>
            <w:tcW w:w="2200" w:type="dxa"/>
            <w:shd w:val="clear" w:color="auto" w:fill="FFFFFF"/>
          </w:tcPr>
          <w:p>
            <w:r>
              <w:rPr>
                <w:b/>
                <w:sz w:val="20"/>
                <w:szCs w:val="20"/>
              </w:rPr>
              <w:t>Enterprise</w:t>
            </w:r>
          </w:p>
        </w:tc>
        <w:tc>
          <w:tcPr>
            <w:tcW w:w="1800" w:type="dxa"/>
            <w:shd w:val="clear" w:color="auto" w:fill="FFFFFF"/>
          </w:tcPr>
          <w:p>
            <w:r>
              <w:rPr>
                <w:sz w:val="20"/>
                <w:szCs w:val="20"/>
                <w:color w:val="2E75B6"/>
              </w:rPr>
              <w:t>Talk to Sales</w:t>
            </w:r>
          </w:p>
        </w:tc>
        <w:tc>
          <w:tcPr>
            <w:tcW w:w="5360" w:type="dxa"/>
            <w:shd w:val="clear" w:color="auto" w:fill="FFFFFF"/>
          </w:tcPr>
          <w:p>
            <w:r>
              <w:rPr>
                <w:sz w:val="20"/>
                <w:szCs w:val="20"/>
              </w:rPr>
              <w:t xml:space="preserve">Full MLOps + LLMOps stack, 5+ users, 25+ endpoints, LLM validation &amp; monitoring, air-gapped support — Platinum support</w:t>
            </w:r>
          </w:p>
        </w:tc>
      </w:tr>
    </w:tbl>
    <w:p xmlns:w="http://schemas.openxmlformats.org/wordprocessingml/2006/main"/>
    <w:p xmlns:w="http://schemas.openxmlformats.org/wordprocessingml/2006/main">
      <w:pPr>
        <w:pStyle w:val="Heading2"/>
      </w:pPr>
      <w:r>
        <w:t xml:space="preserve">11.4 Customers &amp; Case Studies</w:t>
      </w:r>
    </w:p>
    <w:p xmlns:w="http://schemas.openxmlformats.org/wordprocessingml/2006/main">
      <w:r>
        <w:t xml:space="preserve">Wallaroo has published more customer case studies than most early-stage AI infrastructure peers, with four detailed scenarios on their website and named government clients.</w:t>
      </w:r>
    </w:p>
    <w:p xmlns:w="http://schemas.openxmlformats.org/wordprocessingml/2006/main"/>
    <w:p xmlns:w="http://schemas.openxmlformats.org/wordprocessingml/2006/main">
      <w:r>
        <w:t xml:space="preserve">Public Logos: PubMatic (programmatic ad-tech), USAF (DoD STTR Phase II awardee), US Space Force (SDA TAP Lab Apollo Accelerator program).</w:t>
      </w:r>
    </w:p>
    <w:p xmlns:w="http://schemas.openxmlformats.org/wordprocessingml/2006/main"/>
    <w:p xmlns:w="http://schemas.openxmlformats.org/wordprocessingml/2006/main">
      <w:r>
        <w:t xml:space="preserve">Cybersecurity (Fortune 100): Deployed 100+ ML security models. Reduced infrastructure from 600 to 96 servers (84% cost reduction). Model redeployment cut from 2 weeks to seconds.</w:t>
      </w:r>
    </w:p>
    <w:p xmlns:w="http://schemas.openxmlformats.org/wordprocessingml/2006/main"/>
    <w:p xmlns:w="http://schemas.openxmlformats.org/wordprocessingml/2006/main">
      <w:r>
        <w:t xml:space="preserve">IoT / Military: 50MB runtime for edge environments (drones, ships). Enabled real-time petabyte-scale IoT analytics for the US Military where most data was previously unanalyzed.</w:t>
      </w:r>
    </w:p>
    <w:p xmlns:w="http://schemas.openxmlformats.org/wordprocessingml/2006/main"/>
    <w:p xmlns:w="http://schemas.openxmlformats.org/wordprocessingml/2006/main">
      <w:r>
        <w:t xml:space="preserve">Real Estate (International Investment Firm): 36 pricing models live. Time-to-value cut from 9 to 3 months. Computing costs reduced 87%. Single platform replaced multiple point solutions.</w:t>
      </w:r>
    </w:p>
    <w:p xmlns:w="http://schemas.openxmlformats.org/wordprocessingml/2006/main"/>
    <w:p xmlns:w="http://schemas.openxmlformats.org/wordprocessingml/2006/main">
      <w:r>
        <w:t xml:space="preserve">Manufacturing (Multinational CPG): Supply chain optimization prototype in 3 months (down from 12). Real-time demand + supply data fusion with existing team — no new hires required.</w:t>
      </w:r>
    </w:p>
    <w:p xmlns:w="http://schemas.openxmlformats.org/wordprocessingml/2006/main"/>
    <w:p xmlns:w="http://schemas.openxmlformats.org/wordprocessingml/2006/main">
      <w:pPr>
        <w:pStyle w:val="Heading2"/>
      </w:pPr>
      <w:r>
        <w:t xml:space="preserve">11.5 Wallaroo's Own Competitive Landscape</w:t>
      </w:r>
    </w:p>
    <w:p xmlns:w="http://schemas.openxmlformats.org/wordprocessingml/2006/main">
      <w:r>
        <w:t xml:space="preserve">Wallaroo competes in the MLOps / AI infrastructure deployment space — a broader and more mature category than Vex's agent safety niche. Per Tracxn, Wallaroo ranks 7th among 192 active competitors, 4th by total funding.</w:t>
      </w:r>
    </w:p>
    <w:p xmlns:w="http://schemas.openxmlformats.org/wordprocessingml/2006/main"/>
    <w:p xmlns:w="http://schemas.openxmlformats.org/wordprocessingml/2006/main">
      <w:r>
        <w:t xml:space="preserve">Primary competitors include: Baseten Technologies, Liquid AI, webAI, Domino Data Lab, Seldon Core, BentoML / BentoCloud, AWS SageMaker, Google Vertex AI, LandingAI, and Dataiku. These are all deployment and serving infrastructure tools — focused on getting models into production, not on ensuring their behavioral safety once in production.</w:t>
      </w:r>
    </w:p>
    <w:p xmlns:w="http://schemas.openxmlformats.org/wordprocessingml/2006/main"/>
    <w:p xmlns:w="http://schemas.openxmlformats.org/wordprocessingml/2006/main">
      <w:pPr>
        <w:pStyle w:val="Heading2"/>
      </w:pPr>
      <w:r>
        <w:t xml:space="preserve">11.6 Wallaroo vs. Vex — Comparative Analysis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200"/>
        <w:gridCol w:w="3080"/>
        <w:gridCol w:w="4080"/>
      </w:tblGrid>
      <w:tr>
        <w:trPr>
          <w:tblHeader/>
        </w:trPr>
        <w:tc>
          <w:tcPr>
            <w:tcW w:w="2200" w:type="dxa"/>
            <w:shd w:val="clear" w:color="auto" w:fill="1F3864"/>
          </w:tcPr>
          <w:p>
            <w:r>
              <w:rPr>
                <w:b/>
                <w:color w:val="FFFFFF"/>
                <w:sz w:val="20"/>
                <w:szCs w:val="20"/>
              </w:rPr>
              <w:t>Dimension</w:t>
            </w:r>
          </w:p>
        </w:tc>
        <w:tc>
          <w:tcPr>
            <w:tcW w:w="3080" w:type="dxa"/>
            <w:shd w:val="clear" w:color="auto" w:fill="2E75B6"/>
          </w:tcPr>
          <w:p>
            <w:r>
              <w:rPr>
                <w:b/>
                <w:color w:val="FFFFFF"/>
                <w:sz w:val="20"/>
                <w:szCs w:val="20"/>
              </w:rPr>
              <w:t>Wallaroo.AI</w:t>
            </w:r>
          </w:p>
        </w:tc>
        <w:tc>
          <w:tcPr>
            <w:tcW w:w="4080" w:type="dxa"/>
            <w:shd w:val="clear" w:color="auto" w:fill="02C39A"/>
          </w:tcPr>
          <w:p>
            <w:r>
              <w:rPr>
                <w:b/>
                <w:color w:val="FFFFFF"/>
                <w:sz w:val="20"/>
                <w:szCs w:val="20"/>
              </w:rPr>
              <w:t>Vex</w:t>
            </w:r>
          </w:p>
        </w:tc>
      </w:tr>
      <w:tr>
        <w:tc>
          <w:tcPr>
            <w:tcW w:w="2200" w:type="dxa"/>
            <w:shd w:val="clear" w:color="auto" w:fill="F4F6FA"/>
          </w:tcPr>
          <w:p>
            <w:r>
              <w:rPr>
                <w:b/>
                <w:sz w:val="18"/>
                <w:szCs w:val="18"/>
              </w:rPr>
              <w:t xml:space="preserve">Layer</w:t>
            </w:r>
          </w:p>
        </w:tc>
        <w:tc>
          <w:tcPr>
            <w:tcW w:w="3080" w:type="dxa"/>
            <w:shd w:val="clear" w:color="auto" w:fill="F4F6FA"/>
          </w:tcPr>
          <w:p>
            <w:r>
              <w:rPr>
                <w:sz w:val="18"/>
                <w:szCs w:val="18"/>
              </w:rPr>
              <w:t xml:space="preserve">MLOps/LLMOps: deployment, serving, infrastructure orchestration</w:t>
            </w:r>
          </w:p>
        </w:tc>
        <w:tc>
          <w:tcPr>
            <w:tcW w:w="4080" w:type="dxa"/>
            <w:shd w:val="clear" w:color="auto" w:fill="F4F6FA"/>
          </w:tcPr>
          <w:p>
            <w:r>
              <w:rPr>
                <w:sz w:val="18"/>
                <w:szCs w:val="18"/>
              </w:rPr>
              <w:t xml:space="preserve">Agent behavioral safety: runtime output reliability &amp; correction</w:t>
            </w:r>
          </w:p>
        </w:tc>
      </w:tr>
      <w:tr>
        <w:tc>
          <w:tcPr>
            <w:tcW w:w="2200" w:type="dxa"/>
            <w:shd w:val="clear" w:color="auto" w:fill="FFFFFF"/>
          </w:tcPr>
          <w:p>
            <w:r>
              <w:rPr>
                <w:b/>
                <w:sz w:val="18"/>
                <w:szCs w:val="18"/>
              </w:rPr>
              <w:t xml:space="preserve">Core Focus</w:t>
            </w:r>
          </w:p>
        </w:tc>
        <w:tc>
          <w:tcPr>
            <w:tcW w:w="3080" w:type="dxa"/>
            <w:shd w:val="clear" w:color="auto" w:fill="FFFFFF"/>
          </w:tcPr>
          <w:p>
            <w:r>
              <w:rPr>
                <w:sz w:val="18"/>
                <w:szCs w:val="18"/>
              </w:rPr>
              <w:t xml:space="preserve">Get models &amp; agents into production on any hardware</w:t>
            </w:r>
          </w:p>
        </w:tc>
        <w:tc>
          <w:tcPr>
            <w:tcW w:w="4080" w:type="dxa"/>
            <w:shd w:val="clear" w:color="auto" w:fill="FFFFFF"/>
          </w:tcPr>
          <w:p>
            <w:r>
              <w:rPr>
                <w:sz w:val="18"/>
                <w:szCs w:val="18"/>
              </w:rPr>
              <w:t xml:space="preserve">Ensure models &amp; agents behave correctly once in production</w:t>
            </w:r>
          </w:p>
        </w:tc>
      </w:tr>
      <w:tr>
        <w:tc>
          <w:tcPr>
            <w:tcW w:w="2200" w:type="dxa"/>
            <w:shd w:val="clear" w:color="auto" w:fill="F4F6FA"/>
          </w:tcPr>
          <w:p>
            <w:r>
              <w:rPr>
                <w:b/>
                <w:sz w:val="18"/>
                <w:szCs w:val="18"/>
              </w:rPr>
              <w:t xml:space="preserve">Founded</w:t>
            </w:r>
          </w:p>
        </w:tc>
        <w:tc>
          <w:tcPr>
            <w:tcW w:w="3080" w:type="dxa"/>
            <w:shd w:val="clear" w:color="auto" w:fill="F4F6FA"/>
          </w:tcPr>
          <w:p>
            <w:r>
              <w:rPr>
                <w:sz w:val="18"/>
                <w:szCs w:val="18"/>
              </w:rPr>
              <w:t xml:space="preserve">2017</w:t>
            </w:r>
          </w:p>
        </w:tc>
        <w:tc>
          <w:tcPr>
            <w:tcW w:w="4080" w:type="dxa"/>
            <w:shd w:val="clear" w:color="auto" w:fill="F4F6FA"/>
          </w:tcPr>
          <w:p>
            <w:r>
              <w:rPr>
                <w:sz w:val="18"/>
                <w:szCs w:val="18"/>
              </w:rPr>
              <w:t xml:space="preserve">2024</w:t>
            </w:r>
          </w:p>
        </w:tc>
      </w:tr>
      <w:tr>
        <w:tc>
          <w:tcPr>
            <w:tcW w:w="2200" w:type="dxa"/>
            <w:shd w:val="clear" w:color="auto" w:fill="FFFFFF"/>
          </w:tcPr>
          <w:p>
            <w:r>
              <w:rPr>
                <w:b/>
                <w:sz w:val="18"/>
                <w:szCs w:val="18"/>
              </w:rPr>
              <w:t xml:space="preserve">Funding</w:t>
            </w:r>
          </w:p>
        </w:tc>
        <w:tc>
          <w:tcPr>
            <w:tcW w:w="3080" w:type="dxa"/>
            <w:shd w:val="clear" w:color="auto" w:fill="FFFFFF"/>
          </w:tcPr>
          <w:p>
            <w:r>
              <w:rPr>
                <w:sz w:val="18"/>
                <w:szCs w:val="18"/>
              </w:rPr>
              <w:t xml:space="preserve">$34.4M (7 rounds, Series A)</w:t>
            </w:r>
          </w:p>
        </w:tc>
        <w:tc>
          <w:tcPr>
            <w:tcW w:w="4080" w:type="dxa"/>
            <w:shd w:val="clear" w:color="auto" w:fill="FFFFFF"/>
          </w:tcPr>
          <w:p>
            <w:r>
              <w:rPr>
                <w:sz w:val="18"/>
                <w:szCs w:val="18"/>
              </w:rPr>
              <w:t xml:space="preserve">Undisclosed (pre-seed/seed stage)</w:t>
            </w:r>
          </w:p>
        </w:tc>
      </w:tr>
      <w:tr>
        <w:tc>
          <w:tcPr>
            <w:tcW w:w="2200" w:type="dxa"/>
            <w:shd w:val="clear" w:color="auto" w:fill="F4F6FA"/>
          </w:tcPr>
          <w:p>
            <w:r>
              <w:rPr>
                <w:b/>
                <w:sz w:val="18"/>
                <w:szCs w:val="18"/>
              </w:rPr>
              <w:t xml:space="preserve">Headcount</w:t>
            </w:r>
          </w:p>
        </w:tc>
        <w:tc>
          <w:tcPr>
            <w:tcW w:w="3080" w:type="dxa"/>
            <w:shd w:val="clear" w:color="auto" w:fill="F4F6FA"/>
          </w:tcPr>
          <w:p>
            <w:r>
              <w:rPr>
                <w:sz w:val="18"/>
                <w:szCs w:val="18"/>
              </w:rPr>
              <w:t xml:space="preserve">~43</w:t>
            </w:r>
          </w:p>
        </w:tc>
        <w:tc>
          <w:tcPr>
            <w:tcW w:w="4080" w:type="dxa"/>
            <w:shd w:val="clear" w:color="auto" w:fill="F4F6FA"/>
          </w:tcPr>
          <w:p>
            <w:r>
              <w:rPr>
                <w:sz w:val="18"/>
                <w:szCs w:val="18"/>
              </w:rPr>
              <w:t xml:space="preserve">Undisclosed (early-stage)</w:t>
            </w:r>
          </w:p>
        </w:tc>
      </w:tr>
      <w:tr>
        <w:tc>
          <w:tcPr>
            <w:tcW w:w="2200" w:type="dxa"/>
            <w:shd w:val="clear" w:color="auto" w:fill="FFFFFF"/>
          </w:tcPr>
          <w:p>
            <w:r>
              <w:rPr>
                <w:b/>
                <w:sz w:val="18"/>
                <w:szCs w:val="18"/>
              </w:rPr>
              <w:t xml:space="preserve">Customers</w:t>
            </w:r>
          </w:p>
        </w:tc>
        <w:tc>
          <w:tcPr>
            <w:tcW w:w="3080" w:type="dxa"/>
            <w:shd w:val="clear" w:color="auto" w:fill="FFFFFF"/>
          </w:tcPr>
          <w:p>
            <w:r>
              <w:rPr>
                <w:sz w:val="18"/>
                <w:szCs w:val="18"/>
              </w:rPr>
              <w:t xml:space="preserve">Fortune 100, USAF, Space Force, PubMatic</w:t>
            </w:r>
          </w:p>
        </w:tc>
        <w:tc>
          <w:tcPr>
            <w:tcW w:w="4080" w:type="dxa"/>
            <w:shd w:val="clear" w:color="auto" w:fill="FFFFFF"/>
          </w:tcPr>
          <w:p>
            <w:r>
              <w:rPr>
                <w:sz w:val="18"/>
                <w:szCs w:val="18"/>
              </w:rPr>
              <w:t xml:space="preserve">No public logos yet (customer discovery phase)</w:t>
            </w:r>
          </w:p>
        </w:tc>
      </w:tr>
      <w:tr>
        <w:tc>
          <w:tcPr>
            <w:tcW w:w="2200" w:type="dxa"/>
            <w:shd w:val="clear" w:color="auto" w:fill="F4F6FA"/>
          </w:tcPr>
          <w:p>
            <w:r>
              <w:rPr>
                <w:b/>
                <w:sz w:val="18"/>
                <w:szCs w:val="18"/>
              </w:rPr>
              <w:t xml:space="preserve">Open Source</w:t>
            </w:r>
          </w:p>
        </w:tc>
        <w:tc>
          <w:tcPr>
            <w:tcW w:w="3080" w:type="dxa"/>
            <w:shd w:val="clear" w:color="auto" w:fill="F4F6FA"/>
          </w:tcPr>
          <w:p>
            <w:r>
              <w:rPr>
                <w:sz w:val="18"/>
                <w:szCs w:val="18"/>
              </w:rPr>
              <w:t xml:space="preserve">Community Edition (limited)</w:t>
            </w:r>
          </w:p>
        </w:tc>
        <w:tc>
          <w:tcPr>
            <w:tcW w:w="4080" w:type="dxa"/>
            <w:shd w:val="clear" w:color="auto" w:fill="F4F6FA"/>
          </w:tcPr>
          <w:p>
            <w:r>
              <w:rPr>
                <w:sz w:val="18"/>
                <w:szCs w:val="18"/>
              </w:rPr>
              <w:t xml:space="preserve">Apache 2.0 + AGPLv3 (open-core)</w:t>
            </w:r>
          </w:p>
        </w:tc>
      </w:tr>
      <w:tr>
        <w:tc>
          <w:tcPr>
            <w:tcW w:w="2200" w:type="dxa"/>
            <w:shd w:val="clear" w:color="auto" w:fill="FFFFFF"/>
          </w:tcPr>
          <w:p>
            <w:r>
              <w:rPr>
                <w:b/>
                <w:sz w:val="18"/>
                <w:szCs w:val="18"/>
              </w:rPr>
              <w:t xml:space="preserve">Pricing entry</w:t>
            </w:r>
          </w:p>
        </w:tc>
        <w:tc>
          <w:tcPr>
            <w:tcW w:w="3080" w:type="dxa"/>
            <w:shd w:val="clear" w:color="auto" w:fill="FFFFFF"/>
          </w:tcPr>
          <w:p>
            <w:r>
              <w:rPr>
                <w:sz w:val="18"/>
                <w:szCs w:val="18"/>
              </w:rPr>
              <w:t xml:space="preserve">$500/mo (Starter)</w:t>
            </w:r>
          </w:p>
        </w:tc>
        <w:tc>
          <w:tcPr>
            <w:tcW w:w="4080" w:type="dxa"/>
            <w:shd w:val="clear" w:color="auto" w:fill="FFFFFF"/>
          </w:tcPr>
          <w:p>
            <w:r>
              <w:rPr>
                <w:sz w:val="18"/>
                <w:szCs w:val="18"/>
              </w:rPr>
              <w:t xml:space="preserve">$29/mo (Starter)</w:t>
            </w:r>
          </w:p>
        </w:tc>
      </w:tr>
      <w:tr>
        <w:tc>
          <w:tcPr>
            <w:tcW w:w="2200" w:type="dxa"/>
            <w:shd w:val="clear" w:color="auto" w:fill="F4F6FA"/>
          </w:tcPr>
          <w:p>
            <w:r>
              <w:rPr>
                <w:b/>
                <w:sz w:val="18"/>
                <w:szCs w:val="18"/>
              </w:rPr>
              <w:t xml:space="preserve">Hallucination detection</w:t>
            </w:r>
          </w:p>
        </w:tc>
        <w:tc>
          <w:tcPr>
            <w:tcW w:w="3080" w:type="dxa"/>
            <w:shd w:val="clear" w:color="auto" w:fill="F4F6FA"/>
          </w:tcPr>
          <w:p>
            <w:r>
              <w:rPr>
                <w:sz w:val="18"/>
                <w:szCs w:val="18"/>
              </w:rPr>
              <w:t xml:space="preserve">Basic (LLM validation in Team/Enterprise)</w:t>
            </w:r>
          </w:p>
        </w:tc>
        <w:tc>
          <w:tcPr>
            <w:tcW w:w="4080" w:type="dxa"/>
            <w:shd w:val="clear" w:color="auto" w:fill="F4F6FA"/>
          </w:tcPr>
          <w:p>
            <w:r>
              <w:rPr>
                <w:sz w:val="18"/>
                <w:szCs w:val="18"/>
              </w:rPr>
              <w:t xml:space="preserve">Deep parallel detection — core feature</w:t>
            </w:r>
          </w:p>
        </w:tc>
      </w:tr>
      <w:tr>
        <w:tc>
          <w:tcPr>
            <w:tcW w:w="2200" w:type="dxa"/>
            <w:shd w:val="clear" w:color="auto" w:fill="FFFFFF"/>
          </w:tcPr>
          <w:p>
            <w:r>
              <w:rPr>
                <w:b/>
                <w:sz w:val="18"/>
                <w:szCs w:val="18"/>
              </w:rPr>
              <w:t xml:space="preserve">Trajectory drift scoring</w:t>
            </w:r>
          </w:p>
        </w:tc>
        <w:tc>
          <w:tcPr>
            <w:tcW w:w="3080" w:type="dxa"/>
            <w:shd w:val="clear" w:color="auto" w:fill="FFFFFF"/>
          </w:tcPr>
          <w:p>
            <w:r>
              <w:rPr>
                <w:sz w:val="18"/>
                <w:szCs w:val="18"/>
              </w:rPr>
              <w:t xml:space="preserve">Not present</w:t>
            </w:r>
          </w:p>
        </w:tc>
        <w:tc>
          <w:tcPr>
            <w:tcW w:w="4080" w:type="dxa"/>
            <w:shd w:val="clear" w:color="auto" w:fill="FFFFFF"/>
          </w:tcPr>
          <w:p>
            <w:r>
              <w:rPr>
                <w:sz w:val="18"/>
                <w:szCs w:val="18"/>
              </w:rPr>
              <w:t xml:space="preserve">Proprietary min(IR, TD) formula — unique</w:t>
            </w:r>
          </w:p>
        </w:tc>
      </w:tr>
      <w:tr>
        <w:tc>
          <w:tcPr>
            <w:tcW w:w="2200" w:type="dxa"/>
            <w:shd w:val="clear" w:color="auto" w:fill="F4F6FA"/>
          </w:tcPr>
          <w:p>
            <w:r>
              <w:rPr>
                <w:b/>
                <w:sz w:val="18"/>
                <w:szCs w:val="18"/>
              </w:rPr>
              <w:t xml:space="preserve">Auto-correction cascade</w:t>
            </w:r>
          </w:p>
        </w:tc>
        <w:tc>
          <w:tcPr>
            <w:tcW w:w="3080" w:type="dxa"/>
            <w:shd w:val="clear" w:color="auto" w:fill="F4F6FA"/>
          </w:tcPr>
          <w:p>
            <w:r>
              <w:rPr>
                <w:sz w:val="18"/>
                <w:szCs w:val="18"/>
              </w:rPr>
              <w:t xml:space="preserve">Not present</w:t>
            </w:r>
          </w:p>
        </w:tc>
        <w:tc>
          <w:tcPr>
            <w:tcW w:w="4080" w:type="dxa"/>
            <w:shd w:val="clear" w:color="auto" w:fill="F4F6FA"/>
          </w:tcPr>
          <w:p>
            <w:r>
              <w:rPr>
                <w:sz w:val="18"/>
                <w:szCs w:val="18"/>
              </w:rPr>
              <w:t xml:space="preserve">3-layer cascade — core differentiator</w:t>
            </w:r>
          </w:p>
        </w:tc>
      </w:tr>
      <w:tr>
        <w:tc>
          <w:tcPr>
            <w:tcW w:w="2200" w:type="dxa"/>
            <w:shd w:val="clear" w:color="auto" w:fill="FFFFFF"/>
          </w:tcPr>
          <w:p>
            <w:r>
              <w:rPr>
                <w:b/>
                <w:sz w:val="18"/>
                <w:szCs w:val="18"/>
              </w:rPr>
              <w:t xml:space="preserve">Edge / on-prem deployment</w:t>
            </w:r>
          </w:p>
        </w:tc>
        <w:tc>
          <w:tcPr>
            <w:tcW w:w="3080" w:type="dxa"/>
            <w:shd w:val="clear" w:color="auto" w:fill="FFFFFF"/>
          </w:tcPr>
          <w:p>
            <w:r>
              <w:rPr>
                <w:sz w:val="18"/>
                <w:szCs w:val="18"/>
              </w:rPr>
              <w:t xml:space="preserve">Yes — major differentiator</w:t>
            </w:r>
          </w:p>
        </w:tc>
        <w:tc>
          <w:tcPr>
            <w:tcW w:w="4080" w:type="dxa"/>
            <w:shd w:val="clear" w:color="auto" w:fill="FFFFFF"/>
          </w:tcPr>
          <w:p>
            <w:r>
              <w:rPr>
                <w:sz w:val="18"/>
                <w:szCs w:val="18"/>
              </w:rPr>
              <w:t xml:space="preserve">Not applicable (agent output layer)</w:t>
            </w:r>
          </w:p>
        </w:tc>
      </w:tr>
      <w:tr>
        <w:tc>
          <w:tcPr>
            <w:tcW w:w="2200" w:type="dxa"/>
            <w:shd w:val="clear" w:color="auto" w:fill="F4F6FA"/>
          </w:tcPr>
          <w:p>
            <w:r>
              <w:rPr>
                <w:b/>
                <w:sz w:val="18"/>
                <w:szCs w:val="18"/>
              </w:rPr>
              <w:t xml:space="preserve">Hardware breadth</w:t>
            </w:r>
          </w:p>
        </w:tc>
        <w:tc>
          <w:tcPr>
            <w:tcW w:w="3080" w:type="dxa"/>
            <w:shd w:val="clear" w:color="auto" w:fill="F4F6FA"/>
          </w:tcPr>
          <w:p>
            <w:r>
              <w:rPr>
                <w:sz w:val="18"/>
                <w:szCs w:val="18"/>
              </w:rPr>
              <w:t xml:space="preserve">x86, Arm, GPU, IBM Power, air-gapped</w:t>
            </w:r>
          </w:p>
        </w:tc>
        <w:tc>
          <w:tcPr>
            <w:tcW w:w="4080" w:type="dxa"/>
            <w:shd w:val="clear" w:color="auto" w:fill="F4F6FA"/>
          </w:tcPr>
          <w:p>
            <w:r>
              <w:rPr>
                <w:sz w:val="18"/>
                <w:szCs w:val="18"/>
              </w:rPr>
              <w:t xml:space="preserve">Python/TypeScript SDK, framework-agnostic</w:t>
            </w:r>
          </w:p>
        </w:tc>
      </w:tr>
      <w:tr>
        <w:tc>
          <w:tcPr>
            <w:tcW w:w="2200" w:type="dxa"/>
            <w:shd w:val="clear" w:color="auto" w:fill="FFFFFF"/>
          </w:tcPr>
          <w:p>
            <w:r>
              <w:rPr>
                <w:b/>
                <w:sz w:val="18"/>
                <w:szCs w:val="18"/>
              </w:rPr>
              <w:t xml:space="preserve">Integration effort</w:t>
            </w:r>
          </w:p>
        </w:tc>
        <w:tc>
          <w:tcPr>
            <w:tcW w:w="3080" w:type="dxa"/>
            <w:shd w:val="clear" w:color="auto" w:fill="FFFFFF"/>
          </w:tcPr>
          <w:p>
            <w:r>
              <w:rPr>
                <w:sz w:val="18"/>
                <w:szCs w:val="18"/>
              </w:rPr>
              <w:t xml:space="preserve">Moderate (platform migration)</w:t>
            </w:r>
          </w:p>
        </w:tc>
        <w:tc>
          <w:tcPr>
            <w:tcW w:w="4080" w:type="dxa"/>
            <w:shd w:val="clear" w:color="auto" w:fill="FFFFFF"/>
          </w:tcPr>
          <w:p>
            <w:r>
              <w:rPr>
                <w:sz w:val="18"/>
                <w:szCs w:val="18"/>
              </w:rPr>
              <w:t xml:space="preserve">3 lines of code, ~5 min setup</w:t>
            </w:r>
          </w:p>
        </w:tc>
      </w:tr>
      <w:tr>
        <w:tc>
          <w:tcPr>
            <w:tcW w:w="2200" w:type="dxa"/>
            <w:shd w:val="clear" w:color="auto" w:fill="F4F6FA"/>
          </w:tcPr>
          <w:p>
            <w:r>
              <w:rPr>
                <w:b/>
                <w:sz w:val="18"/>
                <w:szCs w:val="18"/>
              </w:rPr>
              <w:t xml:space="preserve">Competitive relationship</w:t>
            </w:r>
          </w:p>
        </w:tc>
        <w:tc>
          <w:tcPr>
            <w:tcW w:w="3080" w:type="dxa"/>
            <w:shd w:val="clear" w:color="auto" w:fill="F4F6FA"/>
          </w:tcPr>
          <w:p>
            <w:r>
              <w:rPr>
                <w:sz w:val="18"/>
                <w:szCs w:val="18"/>
              </w:rPr>
              <w:t xml:space="preserve">COMPLEMENTARY — Wallaroo deploys, Vex guards</w:t>
            </w:r>
          </w:p>
        </w:tc>
        <w:tc>
          <w:tcPr>
            <w:tcW w:w="4080" w:type="dxa"/>
            <w:shd w:val="clear" w:color="auto" w:fill="F4F6FA"/>
          </w:tcPr>
          <w:p>
            <w:r>
              <w:rPr>
                <w:sz w:val="18"/>
                <w:szCs w:val="18"/>
              </w:rPr>
              <w:t xml:space="preserve">COMPLEMENTARY — can stack together</w:t>
            </w:r>
          </w:p>
        </w:tc>
      </w:tr>
      <w:tr>
        <w:tc>
          <w:tcPr>
            <w:tcW w:w="2200" w:type="dxa"/>
            <w:shd w:val="clear" w:color="auto" w:fill="FFFFFF"/>
          </w:tcPr>
          <w:p>
            <w:r>
              <w:rPr>
                <w:b/>
                <w:sz w:val="18"/>
                <w:szCs w:val="18"/>
              </w:rPr>
              <w:t xml:space="preserve">Threat to Vex</w:t>
            </w:r>
          </w:p>
        </w:tc>
        <w:tc>
          <w:tcPr>
            <w:tcW w:w="3080" w:type="dxa"/>
            <w:shd w:val="clear" w:color="auto" w:fill="FFFFFF"/>
          </w:tcPr>
          <w:p>
            <w:r>
              <w:rPr>
                <w:sz w:val="18"/>
                <w:szCs w:val="18"/>
              </w:rPr>
              <w:t xml:space="preserve">MEDIUM — adding LLM monitoring; could expand into agent safety</w:t>
            </w:r>
          </w:p>
        </w:tc>
        <w:tc>
          <w:tcPr>
            <w:tcW w:w="4080" w:type="dxa"/>
            <w:shd w:val="clear" w:color="auto" w:fill="FFFFFF"/>
          </w:tcPr>
          <w:p>
            <w:r>
              <w:rPr>
                <w:sz w:val="18"/>
                <w:szCs w:val="18"/>
              </w:rPr>
              <w:t xml:space="preserve">Vex has 12–24 month technical lead on correction</w:t>
            </w:r>
          </w:p>
        </w:tc>
      </w:tr>
    </w:tbl>
    <w:p xmlns:w="http://schemas.openxmlformats.org/wordprocessingml/2006/main"/>
    <w:p xmlns:w="http://schemas.openxmlformats.org/wordprocessingml/2006/main">
      <w:pPr>
        <w:pStyle w:val="Heading2"/>
      </w:pPr>
      <w:r>
        <w:t xml:space="preserve">11.7 Strategic Assessment</w:t>
      </w:r>
    </w:p>
    <w:p xmlns:w="http://schemas.openxmlformats.org/wordprocessingml/2006/main">
      <w:r>
        <w:t xml:space="preserve">Positioning verdict: Wallaroo and Vex are COMPLEMENTARY, not directly competitive. Wallaroo operates at the infrastructure layer (deployment, serving, hardware orchestration), while Vex operates at the behavioral safety layer (output validation, drift detection, correction). A customer could — and likely would — use both.</w:t>
      </w:r>
    </w:p>
    <w:p xmlns:w="http://schemas.openxmlformats.org/wordprocessingml/2006/main"/>
    <w:p xmlns:w="http://schemas.openxmlformats.org/wordprocessingml/2006/main">
      <w:r>
        <w:t xml:space="preserve">The co-sell opportunity: Wallaroo is the most natural strategic partner for Vex in the short term. Wallaroo brings enterprise deployment infrastructure to customers who then need behavioral reliability. Vex fills the gap Wallaroo explicitly does not address: what happens to agent outputs once they are served.</w:t>
      </w:r>
    </w:p>
    <w:p xmlns:w="http://schemas.openxmlformats.org/wordprocessingml/2006/main"/>
    <w:p xmlns:w="http://schemas.openxmlformats.org/wordprocessingml/2006/main">
      <w:r>
        <w:t xml:space="preserve">The threat scenario: Wallaroo already includes basic LLM validation and drift detection in its Team and Enterprise tiers. If Wallaroo deepens this roadmap into agentic correction (trajectory scoring, multi-turn coherence, cascaded repair), it would become a material competitive threat. Given Microsoft's involvement via M12, the resources exist to accelerate this.</w:t>
      </w:r>
    </w:p>
    <w:p xmlns:w="http://schemas.openxmlformats.org/wordprocessingml/2006/main"/>
    <w:p xmlns:w="http://schemas.openxmlformats.org/wordprocessingml/2006/main">
      <w:r>
        <w:t xml:space="preserve">Vex's protection: Vex's trajectory-based drift formula and 3-layer correction cascade represent 12–24 months of technical lead. Wallaroo's hardware-orchestration focus means its engineering resources are spread across a much wider surface area — replicating Vex's depth in agent safety would require significant prioritization.</w:t>
      </w:r>
    </w:p>
    <w:p xmlns:w="http://schemas.openxmlformats.org/wordprocessingml/2006/main"/>
    <w:p xmlns:w="http://schemas.openxmlformats.org/wordprocessingml/2006/main">
      <w:r>
        <w:t xml:space="preserve">Capital asymmetry: Wallaroo has raised $34.4M versus Vex's undisclosed (likely sub-$5M) funding. This creates meaningful risk if Wallaroo, Galileo ($68M), or Braintrust ($121M) prioritize the agent correction space. Vex must move fast on customer proof points and enterprise contracts before well-funded rivals replicate its core innovations.</w:t>
      </w:r>
    </w:p>
    <w:p xmlns:w="http://schemas.openxmlformats.org/wordprocessingml/2006/main"/>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6"/>
        <w:szCs w:val="16"/>
      </w:rPr>
      <w:t xml:space="preserve">Confidential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17"/>
        <w:szCs w:val="17"/>
      </w:rPr>
      <w:t xml:space="preserve">Vex (tryvex.dev) — Competitive Intelligence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2026-03-12T15:17:32.203Z</dcterms:created>
  <dcterms:modified xsi:type="dcterms:W3CDTF">2026-03-12T15:17:32.204Z</dcterms:modified>
</cp:coreProperties>
</file>

<file path=docProps/custom.xml><?xml version="1.0" encoding="utf-8"?>
<Properties xmlns="http://schemas.openxmlformats.org/officeDocument/2006/custom-properties" xmlns:vt="http://schemas.openxmlformats.org/officeDocument/2006/docPropsVTypes"/>
</file>