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360" w:after="120"/>
      </w:pPr>
      <w:r>
        <w:rPr>
          <w:rFonts w:ascii="Arial" w:cs="Arial" w:eastAsia="Arial" w:hAnsi="Arial"/>
          <w:b/>
          <w:bCs/>
          <w:color w:val="1F3864"/>
          <w:sz w:val="56"/>
          <w:szCs w:val="56"/>
        </w:rPr>
        <w:t xml:space="preserve">Vex — Competitive Intelligence Report</w:t>
      </w:r>
    </w:p>
    <w:p>
      <w:pPr>
        <w:pBdr>
          <w:bottom w:val="single" w:color="2E75B6" w:sz="8" w:space="1"/>
        </w:pBdr>
        <w:spacing w:before="0" w:after="80"/>
      </w:pPr>
      <w:r>
        <w:rPr>
          <w:rFonts w:ascii="Arial" w:cs="Arial" w:eastAsia="Arial" w:hAnsi="Arial"/>
          <w:i/>
          <w:iCs/>
          <w:color w:val="555555"/>
          <w:sz w:val="22"/>
          <w:szCs w:val="22"/>
        </w:rPr>
        <w:t xml:space="preserve">AI Agent Runtime Reliability  |  Technical Deep-Dive  |  Market Sizing  |  Competitive Landscape</w:t>
      </w:r>
    </w:p>
    <w:p>
      <w:pPr>
        <w:spacing w:before="40" w:after="40"/>
      </w:pPr>
      <w:r>
        <w:rPr>
          <w:rFonts w:ascii="Arial" w:cs="Arial" w:eastAsia="Arial" w:hAnsi="Arial"/>
          <w:b w:val="false"/>
          <w:bCs w:val="false"/>
          <w:i w:val="false"/>
          <w:iCs w:val="false"/>
          <w:color w:val="888888"/>
          <w:sz w:val="17"/>
          <w:szCs w:val="17"/>
        </w:rPr>
        <w:t xml:space="preserve">Prepared: March 2026  |  Sources: tryvex.dev, docs.tryvex.dev, Vex blog, Mordor Intelligence, ResearchNester, Tracxn, Sacra, TechCrunch</w:t>
      </w:r>
    </w:p>
    <w:p>
      <w:pPr>
        <w:spacing w:before="80" w:after="80"/>
      </w:pPr>
      <w:r>
        <w:t xml:space="preserve"/>
      </w:r>
    </w:p>
    <w:p>
      <w:pPr>
        <w:pBdr>
          <w:bottom w:val="single" w:color="2E75B6" w:sz="6" w:space="1"/>
        </w:pBdr>
        <w:spacing w:before="280" w:after="100"/>
      </w:pPr>
      <w:r>
        <w:rPr>
          <w:rFonts w:ascii="Arial" w:cs="Arial" w:eastAsia="Arial" w:hAnsi="Arial"/>
          <w:b/>
          <w:bCs/>
          <w:color w:val="1F3864"/>
          <w:sz w:val="28"/>
          <w:szCs w:val="28"/>
        </w:rPr>
        <w:t xml:space="preserve">1. Product Overview</w:t>
      </w:r>
    </w:p>
    <w:p>
      <w:pPr>
        <w:spacing w:before="40" w:after="40"/>
      </w:pPr>
      <w:r>
        <w:rPr>
          <w:rFonts w:ascii="Arial" w:cs="Arial" w:eastAsia="Arial" w:hAnsi="Arial"/>
          <w:b w:val="false"/>
          <w:bCs w:val="false"/>
          <w:i w:val="false"/>
          <w:iCs w:val="false"/>
          <w:color w:val="1F1F1F"/>
          <w:sz w:val="20"/>
          <w:szCs w:val="20"/>
        </w:rPr>
        <w:t xml:space="preserve">Vex is an open-source runtime reliability platform for AI agents. Its core claim — and gap in the market it addresses — is that it is the only tool combining real-time behavioural drift detection with an automated 3-layer correction cascade, preventing bad agent output from ever reaching end users.</w:t>
      </w: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c>
          <w:tcPr>
            <w:tcW w:type="dxa" w:w="2500"/>
            <w:tcBorders>
              <w:top w:val="single" w:color="CCCCCC" w:sz="1"/>
              <w:left w:val="single" w:color="CCCCCC" w:sz="1"/>
              <w:bottom w:val="single" w:color="CCCCCC" w:sz="1"/>
              <w:right w:val="single" w:color="CCCCCC" w:sz="1"/>
            </w:tcBorders>
            <w:shd w:fill="D5E8F0" w:val="clear"/>
          </w:tcPr>
          <w:p>
            <w:pPr>
              <w:jc w:val="left"/>
            </w:pPr>
            <w:r>
              <w:rPr>
                <w:rFonts w:ascii="Arial" w:cs="Arial" w:eastAsia="Arial" w:hAnsi="Arial"/>
                <w:b/>
                <w:bCs/>
                <w:i w:val="false"/>
                <w:iCs w:val="false"/>
                <w:color w:val="1F3864"/>
                <w:sz w:val="18"/>
                <w:szCs w:val="18"/>
              </w:rPr>
              <w:t xml:space="preserve">What is Vex?</w:t>
            </w:r>
          </w:p>
        </w:tc>
        <w:tc>
          <w:tcPr>
            <w:tcW w:type="dxa" w:w="6860"/>
            <w:tcBorders>
              <w:top w:val="single" w:color="CCCCCC" w:sz="1"/>
              <w:left w:val="single" w:color="CCCCCC" w:sz="1"/>
              <w:bottom w:val="single" w:color="CCCCCC" w:sz="1"/>
              <w:right w:val="single" w:color="CCCCCC" w:sz="1"/>
            </w:tcBorders>
            <w:shd w:fill="FFFFFF" w:val="clear"/>
          </w:tcPr>
          <w:p>
            <w:pPr>
              <w:jc w:val="left"/>
            </w:pPr>
            <w:r>
              <w:rPr>
                <w:rFonts w:ascii="Arial" w:cs="Arial" w:eastAsia="Arial" w:hAnsi="Arial"/>
                <w:b w:val="false"/>
                <w:bCs w:val="false"/>
                <w:i w:val="false"/>
                <w:iCs w:val="false"/>
                <w:color w:val="1F1F1F"/>
                <w:sz w:val="18"/>
                <w:szCs w:val="18"/>
              </w:rPr>
              <w:t xml:space="preserve">An open-source runtime reliability layer for AI agents. Sits between your agent and your users, continuously verifying outputs for hallucinations, behavioural drift, and policy violations — then auto-correcting before users see bad output.</w:t>
            </w:r>
          </w:p>
        </w:tc>
      </w:tr>
      <w:tr>
        <w:tc>
          <w:tcPr>
            <w:tcW w:type="dxa" w:w="2500"/>
            <w:tcBorders>
              <w:top w:val="single" w:color="CCCCCC" w:sz="1"/>
              <w:left w:val="single" w:color="CCCCCC" w:sz="1"/>
              <w:bottom w:val="single" w:color="CCCCCC" w:sz="1"/>
              <w:right w:val="single" w:color="CCCCCC" w:sz="1"/>
            </w:tcBorders>
            <w:shd w:fill="D5E8F0" w:val="clear"/>
          </w:tcPr>
          <w:p>
            <w:pPr>
              <w:jc w:val="left"/>
            </w:pPr>
            <w:r>
              <w:rPr>
                <w:rFonts w:ascii="Arial" w:cs="Arial" w:eastAsia="Arial" w:hAnsi="Arial"/>
                <w:b/>
                <w:bCs/>
                <w:i w:val="false"/>
                <w:iCs w:val="false"/>
                <w:color w:val="1F3864"/>
                <w:sz w:val="18"/>
                <w:szCs w:val="18"/>
              </w:rPr>
              <w:t xml:space="preserve">Core problem solved</w:t>
            </w:r>
          </w:p>
        </w:tc>
        <w:tc>
          <w:tcPr>
            <w:tcW w:type="dxa" w:w="6860"/>
            <w:tcBorders>
              <w:top w:val="single" w:color="CCCCCC" w:sz="1"/>
              <w:left w:val="single" w:color="CCCCCC" w:sz="1"/>
              <w:bottom w:val="single" w:color="CCCCCC" w:sz="1"/>
              <w:right w:val="single" w:color="CCCCCC" w:sz="1"/>
            </w:tcBorders>
            <w:shd w:fill="F2F2F2" w:val="clear"/>
          </w:tcPr>
          <w:p>
            <w:pPr>
              <w:jc w:val="left"/>
            </w:pPr>
            <w:r>
              <w:rPr>
                <w:rFonts w:ascii="Arial" w:cs="Arial" w:eastAsia="Arial" w:hAnsi="Arial"/>
                <w:b w:val="false"/>
                <w:bCs w:val="false"/>
                <w:i w:val="false"/>
                <w:iCs w:val="false"/>
                <w:color w:val="1F1F1F"/>
                <w:sz w:val="18"/>
                <w:szCs w:val="18"/>
              </w:rPr>
              <w:t xml:space="preserve">AI agents that pass every evaluation can silently degrade in production (hallucinate, drift off-task, violate policies) without throwing errors. Traditional tools show you what failed; Vex prevents it reaching users.</w:t>
            </w:r>
          </w:p>
        </w:tc>
      </w:tr>
      <w:tr>
        <w:tc>
          <w:tcPr>
            <w:tcW w:type="dxa" w:w="2500"/>
            <w:tcBorders>
              <w:top w:val="single" w:color="CCCCCC" w:sz="1"/>
              <w:left w:val="single" w:color="CCCCCC" w:sz="1"/>
              <w:bottom w:val="single" w:color="CCCCCC" w:sz="1"/>
              <w:right w:val="single" w:color="CCCCCC" w:sz="1"/>
            </w:tcBorders>
            <w:shd w:fill="D5E8F0" w:val="clear"/>
          </w:tcPr>
          <w:p>
            <w:pPr>
              <w:jc w:val="left"/>
            </w:pPr>
            <w:r>
              <w:rPr>
                <w:rFonts w:ascii="Arial" w:cs="Arial" w:eastAsia="Arial" w:hAnsi="Arial"/>
                <w:b/>
                <w:bCs/>
                <w:i w:val="false"/>
                <w:iCs w:val="false"/>
                <w:color w:val="1F3864"/>
                <w:sz w:val="18"/>
                <w:szCs w:val="18"/>
              </w:rPr>
              <w:t xml:space="preserve">Founded</w:t>
            </w:r>
          </w:p>
        </w:tc>
        <w:tc>
          <w:tcPr>
            <w:tcW w:type="dxa" w:w="6860"/>
            <w:tcBorders>
              <w:top w:val="single" w:color="CCCCCC" w:sz="1"/>
              <w:left w:val="single" w:color="CCCCCC" w:sz="1"/>
              <w:bottom w:val="single" w:color="CCCCCC" w:sz="1"/>
              <w:right w:val="single" w:color="CCCCCC" w:sz="1"/>
            </w:tcBorders>
            <w:shd w:fill="FFFFFF" w:val="clear"/>
          </w:tcPr>
          <w:p>
            <w:pPr>
              <w:jc w:val="left"/>
            </w:pPr>
            <w:r>
              <w:rPr>
                <w:rFonts w:ascii="Arial" w:cs="Arial" w:eastAsia="Arial" w:hAnsi="Arial"/>
                <w:b w:val="false"/>
                <w:bCs w:val="false"/>
                <w:i w:val="false"/>
                <w:iCs w:val="false"/>
                <w:color w:val="1F1F1F"/>
                <w:sz w:val="18"/>
                <w:szCs w:val="18"/>
              </w:rPr>
              <w:t xml:space="preserve">2024. Co-founder: Abhishek (last name not published). Blog activity confirms active development as of Feb 2026.</w:t>
            </w:r>
          </w:p>
        </w:tc>
      </w:tr>
      <w:tr>
        <w:tc>
          <w:tcPr>
            <w:tcW w:type="dxa" w:w="2500"/>
            <w:tcBorders>
              <w:top w:val="single" w:color="CCCCCC" w:sz="1"/>
              <w:left w:val="single" w:color="CCCCCC" w:sz="1"/>
              <w:bottom w:val="single" w:color="CCCCCC" w:sz="1"/>
              <w:right w:val="single" w:color="CCCCCC" w:sz="1"/>
            </w:tcBorders>
            <w:shd w:fill="D5E8F0" w:val="clear"/>
          </w:tcPr>
          <w:p>
            <w:pPr>
              <w:jc w:val="left"/>
            </w:pPr>
            <w:r>
              <w:rPr>
                <w:rFonts w:ascii="Arial" w:cs="Arial" w:eastAsia="Arial" w:hAnsi="Arial"/>
                <w:b/>
                <w:bCs/>
                <w:i w:val="false"/>
                <w:iCs w:val="false"/>
                <w:color w:val="1F3864"/>
                <w:sz w:val="18"/>
                <w:szCs w:val="18"/>
              </w:rPr>
              <w:t xml:space="preserve">Funding / Valuation</w:t>
            </w:r>
          </w:p>
        </w:tc>
        <w:tc>
          <w:tcPr>
            <w:tcW w:type="dxa" w:w="6860"/>
            <w:tcBorders>
              <w:top w:val="single" w:color="CCCCCC" w:sz="1"/>
              <w:left w:val="single" w:color="CCCCCC" w:sz="1"/>
              <w:bottom w:val="single" w:color="CCCCCC" w:sz="1"/>
              <w:right w:val="single" w:color="CCCCCC" w:sz="1"/>
            </w:tcBorders>
            <w:shd w:fill="F2F2F2" w:val="clear"/>
          </w:tcPr>
          <w:p>
            <w:pPr>
              <w:jc w:val="left"/>
            </w:pPr>
            <w:r>
              <w:rPr>
                <w:rFonts w:ascii="Arial" w:cs="Arial" w:eastAsia="Arial" w:hAnsi="Arial"/>
                <w:b w:val="false"/>
                <w:bCs w:val="false"/>
                <w:i w:val="false"/>
                <w:iCs w:val="false"/>
                <w:color w:val="1F1F1F"/>
                <w:sz w:val="18"/>
                <w:szCs w:val="18"/>
              </w:rPr>
              <w:t xml:space="preserve">Undisclosed. Early-stage startup.</w:t>
            </w:r>
          </w:p>
        </w:tc>
      </w:tr>
      <w:tr>
        <w:tc>
          <w:tcPr>
            <w:tcW w:type="dxa" w:w="2500"/>
            <w:tcBorders>
              <w:top w:val="single" w:color="CCCCCC" w:sz="1"/>
              <w:left w:val="single" w:color="CCCCCC" w:sz="1"/>
              <w:bottom w:val="single" w:color="CCCCCC" w:sz="1"/>
              <w:right w:val="single" w:color="CCCCCC" w:sz="1"/>
            </w:tcBorders>
            <w:shd w:fill="D5E8F0" w:val="clear"/>
          </w:tcPr>
          <w:p>
            <w:pPr>
              <w:jc w:val="left"/>
            </w:pPr>
            <w:r>
              <w:rPr>
                <w:rFonts w:ascii="Arial" w:cs="Arial" w:eastAsia="Arial" w:hAnsi="Arial"/>
                <w:b/>
                <w:bCs/>
                <w:i w:val="false"/>
                <w:iCs w:val="false"/>
                <w:color w:val="1F3864"/>
                <w:sz w:val="18"/>
                <w:szCs w:val="18"/>
              </w:rPr>
              <w:t xml:space="preserve">Open source</w:t>
            </w:r>
          </w:p>
        </w:tc>
        <w:tc>
          <w:tcPr>
            <w:tcW w:type="dxa" w:w="6860"/>
            <w:tcBorders>
              <w:top w:val="single" w:color="CCCCCC" w:sz="1"/>
              <w:left w:val="single" w:color="CCCCCC" w:sz="1"/>
              <w:bottom w:val="single" w:color="CCCCCC" w:sz="1"/>
              <w:right w:val="single" w:color="CCCCCC" w:sz="1"/>
            </w:tcBorders>
            <w:shd w:fill="FFFFFF" w:val="clear"/>
          </w:tcPr>
          <w:p>
            <w:pPr>
              <w:jc w:val="left"/>
            </w:pPr>
            <w:r>
              <w:rPr>
                <w:rFonts w:ascii="Arial" w:cs="Arial" w:eastAsia="Arial" w:hAnsi="Arial"/>
                <w:b w:val="false"/>
                <w:bCs w:val="false"/>
                <w:i w:val="false"/>
                <w:iCs w:val="false"/>
                <w:color w:val="1F1F1F"/>
                <w:sz w:val="18"/>
                <w:szCs w:val="18"/>
              </w:rPr>
              <w:t xml:space="preserve">SDK + core engine: Apache 2.0 licence. Dashboard: AGPLv3. Classic open-core model.</w:t>
            </w:r>
          </w:p>
        </w:tc>
      </w:tr>
      <w:tr>
        <w:tc>
          <w:tcPr>
            <w:tcW w:type="dxa" w:w="2500"/>
            <w:tcBorders>
              <w:top w:val="single" w:color="CCCCCC" w:sz="1"/>
              <w:left w:val="single" w:color="CCCCCC" w:sz="1"/>
              <w:bottom w:val="single" w:color="CCCCCC" w:sz="1"/>
              <w:right w:val="single" w:color="CCCCCC" w:sz="1"/>
            </w:tcBorders>
            <w:shd w:fill="D5E8F0" w:val="clear"/>
          </w:tcPr>
          <w:p>
            <w:pPr>
              <w:jc w:val="left"/>
            </w:pPr>
            <w:r>
              <w:rPr>
                <w:rFonts w:ascii="Arial" w:cs="Arial" w:eastAsia="Arial" w:hAnsi="Arial"/>
                <w:b/>
                <w:bCs/>
                <w:i w:val="false"/>
                <w:iCs w:val="false"/>
                <w:color w:val="1F3864"/>
                <w:sz w:val="18"/>
                <w:szCs w:val="18"/>
              </w:rPr>
              <w:t xml:space="preserve">Frameworks supported</w:t>
            </w:r>
          </w:p>
        </w:tc>
        <w:tc>
          <w:tcPr>
            <w:tcW w:type="dxa" w:w="6860"/>
            <w:tcBorders>
              <w:top w:val="single" w:color="CCCCCC" w:sz="1"/>
              <w:left w:val="single" w:color="CCCCCC" w:sz="1"/>
              <w:bottom w:val="single" w:color="CCCCCC" w:sz="1"/>
              <w:right w:val="single" w:color="CCCCCC" w:sz="1"/>
            </w:tcBorders>
            <w:shd w:fill="F2F2F2" w:val="clear"/>
          </w:tcPr>
          <w:p>
            <w:pPr>
              <w:jc w:val="left"/>
            </w:pPr>
            <w:r>
              <w:rPr>
                <w:rFonts w:ascii="Arial" w:cs="Arial" w:eastAsia="Arial" w:hAnsi="Arial"/>
                <w:b w:val="false"/>
                <w:bCs w:val="false"/>
                <w:i w:val="false"/>
                <w:iCs w:val="false"/>
                <w:color w:val="1F1F1F"/>
                <w:sz w:val="18"/>
                <w:szCs w:val="18"/>
              </w:rPr>
              <w:t xml:space="preserve">LangChain, CrewAI, OpenAI Assistants, any Python or TypeScript agent. Framework-agnostic.</w:t>
            </w:r>
          </w:p>
        </w:tc>
      </w:tr>
      <w:tr>
        <w:tc>
          <w:tcPr>
            <w:tcW w:type="dxa" w:w="2500"/>
            <w:tcBorders>
              <w:top w:val="single" w:color="CCCCCC" w:sz="1"/>
              <w:left w:val="single" w:color="CCCCCC" w:sz="1"/>
              <w:bottom w:val="single" w:color="CCCCCC" w:sz="1"/>
              <w:right w:val="single" w:color="CCCCCC" w:sz="1"/>
            </w:tcBorders>
            <w:shd w:fill="D5E8F0" w:val="clear"/>
          </w:tcPr>
          <w:p>
            <w:pPr>
              <w:jc w:val="left"/>
            </w:pPr>
            <w:r>
              <w:rPr>
                <w:rFonts w:ascii="Arial" w:cs="Arial" w:eastAsia="Arial" w:hAnsi="Arial"/>
                <w:b/>
                <w:bCs/>
                <w:i w:val="false"/>
                <w:iCs w:val="false"/>
                <w:color w:val="1F3864"/>
                <w:sz w:val="18"/>
                <w:szCs w:val="18"/>
              </w:rPr>
              <w:t xml:space="preserve">Integration complexity</w:t>
            </w:r>
          </w:p>
        </w:tc>
        <w:tc>
          <w:tcPr>
            <w:tcW w:type="dxa" w:w="6860"/>
            <w:tcBorders>
              <w:top w:val="single" w:color="CCCCCC" w:sz="1"/>
              <w:left w:val="single" w:color="CCCCCC" w:sz="1"/>
              <w:bottom w:val="single" w:color="CCCCCC" w:sz="1"/>
              <w:right w:val="single" w:color="CCCCCC" w:sz="1"/>
            </w:tcBorders>
            <w:shd w:fill="FFFFFF" w:val="clear"/>
          </w:tcPr>
          <w:p>
            <w:pPr>
              <w:jc w:val="left"/>
            </w:pPr>
            <w:r>
              <w:rPr>
                <w:rFonts w:ascii="Arial" w:cs="Arial" w:eastAsia="Arial" w:hAnsi="Arial"/>
                <w:b w:val="false"/>
                <w:bCs w:val="false"/>
                <w:i w:val="false"/>
                <w:iCs w:val="false"/>
                <w:color w:val="1F1F1F"/>
                <w:sz w:val="18"/>
                <w:szCs w:val="18"/>
              </w:rPr>
              <w:t xml:space="preserve">3 lines of code. @guard.watch() decorator wraps any agent function. Setup in ~5 minutes.</w:t>
            </w:r>
          </w:p>
        </w:tc>
      </w:tr>
      <w:tr>
        <w:tc>
          <w:tcPr>
            <w:tcW w:type="dxa" w:w="2500"/>
            <w:tcBorders>
              <w:top w:val="single" w:color="CCCCCC" w:sz="1"/>
              <w:left w:val="single" w:color="CCCCCC" w:sz="1"/>
              <w:bottom w:val="single" w:color="CCCCCC" w:sz="1"/>
              <w:right w:val="single" w:color="CCCCCC" w:sz="1"/>
            </w:tcBorders>
            <w:shd w:fill="D5E8F0" w:val="clear"/>
          </w:tcPr>
          <w:p>
            <w:pPr>
              <w:jc w:val="left"/>
            </w:pPr>
            <w:r>
              <w:rPr>
                <w:rFonts w:ascii="Arial" w:cs="Arial" w:eastAsia="Arial" w:hAnsi="Arial"/>
                <w:b/>
                <w:bCs/>
                <w:i w:val="false"/>
                <w:iCs w:val="false"/>
                <w:color w:val="1F3864"/>
                <w:sz w:val="18"/>
                <w:szCs w:val="18"/>
              </w:rPr>
              <w:t xml:space="preserve">Latency impact</w:t>
            </w:r>
          </w:p>
        </w:tc>
        <w:tc>
          <w:tcPr>
            <w:tcW w:type="dxa" w:w="6860"/>
            <w:tcBorders>
              <w:top w:val="single" w:color="CCCCCC" w:sz="1"/>
              <w:left w:val="single" w:color="CCCCCC" w:sz="1"/>
              <w:bottom w:val="single" w:color="CCCCCC" w:sz="1"/>
              <w:right w:val="single" w:color="CCCCCC" w:sz="1"/>
            </w:tcBorders>
            <w:shd w:fill="F2F2F2" w:val="clear"/>
          </w:tcPr>
          <w:p>
            <w:pPr>
              <w:jc w:val="left"/>
            </w:pPr>
            <w:r>
              <w:rPr>
                <w:rFonts w:ascii="Arial" w:cs="Arial" w:eastAsia="Arial" w:hAnsi="Arial"/>
                <w:b w:val="false"/>
                <w:bCs w:val="false"/>
                <w:i w:val="false"/>
                <w:iCs w:val="false"/>
                <w:color w:val="1F1F1F"/>
                <w:sz w:val="18"/>
                <w:szCs w:val="18"/>
              </w:rPr>
              <w:t xml:space="preserve">Async mode (default): zero latency. Sync mode (correction enabled): typically 200–500ms.</w:t>
            </w:r>
          </w:p>
        </w:tc>
      </w:tr>
      <w:tr>
        <w:tc>
          <w:tcPr>
            <w:tcW w:type="dxa" w:w="2500"/>
            <w:tcBorders>
              <w:top w:val="single" w:color="CCCCCC" w:sz="1"/>
              <w:left w:val="single" w:color="CCCCCC" w:sz="1"/>
              <w:bottom w:val="single" w:color="CCCCCC" w:sz="1"/>
              <w:right w:val="single" w:color="CCCCCC" w:sz="1"/>
            </w:tcBorders>
            <w:shd w:fill="D5E8F0" w:val="clear"/>
          </w:tcPr>
          <w:p>
            <w:pPr>
              <w:jc w:val="left"/>
            </w:pPr>
            <w:r>
              <w:rPr>
                <w:rFonts w:ascii="Arial" w:cs="Arial" w:eastAsia="Arial" w:hAnsi="Arial"/>
                <w:b/>
                <w:bCs/>
                <w:i w:val="false"/>
                <w:iCs w:val="false"/>
                <w:color w:val="1F3864"/>
                <w:sz w:val="18"/>
                <w:szCs w:val="18"/>
              </w:rPr>
              <w:t xml:space="preserve">Pricing</w:t>
            </w:r>
          </w:p>
        </w:tc>
        <w:tc>
          <w:tcPr>
            <w:tcW w:type="dxa" w:w="6860"/>
            <w:tcBorders>
              <w:top w:val="single" w:color="CCCCCC" w:sz="1"/>
              <w:left w:val="single" w:color="CCCCCC" w:sz="1"/>
              <w:bottom w:val="single" w:color="CCCCCC" w:sz="1"/>
              <w:right w:val="single" w:color="CCCCCC" w:sz="1"/>
            </w:tcBorders>
            <w:shd w:fill="FFFFFF" w:val="clear"/>
          </w:tcPr>
          <w:p>
            <w:pPr>
              <w:jc w:val="left"/>
            </w:pPr>
            <w:r>
              <w:rPr>
                <w:rFonts w:ascii="Arial" w:cs="Arial" w:eastAsia="Arial" w:hAnsi="Arial"/>
                <w:b w:val="false"/>
                <w:bCs w:val="false"/>
                <w:i w:val="false"/>
                <w:iCs w:val="false"/>
                <w:color w:val="1F1F1F"/>
                <w:sz w:val="18"/>
                <w:szCs w:val="18"/>
              </w:rPr>
              <w:t xml:space="preserve">Free (1K obs/mo), Starter $29/mo, Pro $99/mo, Team $349/mo, Enterprise custom.</w:t>
            </w:r>
          </w:p>
        </w:tc>
      </w:tr>
      <w:tr>
        <w:tc>
          <w:tcPr>
            <w:tcW w:type="dxa" w:w="2500"/>
            <w:tcBorders>
              <w:top w:val="single" w:color="CCCCCC" w:sz="1"/>
              <w:left w:val="single" w:color="CCCCCC" w:sz="1"/>
              <w:bottom w:val="single" w:color="CCCCCC" w:sz="1"/>
              <w:right w:val="single" w:color="CCCCCC" w:sz="1"/>
            </w:tcBorders>
            <w:shd w:fill="D5E8F0" w:val="clear"/>
          </w:tcPr>
          <w:p>
            <w:pPr>
              <w:jc w:val="left"/>
            </w:pPr>
            <w:r>
              <w:rPr>
                <w:rFonts w:ascii="Arial" w:cs="Arial" w:eastAsia="Arial" w:hAnsi="Arial"/>
                <w:b/>
                <w:bCs/>
                <w:i w:val="false"/>
                <w:iCs w:val="false"/>
                <w:color w:val="1F3864"/>
                <w:sz w:val="18"/>
                <w:szCs w:val="18"/>
              </w:rPr>
              <w:t xml:space="preserve">Contact</w:t>
            </w:r>
          </w:p>
        </w:tc>
        <w:tc>
          <w:tcPr>
            <w:tcW w:type="dxa" w:w="6860"/>
            <w:tcBorders>
              <w:top w:val="single" w:color="CCCCCC" w:sz="1"/>
              <w:left w:val="single" w:color="CCCCCC" w:sz="1"/>
              <w:bottom w:val="single" w:color="CCCCCC" w:sz="1"/>
              <w:right w:val="single" w:color="CCCCCC" w:sz="1"/>
            </w:tcBorders>
            <w:shd w:fill="F2F2F2" w:val="clear"/>
          </w:tcPr>
          <w:p>
            <w:pPr>
              <w:jc w:val="left"/>
            </w:pPr>
            <w:r>
              <w:rPr>
                <w:rFonts w:ascii="Arial" w:cs="Arial" w:eastAsia="Arial" w:hAnsi="Arial"/>
                <w:b w:val="false"/>
                <w:bCs w:val="false"/>
                <w:i w:val="false"/>
                <w:iCs w:val="false"/>
                <w:color w:val="1F1F1F"/>
                <w:sz w:val="18"/>
                <w:szCs w:val="18"/>
              </w:rPr>
              <w:t xml:space="preserve">info@tryvex.dev  |  app.tryvex.dev  |  github.com/Vex-AI-Dev</w:t>
            </w:r>
          </w:p>
        </w:tc>
      </w:tr>
    </w:tbl>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2E75B6" w:sz="12"/>
              <w:bottom w:val="single" w:color="CCCCCC" w:sz="1"/>
              <w:right w:val="single" w:color="CCCCCC" w:sz="1"/>
            </w:tcBorders>
            <w:shd w:fill="E8F4FD" w:val="clear"/>
          </w:tcPr>
          <w:p>
            <w:r>
              <w:rPr>
                <w:rFonts w:ascii="Arial" w:cs="Arial" w:eastAsia="Arial" w:hAnsi="Arial"/>
                <w:i/>
                <w:iCs/>
                <w:color w:val="1F3864"/>
                <w:sz w:val="18"/>
                <w:szCs w:val="18"/>
              </w:rPr>
              <w:t xml:space="preserve">Key intel: Vex's blog (active Feb 2026) reveals founder 'Abhishek' conducted 11 interviews with production AI teams before building. The core insight driving product decisions: agents fail silently, never loudly. Logs stay green while users see degraded output.</w:t>
            </w:r>
          </w:p>
        </w:tc>
      </w:tr>
    </w:tbl>
    <w:p>
      <w:pPr>
        <w:spacing w:before="80" w:after="80"/>
      </w:pPr>
      <w:r>
        <w:t xml:space="preserve"/>
      </w:r>
    </w:p>
    <w:p>
      <w:pPr>
        <w:pBdr>
          <w:bottom w:val="single" w:color="2E75B6" w:sz="6" w:space="1"/>
        </w:pBdr>
        <w:spacing w:before="280" w:after="100"/>
      </w:pPr>
      <w:r>
        <w:rPr>
          <w:rFonts w:ascii="Arial" w:cs="Arial" w:eastAsia="Arial" w:hAnsi="Arial"/>
          <w:b/>
          <w:bCs/>
          <w:color w:val="1F3864"/>
          <w:sz w:val="28"/>
          <w:szCs w:val="28"/>
        </w:rPr>
        <w:t xml:space="preserve">2. Technical Architecture — How Vex Works</w:t>
      </w:r>
    </w:p>
    <w:p>
      <w:pPr>
        <w:spacing w:before="40" w:after="40"/>
      </w:pPr>
      <w:r>
        <w:rPr>
          <w:rFonts w:ascii="Arial" w:cs="Arial" w:eastAsia="Arial" w:hAnsi="Arial"/>
          <w:b w:val="false"/>
          <w:bCs w:val="false"/>
          <w:i w:val="false"/>
          <w:iCs w:val="false"/>
          <w:color w:val="1F1F1F"/>
          <w:sz w:val="20"/>
          <w:szCs w:val="20"/>
        </w:rPr>
        <w:t xml:space="preserve">Vex operates via a continuous Observe → Verify → Correct loop. Understanding the mechanics of each layer is critical to evaluating its competitive moat.</w:t>
      </w: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2E75B6" w:val="clear"/>
          </w:tcPr>
          <w:p>
            <w:pPr>
              <w:jc w:val="left"/>
            </w:pPr>
            <w:r>
              <w:rPr>
                <w:rFonts w:ascii="Arial" w:cs="Arial" w:eastAsia="Arial" w:hAnsi="Arial"/>
                <w:b/>
                <w:bCs/>
                <w:i w:val="false"/>
                <w:iCs w:val="false"/>
                <w:color w:val="FFFFFF"/>
                <w:sz w:val="18"/>
                <w:szCs w:val="18"/>
              </w:rPr>
              <w:t xml:space="preserve">1 — Observation</w:t>
            </w:r>
          </w:p>
        </w:tc>
        <w:tc>
          <w:tcPr>
            <w:tcW w:type="dxa" w:w="7160"/>
            <w:tcBorders>
              <w:top w:val="single" w:color="CCCCCC" w:sz="1"/>
              <w:left w:val="single" w:color="CCCCCC" w:sz="1"/>
              <w:bottom w:val="single" w:color="CCCCCC" w:sz="1"/>
              <w:right w:val="single" w:color="CCCCCC" w:sz="1"/>
            </w:tcBorders>
            <w:shd w:fill="FFFFFF" w:val="clear"/>
          </w:tcPr>
          <w:p>
            <w:pPr>
              <w:jc w:val="left"/>
            </w:pPr>
            <w:r>
              <w:rPr>
                <w:rFonts w:ascii="Arial" w:cs="Arial" w:eastAsia="Arial" w:hAnsi="Arial"/>
                <w:b w:val="false"/>
                <w:bCs w:val="false"/>
                <w:i w:val="false"/>
                <w:iCs w:val="false"/>
                <w:color w:val="1F1F1F"/>
                <w:sz w:val="18"/>
                <w:szCs w:val="18"/>
              </w:rPr>
              <w:t xml:space="preserve">Records every LLM call, tool invocation, and agent action. Tracks multi-turn conversation trajectories. Detects drift in milliseconds.</w:t>
            </w:r>
          </w:p>
        </w:tc>
      </w:tr>
      <w:tr>
        <w:tc>
          <w:tcPr>
            <w:tcW w:type="dxa" w:w="2200"/>
            <w:tcBorders>
              <w:top w:val="single" w:color="CCCCCC" w:sz="1"/>
              <w:left w:val="single" w:color="CCCCCC" w:sz="1"/>
              <w:bottom w:val="single" w:color="CCCCCC" w:sz="1"/>
              <w:right w:val="single" w:color="CCCCCC" w:sz="1"/>
            </w:tcBorders>
            <w:shd w:fill="2E75B6" w:val="clear"/>
          </w:tcPr>
          <w:p>
            <w:pPr>
              <w:jc w:val="left"/>
            </w:pPr>
            <w:r>
              <w:rPr>
                <w:rFonts w:ascii="Arial" w:cs="Arial" w:eastAsia="Arial" w:hAnsi="Arial"/>
                <w:b/>
                <w:bCs/>
                <w:i w:val="false"/>
                <w:iCs w:val="false"/>
                <w:color w:val="FFFFFF"/>
                <w:sz w:val="18"/>
                <w:szCs w:val="18"/>
              </w:rPr>
              <w:t xml:space="preserve">2 — Verification (6 checks)</w:t>
            </w:r>
          </w:p>
        </w:tc>
        <w:tc>
          <w:tcPr>
            <w:tcW w:type="dxa" w:w="7160"/>
            <w:tcBorders>
              <w:top w:val="single" w:color="CCCCCC" w:sz="1"/>
              <w:left w:val="single" w:color="CCCCCC" w:sz="1"/>
              <w:bottom w:val="single" w:color="CCCCCC" w:sz="1"/>
              <w:right w:val="single" w:color="CCCCCC" w:sz="1"/>
            </w:tcBorders>
            <w:shd w:fill="F2F2F2" w:val="clear"/>
          </w:tcPr>
          <w:p>
            <w:pPr>
              <w:jc w:val="left"/>
            </w:pPr>
            <w:r>
              <w:rPr>
                <w:rFonts w:ascii="Arial" w:cs="Arial" w:eastAsia="Arial" w:hAnsi="Arial"/>
                <w:b w:val="false"/>
                <w:bCs w:val="false"/>
                <w:i w:val="false"/>
                <w:iCs w:val="false"/>
                <w:color w:val="1F1F1F"/>
                <w:sz w:val="18"/>
                <w:szCs w:val="18"/>
              </w:rPr>
              <w:t xml:space="preserve">Runs 6 parallel checks: schema validation, hallucination detection, drift detection (single-turn + trajectory), multi-turn coherence, custom guardrails, tool-loop detection. Outputs a weighted confidence score.</w:t>
            </w:r>
          </w:p>
        </w:tc>
      </w:tr>
      <w:tr>
        <w:tc>
          <w:tcPr>
            <w:tcW w:type="dxa" w:w="2200"/>
            <w:tcBorders>
              <w:top w:val="single" w:color="CCCCCC" w:sz="1"/>
              <w:left w:val="single" w:color="CCCCCC" w:sz="1"/>
              <w:bottom w:val="single" w:color="CCCCCC" w:sz="1"/>
              <w:right w:val="single" w:color="CCCCCC" w:sz="1"/>
            </w:tcBorders>
            <w:shd w:fill="2E75B6" w:val="clear"/>
          </w:tcPr>
          <w:p>
            <w:pPr>
              <w:jc w:val="left"/>
            </w:pPr>
            <w:r>
              <w:rPr>
                <w:rFonts w:ascii="Arial" w:cs="Arial" w:eastAsia="Arial" w:hAnsi="Arial"/>
                <w:b/>
                <w:bCs/>
                <w:i w:val="false"/>
                <w:iCs w:val="false"/>
                <w:color w:val="FFFFFF"/>
                <w:sz w:val="18"/>
                <w:szCs w:val="18"/>
              </w:rPr>
              <w:t xml:space="preserve">3 — Scoring &amp; Action</w:t>
            </w:r>
          </w:p>
        </w:tc>
        <w:tc>
          <w:tcPr>
            <w:tcW w:type="dxa" w:w="7160"/>
            <w:tcBorders>
              <w:top w:val="single" w:color="CCCCCC" w:sz="1"/>
              <w:left w:val="single" w:color="CCCCCC" w:sz="1"/>
              <w:bottom w:val="single" w:color="CCCCCC" w:sz="1"/>
              <w:right w:val="single" w:color="CCCCCC" w:sz="1"/>
            </w:tcBorders>
            <w:shd w:fill="FFFFFF" w:val="clear"/>
          </w:tcPr>
          <w:p>
            <w:pPr>
              <w:jc w:val="left"/>
            </w:pPr>
            <w:r>
              <w:rPr>
                <w:rFonts w:ascii="Arial" w:cs="Arial" w:eastAsia="Arial" w:hAnsi="Arial"/>
                <w:b w:val="false"/>
                <w:bCs w:val="false"/>
                <w:i w:val="false"/>
                <w:iCs w:val="false"/>
                <w:color w:val="1F1F1F"/>
                <w:sz w:val="18"/>
                <w:szCs w:val="18"/>
              </w:rPr>
              <w:t xml:space="preserve">Confidence ≥ 0.8 → PASS. Confidence 0.5–0.8 → FLAG (delivered, marked for review). Confidence &lt; 0.5 → BLOCK + correction cascade.</w:t>
            </w:r>
          </w:p>
        </w:tc>
      </w:tr>
      <w:tr>
        <w:tc>
          <w:tcPr>
            <w:tcW w:type="dxa" w:w="2200"/>
            <w:tcBorders>
              <w:top w:val="single" w:color="CCCCCC" w:sz="1"/>
              <w:left w:val="single" w:color="CCCCCC" w:sz="1"/>
              <w:bottom w:val="single" w:color="CCCCCC" w:sz="1"/>
              <w:right w:val="single" w:color="CCCCCC" w:sz="1"/>
            </w:tcBorders>
            <w:shd w:fill="2E75B6" w:val="clear"/>
          </w:tcPr>
          <w:p>
            <w:pPr>
              <w:jc w:val="left"/>
            </w:pPr>
            <w:r>
              <w:rPr>
                <w:rFonts w:ascii="Arial" w:cs="Arial" w:eastAsia="Arial" w:hAnsi="Arial"/>
                <w:b/>
                <w:bCs/>
                <w:i w:val="false"/>
                <w:iCs w:val="false"/>
                <w:color w:val="FFFFFF"/>
                <w:sz w:val="18"/>
                <w:szCs w:val="18"/>
              </w:rPr>
              <w:t xml:space="preserve">4 — Correction Layer 1</w:t>
            </w:r>
          </w:p>
        </w:tc>
        <w:tc>
          <w:tcPr>
            <w:tcW w:type="dxa" w:w="7160"/>
            <w:tcBorders>
              <w:top w:val="single" w:color="CCCCCC" w:sz="1"/>
              <w:left w:val="single" w:color="CCCCCC" w:sz="1"/>
              <w:bottom w:val="single" w:color="CCCCCC" w:sz="1"/>
              <w:right w:val="single" w:color="CCCCCC" w:sz="1"/>
            </w:tcBorders>
            <w:shd w:fill="F2F2F2" w:val="clear"/>
          </w:tcPr>
          <w:p>
            <w:pPr>
              <w:jc w:val="left"/>
            </w:pPr>
            <w:r>
              <w:rPr>
                <w:rFonts w:ascii="Arial" w:cs="Arial" w:eastAsia="Arial" w:hAnsi="Arial"/>
                <w:b w:val="false"/>
                <w:bCs w:val="false"/>
                <w:i w:val="false"/>
                <w:iCs w:val="false"/>
                <w:color w:val="1F1F1F"/>
                <w:sz w:val="18"/>
                <w:szCs w:val="18"/>
              </w:rPr>
              <w:t xml:space="preserve">Surgical repair via gpt-4o-mini (~200ms). Targets schema errors and minor factual corrections. Agent's failed output is NOT shown to correction model.</w:t>
            </w:r>
          </w:p>
        </w:tc>
      </w:tr>
      <w:tr>
        <w:tc>
          <w:tcPr>
            <w:tcW w:type="dxa" w:w="2200"/>
            <w:tcBorders>
              <w:top w:val="single" w:color="CCCCCC" w:sz="1"/>
              <w:left w:val="single" w:color="CCCCCC" w:sz="1"/>
              <w:bottom w:val="single" w:color="CCCCCC" w:sz="1"/>
              <w:right w:val="single" w:color="CCCCCC" w:sz="1"/>
            </w:tcBorders>
            <w:shd w:fill="2E75B6" w:val="clear"/>
          </w:tcPr>
          <w:p>
            <w:pPr>
              <w:jc w:val="left"/>
            </w:pPr>
            <w:r>
              <w:rPr>
                <w:rFonts w:ascii="Arial" w:cs="Arial" w:eastAsia="Arial" w:hAnsi="Arial"/>
                <w:b/>
                <w:bCs/>
                <w:i w:val="false"/>
                <w:iCs w:val="false"/>
                <w:color w:val="FFFFFF"/>
                <w:sz w:val="18"/>
                <w:szCs w:val="18"/>
              </w:rPr>
              <w:t xml:space="preserve">5 — Correction Layer 2</w:t>
            </w:r>
          </w:p>
        </w:tc>
        <w:tc>
          <w:tcPr>
            <w:tcW w:type="dxa" w:w="7160"/>
            <w:tcBorders>
              <w:top w:val="single" w:color="CCCCCC" w:sz="1"/>
              <w:left w:val="single" w:color="CCCCCC" w:sz="1"/>
              <w:bottom w:val="single" w:color="CCCCCC" w:sz="1"/>
              <w:right w:val="single" w:color="CCCCCC" w:sz="1"/>
            </w:tcBorders>
            <w:shd w:fill="FFFFFF" w:val="clear"/>
          </w:tcPr>
          <w:p>
            <w:pPr>
              <w:jc w:val="left"/>
            </w:pPr>
            <w:r>
              <w:rPr>
                <w:rFonts w:ascii="Arial" w:cs="Arial" w:eastAsia="Arial" w:hAnsi="Arial"/>
                <w:b w:val="false"/>
                <w:bCs w:val="false"/>
                <w:i w:val="false"/>
                <w:iCs w:val="false"/>
                <w:color w:val="1F1F1F"/>
                <w:sz w:val="18"/>
                <w:szCs w:val="18"/>
              </w:rPr>
              <w:t xml:space="preserve">Constrained regeneration. Fresh response generated without the failed output (avoids anchoring). Constrained to original task + conversation history. Primary layer for drift.</w:t>
            </w:r>
          </w:p>
        </w:tc>
      </w:tr>
      <w:tr>
        <w:tc>
          <w:tcPr>
            <w:tcW w:type="dxa" w:w="2200"/>
            <w:tcBorders>
              <w:top w:val="single" w:color="CCCCCC" w:sz="1"/>
              <w:left w:val="single" w:color="CCCCCC" w:sz="1"/>
              <w:bottom w:val="single" w:color="CCCCCC" w:sz="1"/>
              <w:right w:val="single" w:color="CCCCCC" w:sz="1"/>
            </w:tcBorders>
            <w:shd w:fill="2E75B6" w:val="clear"/>
          </w:tcPr>
          <w:p>
            <w:pPr>
              <w:jc w:val="left"/>
            </w:pPr>
            <w:r>
              <w:rPr>
                <w:rFonts w:ascii="Arial" w:cs="Arial" w:eastAsia="Arial" w:hAnsi="Arial"/>
                <w:b/>
                <w:bCs/>
                <w:i w:val="false"/>
                <w:iCs w:val="false"/>
                <w:color w:val="FFFFFF"/>
                <w:sz w:val="18"/>
                <w:szCs w:val="18"/>
              </w:rPr>
              <w:t xml:space="preserve">6 — Correction Layer 3</w:t>
            </w:r>
          </w:p>
        </w:tc>
        <w:tc>
          <w:tcPr>
            <w:tcW w:type="dxa" w:w="7160"/>
            <w:tcBorders>
              <w:top w:val="single" w:color="CCCCCC" w:sz="1"/>
              <w:left w:val="single" w:color="CCCCCC" w:sz="1"/>
              <w:bottom w:val="single" w:color="CCCCCC" w:sz="1"/>
              <w:right w:val="single" w:color="CCCCCC" w:sz="1"/>
            </w:tcBorders>
            <w:shd w:fill="F2F2F2" w:val="clear"/>
          </w:tcPr>
          <w:p>
            <w:pPr>
              <w:jc w:val="left"/>
            </w:pPr>
            <w:r>
              <w:rPr>
                <w:rFonts w:ascii="Arial" w:cs="Arial" w:eastAsia="Arial" w:hAnsi="Arial"/>
                <w:b w:val="false"/>
                <w:bCs w:val="false"/>
                <w:i w:val="false"/>
                <w:iCs w:val="false"/>
                <w:color w:val="1F1F1F"/>
                <w:sz w:val="18"/>
                <w:szCs w:val="18"/>
              </w:rPr>
              <w:t xml:space="preserve">Full re-prompt. Model sees failed output + explicit failure explanation. Last resort before blocking.</w:t>
            </w:r>
          </w:p>
        </w:tc>
      </w:tr>
      <w:tr>
        <w:tc>
          <w:tcPr>
            <w:tcW w:type="dxa" w:w="2200"/>
            <w:tcBorders>
              <w:top w:val="single" w:color="CCCCCC" w:sz="1"/>
              <w:left w:val="single" w:color="CCCCCC" w:sz="1"/>
              <w:bottom w:val="single" w:color="CCCCCC" w:sz="1"/>
              <w:right w:val="single" w:color="CCCCCC" w:sz="1"/>
            </w:tcBorders>
            <w:shd w:fill="2E75B6" w:val="clear"/>
          </w:tcPr>
          <w:p>
            <w:pPr>
              <w:jc w:val="left"/>
            </w:pPr>
            <w:r>
              <w:rPr>
                <w:rFonts w:ascii="Arial" w:cs="Arial" w:eastAsia="Arial" w:hAnsi="Arial"/>
                <w:b/>
                <w:bCs/>
                <w:i w:val="false"/>
                <w:iCs w:val="false"/>
                <w:color w:val="FFFFFF"/>
                <w:sz w:val="18"/>
                <w:szCs w:val="18"/>
              </w:rPr>
              <w:t xml:space="preserve">Cascade exit logic</w:t>
            </w:r>
          </w:p>
        </w:tc>
        <w:tc>
          <w:tcPr>
            <w:tcW w:type="dxa" w:w="7160"/>
            <w:tcBorders>
              <w:top w:val="single" w:color="CCCCCC" w:sz="1"/>
              <w:left w:val="single" w:color="CCCCCC" w:sz="1"/>
              <w:bottom w:val="single" w:color="CCCCCC" w:sz="1"/>
              <w:right w:val="single" w:color="CCCCCC" w:sz="1"/>
            </w:tcBorders>
            <w:shd w:fill="FFFFFF" w:val="clear"/>
          </w:tcPr>
          <w:p>
            <w:pPr>
              <w:jc w:val="left"/>
            </w:pPr>
            <w:r>
              <w:rPr>
                <w:rFonts w:ascii="Arial" w:cs="Arial" w:eastAsia="Arial" w:hAnsi="Arial"/>
                <w:b w:val="false"/>
                <w:bCs w:val="false"/>
                <w:i w:val="false"/>
                <w:iCs w:val="false"/>
                <w:color w:val="1F1F1F"/>
                <w:sz w:val="18"/>
                <w:szCs w:val="18"/>
              </w:rPr>
              <w:t xml:space="preserve">Max 2 attempts within 10-second budget. Each attempt re-verified. Best correction accepted if it improved on original. If none pass, original returned with flag.</w:t>
            </w:r>
          </w:p>
        </w:tc>
      </w:tr>
    </w:tbl>
    <w:p>
      <w:pPr>
        <w:spacing w:before="80" w:after="80"/>
      </w:pPr>
      <w:r>
        <w:t xml:space="preserve"/>
      </w:r>
    </w:p>
    <w:p>
      <w:pPr>
        <w:spacing w:before="160" w:after="60"/>
      </w:pPr>
      <w:r>
        <w:rPr>
          <w:rFonts w:ascii="Arial" w:cs="Arial" w:eastAsia="Arial" w:hAnsi="Arial"/>
          <w:b/>
          <w:bCs/>
          <w:color w:val="2E75B6"/>
          <w:sz w:val="22"/>
          <w:szCs w:val="22"/>
        </w:rPr>
        <w:t xml:space="preserve">2a. Drift Detection — The Core Innovation</w:t>
      </w:r>
    </w:p>
    <w:p>
      <w:pPr>
        <w:spacing w:before="40" w:after="40"/>
      </w:pPr>
      <w:r>
        <w:rPr>
          <w:rFonts w:ascii="Arial" w:cs="Arial" w:eastAsia="Arial" w:hAnsi="Arial"/>
          <w:b w:val="false"/>
          <w:bCs w:val="false"/>
          <w:i w:val="false"/>
          <w:iCs w:val="false"/>
          <w:color w:val="1F1F1F"/>
          <w:sz w:val="20"/>
          <w:szCs w:val="20"/>
        </w:rPr>
        <w:t xml:space="preserve">Vex's multi-turn drift detection is the feature with the most meaningful technical differentiation. No other tool in the competitive set implements trajectory-level drift scoring.</w:t>
      </w: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c>
          <w:tcPr>
            <w:tcW w:type="dxa" w:w="2500"/>
            <w:tcBorders>
              <w:top w:val="single" w:color="CCCCCC" w:sz="1"/>
              <w:left w:val="single" w:color="CCCCCC" w:sz="1"/>
              <w:bottom w:val="single" w:color="CCCCCC" w:sz="1"/>
              <w:right w:val="single" w:color="CCCCCC" w:sz="1"/>
            </w:tcBorders>
            <w:shd w:fill="D5E8F0" w:val="clear"/>
          </w:tcPr>
          <w:p>
            <w:pPr>
              <w:jc w:val="left"/>
            </w:pPr>
            <w:r>
              <w:rPr>
                <w:rFonts w:ascii="Arial" w:cs="Arial" w:eastAsia="Arial" w:hAnsi="Arial"/>
                <w:b/>
                <w:bCs/>
                <w:i w:val="false"/>
                <w:iCs w:val="false"/>
                <w:color w:val="1F3864"/>
                <w:sz w:val="18"/>
                <w:szCs w:val="18"/>
              </w:rPr>
              <w:t xml:space="preserve">Single-turn check</w:t>
            </w:r>
          </w:p>
        </w:tc>
        <w:tc>
          <w:tcPr>
            <w:tcW w:type="dxa" w:w="6860"/>
            <w:tcBorders>
              <w:top w:val="single" w:color="CCCCCC" w:sz="1"/>
              <w:left w:val="single" w:color="CCCCCC" w:sz="1"/>
              <w:bottom w:val="single" w:color="CCCCCC" w:sz="1"/>
              <w:right w:val="single" w:color="CCCCCC" w:sz="1"/>
            </w:tcBorders>
            <w:shd w:fill="FFFFFF" w:val="clear"/>
          </w:tcPr>
          <w:p>
            <w:pPr>
              <w:jc w:val="left"/>
            </w:pPr>
            <w:r>
              <w:rPr>
                <w:rFonts w:ascii="Arial" w:cs="Arial" w:eastAsia="Arial" w:hAnsi="Arial"/>
                <w:b w:val="false"/>
                <w:bCs w:val="false"/>
                <w:i w:val="false"/>
                <w:iCs w:val="false"/>
                <w:color w:val="1F1F1F"/>
                <w:sz w:val="18"/>
                <w:szCs w:val="18"/>
              </w:rPr>
              <w:t xml:space="preserve">Relevance of output to assigned task. Score 0–1. Below 0.5 = drifted.</w:t>
            </w:r>
          </w:p>
        </w:tc>
      </w:tr>
      <w:tr>
        <w:tc>
          <w:tcPr>
            <w:tcW w:type="dxa" w:w="2500"/>
            <w:tcBorders>
              <w:top w:val="single" w:color="CCCCCC" w:sz="1"/>
              <w:left w:val="single" w:color="CCCCCC" w:sz="1"/>
              <w:bottom w:val="single" w:color="CCCCCC" w:sz="1"/>
              <w:right w:val="single" w:color="CCCCCC" w:sz="1"/>
            </w:tcBorders>
            <w:shd w:fill="D5E8F0" w:val="clear"/>
          </w:tcPr>
          <w:p>
            <w:pPr>
              <w:jc w:val="left"/>
            </w:pPr>
            <w:r>
              <w:rPr>
                <w:rFonts w:ascii="Arial" w:cs="Arial" w:eastAsia="Arial" w:hAnsi="Arial"/>
                <w:b/>
                <w:bCs/>
                <w:i w:val="false"/>
                <w:iCs w:val="false"/>
                <w:color w:val="1F3864"/>
                <w:sz w:val="18"/>
                <w:szCs w:val="18"/>
              </w:rPr>
              <w:t xml:space="preserve">Trajectory drift check</w:t>
            </w:r>
          </w:p>
        </w:tc>
        <w:tc>
          <w:tcPr>
            <w:tcW w:type="dxa" w:w="6860"/>
            <w:tcBorders>
              <w:top w:val="single" w:color="CCCCCC" w:sz="1"/>
              <w:left w:val="single" w:color="CCCCCC" w:sz="1"/>
              <w:bottom w:val="single" w:color="CCCCCC" w:sz="1"/>
              <w:right w:val="single" w:color="CCCCCC" w:sz="1"/>
            </w:tcBorders>
            <w:shd w:fill="F2F2F2" w:val="clear"/>
          </w:tcPr>
          <w:p>
            <w:pPr>
              <w:jc w:val="left"/>
            </w:pPr>
            <w:r>
              <w:rPr>
                <w:rFonts w:ascii="Arial" w:cs="Arial" w:eastAsia="Arial" w:hAnsi="Arial"/>
                <w:b w:val="false"/>
                <w:bCs w:val="false"/>
                <w:i w:val="false"/>
                <w:iCs w:val="false"/>
                <w:color w:val="1F1F1F"/>
                <w:sz w:val="18"/>
                <w:szCs w:val="18"/>
              </w:rPr>
              <w:t xml:space="preserve">Evaluates full conversation history — is the entire arc still on-task? Catches gradual boiling-frog drift that single-turn checks miss.</w:t>
            </w:r>
          </w:p>
        </w:tc>
      </w:tr>
      <w:tr>
        <w:tc>
          <w:tcPr>
            <w:tcW w:type="dxa" w:w="2500"/>
            <w:tcBorders>
              <w:top w:val="single" w:color="CCCCCC" w:sz="1"/>
              <w:left w:val="single" w:color="CCCCCC" w:sz="1"/>
              <w:bottom w:val="single" w:color="CCCCCC" w:sz="1"/>
              <w:right w:val="single" w:color="CCCCCC" w:sz="1"/>
            </w:tcBorders>
            <w:shd w:fill="D5E8F0" w:val="clear"/>
          </w:tcPr>
          <w:p>
            <w:pPr>
              <w:jc w:val="left"/>
            </w:pPr>
            <w:r>
              <w:rPr>
                <w:rFonts w:ascii="Arial" w:cs="Arial" w:eastAsia="Arial" w:hAnsi="Arial"/>
                <w:b/>
                <w:bCs/>
                <w:i w:val="false"/>
                <w:iCs w:val="false"/>
                <w:color w:val="1F3864"/>
                <w:sz w:val="18"/>
                <w:szCs w:val="18"/>
              </w:rPr>
              <w:t xml:space="preserve">Combined score formula</w:t>
            </w:r>
          </w:p>
        </w:tc>
        <w:tc>
          <w:tcPr>
            <w:tcW w:type="dxa" w:w="6860"/>
            <w:tcBorders>
              <w:top w:val="single" w:color="CCCCCC" w:sz="1"/>
              <w:left w:val="single" w:color="CCCCCC" w:sz="1"/>
              <w:bottom w:val="single" w:color="CCCCCC" w:sz="1"/>
              <w:right w:val="single" w:color="CCCCCC" w:sz="1"/>
            </w:tcBorders>
            <w:shd w:fill="FFFFFF" w:val="clear"/>
          </w:tcPr>
          <w:p>
            <w:pPr>
              <w:jc w:val="left"/>
            </w:pPr>
            <w:r>
              <w:rPr>
                <w:rFonts w:ascii="Arial" w:cs="Arial" w:eastAsia="Arial" w:hAnsi="Arial"/>
                <w:b w:val="false"/>
                <w:bCs w:val="false"/>
                <w:i w:val="false"/>
                <w:iCs w:val="false"/>
                <w:color w:val="1F1F1F"/>
                <w:sz w:val="18"/>
                <w:szCs w:val="18"/>
              </w:rPr>
              <w:t xml:space="preserve">drift_score = min(immediate_relevance, trajectory_drift). Uses minimum to be deliberately strict.</w:t>
            </w:r>
          </w:p>
        </w:tc>
      </w:tr>
      <w:tr>
        <w:tc>
          <w:tcPr>
            <w:tcW w:type="dxa" w:w="2500"/>
            <w:tcBorders>
              <w:top w:val="single" w:color="CCCCCC" w:sz="1"/>
              <w:left w:val="single" w:color="CCCCCC" w:sz="1"/>
              <w:bottom w:val="single" w:color="CCCCCC" w:sz="1"/>
              <w:right w:val="single" w:color="CCCCCC" w:sz="1"/>
            </w:tcBorders>
            <w:shd w:fill="D5E8F0" w:val="clear"/>
          </w:tcPr>
          <w:p>
            <w:pPr>
              <w:jc w:val="left"/>
            </w:pPr>
            <w:r>
              <w:rPr>
                <w:rFonts w:ascii="Arial" w:cs="Arial" w:eastAsia="Arial" w:hAnsi="Arial"/>
                <w:b/>
                <w:bCs/>
                <w:i w:val="false"/>
                <w:iCs w:val="false"/>
                <w:color w:val="1F3864"/>
                <w:sz w:val="18"/>
                <w:szCs w:val="18"/>
              </w:rPr>
              <w:t xml:space="preserve">Why min() matters</w:t>
            </w:r>
          </w:p>
        </w:tc>
        <w:tc>
          <w:tcPr>
            <w:tcW w:type="dxa" w:w="6860"/>
            <w:tcBorders>
              <w:top w:val="single" w:color="CCCCCC" w:sz="1"/>
              <w:left w:val="single" w:color="CCCCCC" w:sz="1"/>
              <w:bottom w:val="single" w:color="CCCCCC" w:sz="1"/>
              <w:right w:val="single" w:color="CCCCCC" w:sz="1"/>
            </w:tcBorders>
            <w:shd w:fill="F2F2F2" w:val="clear"/>
          </w:tcPr>
          <w:p>
            <w:pPr>
              <w:jc w:val="left"/>
            </w:pPr>
            <w:r>
              <w:rPr>
                <w:rFonts w:ascii="Arial" w:cs="Arial" w:eastAsia="Arial" w:hAnsi="Arial"/>
                <w:b w:val="false"/>
                <w:bCs w:val="false"/>
                <w:i w:val="false"/>
                <w:iCs w:val="false"/>
                <w:color w:val="1F1F1F"/>
                <w:sz w:val="18"/>
                <w:szCs w:val="18"/>
              </w:rPr>
              <w:t xml:space="preserve">A turn can score 0.7 in isolation but 0.4 trajectory-wide. min(0.7, 0.4) = 0.4 → DRIFT DETECTED. Traditional monitoring would have passed this.</w:t>
            </w:r>
          </w:p>
        </w:tc>
      </w:tr>
      <w:tr>
        <w:tc>
          <w:tcPr>
            <w:tcW w:type="dxa" w:w="2500"/>
            <w:tcBorders>
              <w:top w:val="single" w:color="CCCCCC" w:sz="1"/>
              <w:left w:val="single" w:color="CCCCCC" w:sz="1"/>
              <w:bottom w:val="single" w:color="CCCCCC" w:sz="1"/>
              <w:right w:val="single" w:color="CCCCCC" w:sz="1"/>
            </w:tcBorders>
            <w:shd w:fill="D5E8F0" w:val="clear"/>
          </w:tcPr>
          <w:p>
            <w:pPr>
              <w:jc w:val="left"/>
            </w:pPr>
            <w:r>
              <w:rPr>
                <w:rFonts w:ascii="Arial" w:cs="Arial" w:eastAsia="Arial" w:hAnsi="Arial"/>
                <w:b/>
                <w:bCs/>
                <w:i w:val="false"/>
                <w:iCs w:val="false"/>
                <w:color w:val="1F3864"/>
                <w:sz w:val="18"/>
                <w:szCs w:val="18"/>
              </w:rPr>
              <w:t xml:space="preserve">Example conversation scores</w:t>
            </w:r>
          </w:p>
        </w:tc>
        <w:tc>
          <w:tcPr>
            <w:tcW w:type="dxa" w:w="6860"/>
            <w:tcBorders>
              <w:top w:val="single" w:color="CCCCCC" w:sz="1"/>
              <w:left w:val="single" w:color="CCCCCC" w:sz="1"/>
              <w:bottom w:val="single" w:color="CCCCCC" w:sz="1"/>
              <w:right w:val="single" w:color="CCCCCC" w:sz="1"/>
            </w:tcBorders>
            <w:shd w:fill="FFFFFF" w:val="clear"/>
          </w:tcPr>
          <w:p>
            <w:pPr>
              <w:jc w:val="left"/>
            </w:pPr>
            <w:r>
              <w:rPr>
                <w:rFonts w:ascii="Arial" w:cs="Arial" w:eastAsia="Arial" w:hAnsi="Arial"/>
                <w:b w:val="false"/>
                <w:bCs w:val="false"/>
                <w:i w:val="false"/>
                <w:iCs w:val="false"/>
                <w:color w:val="1F1F1F"/>
                <w:sz w:val="18"/>
                <w:szCs w:val="18"/>
              </w:rPr>
              <w:t xml:space="preserve">Turn 1: 0.95 PASS → Turn 5: 0.80 PASS → Turn 10: 0.50 FLAG → Turn 15: 0.35 BLOCK. Vex catches at turn 10; traditional tools catch at user complaint.</w:t>
            </w:r>
          </w:p>
        </w:tc>
      </w:tr>
    </w:tbl>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2E75B6" w:sz="12"/>
              <w:bottom w:val="single" w:color="CCCCCC" w:sz="1"/>
              <w:right w:val="single" w:color="CCCCCC" w:sz="1"/>
            </w:tcBorders>
            <w:shd w:fill="E8F4FD" w:val="clear"/>
          </w:tcPr>
          <w:p>
            <w:r>
              <w:rPr>
                <w:rFonts w:ascii="Arial" w:cs="Arial" w:eastAsia="Arial" w:hAnsi="Arial"/>
                <w:i/>
                <w:iCs/>
                <w:color w:val="1F3864"/>
                <w:sz w:val="18"/>
                <w:szCs w:val="18"/>
              </w:rPr>
              <w:t xml:space="preserve">Why this matters competitively: LangSmith, Langfuse, Arize, and Braintrust all evaluate outputs in isolation or after the fact. Guardrails AI checks structure, not behaviour. Galileo runs static evaluators. Only Vex tracks conversation trajectory and uses the minimum of immediate + trajectory scores — making it structurally impossible for gradual drift to pass undetected.</w:t>
            </w:r>
          </w:p>
        </w:tc>
      </w:tr>
    </w:tbl>
    <w:p>
      <w:pPr>
        <w:spacing w:before="80" w:after="80"/>
      </w:pPr>
      <w:r>
        <w:t xml:space="preserve"/>
      </w:r>
    </w:p>
    <w:p>
      <w:pPr>
        <w:spacing w:before="160" w:after="60"/>
      </w:pPr>
      <w:r>
        <w:rPr>
          <w:rFonts w:ascii="Arial" w:cs="Arial" w:eastAsia="Arial" w:hAnsi="Arial"/>
          <w:b/>
          <w:bCs/>
          <w:color w:val="2E75B6"/>
          <w:sz w:val="22"/>
          <w:szCs w:val="22"/>
        </w:rPr>
        <w:t xml:space="preserve">2b. The 6-Check Verification Pipeline</w:t>
      </w:r>
    </w:p>
    <w:p>
      <w:pPr>
        <w:spacing w:before="40" w:after="40"/>
      </w:pPr>
      <w:r>
        <w:rPr>
          <w:rFonts w:ascii="Arial" w:cs="Arial" w:eastAsia="Arial" w:hAnsi="Arial"/>
          <w:b w:val="false"/>
          <w:bCs w:val="false"/>
          <w:i w:val="false"/>
          <w:iCs w:val="false"/>
          <w:color w:val="1F1F1F"/>
          <w:sz w:val="20"/>
          <w:szCs w:val="20"/>
        </w:rPr>
        <w:t xml:space="preserve">Every agent output runs through up to six parallel checks:</w:t>
      </w:r>
    </w:p>
    <w:p>
      <w:pPr>
        <w:pStyle w:val="ListParagraph"/>
        <w:numPr>
          <w:ilvl w:val="0"/>
          <w:numId w:val="2"/>
        </w:numPr>
      </w:pPr>
      <w:r>
        <w:rPr>
          <w:rFonts w:ascii="Arial" w:cs="Arial" w:eastAsia="Arial" w:hAnsi="Arial"/>
          <w:sz w:val="20"/>
          <w:szCs w:val="20"/>
        </w:rPr>
        <w:t xml:space="preserve">Schema validation — is the output structure correct?</w:t>
      </w:r>
    </w:p>
    <w:p>
      <w:pPr>
        <w:pStyle w:val="ListParagraph"/>
        <w:numPr>
          <w:ilvl w:val="0"/>
          <w:numId w:val="2"/>
        </w:numPr>
      </w:pPr>
      <w:r>
        <w:rPr>
          <w:rFonts w:ascii="Arial" w:cs="Arial" w:eastAsia="Arial" w:hAnsi="Arial"/>
          <w:sz w:val="20"/>
          <w:szCs w:val="20"/>
        </w:rPr>
        <w:t xml:space="preserve">Hallucination detection — are facts grounded vs. fabricated?</w:t>
      </w:r>
    </w:p>
    <w:p>
      <w:pPr>
        <w:pStyle w:val="ListParagraph"/>
        <w:numPr>
          <w:ilvl w:val="0"/>
          <w:numId w:val="2"/>
        </w:numPr>
      </w:pPr>
      <w:r>
        <w:rPr>
          <w:rFonts w:ascii="Arial" w:cs="Arial" w:eastAsia="Arial" w:hAnsi="Arial"/>
          <w:sz w:val="20"/>
          <w:szCs w:val="20"/>
        </w:rPr>
        <w:t xml:space="preserve">Drift detection — is the output (and trajectory) still on-task?</w:t>
      </w:r>
    </w:p>
    <w:p>
      <w:pPr>
        <w:pStyle w:val="ListParagraph"/>
        <w:numPr>
          <w:ilvl w:val="0"/>
          <w:numId w:val="2"/>
        </w:numPr>
      </w:pPr>
      <w:r>
        <w:rPr>
          <w:rFonts w:ascii="Arial" w:cs="Arial" w:eastAsia="Arial" w:hAnsi="Arial"/>
          <w:sz w:val="20"/>
          <w:szCs w:val="20"/>
        </w:rPr>
        <w:t xml:space="preserve">Multi-turn coherence — does this output contradict earlier turns?</w:t>
      </w:r>
    </w:p>
    <w:p>
      <w:pPr>
        <w:pStyle w:val="ListParagraph"/>
        <w:numPr>
          <w:ilvl w:val="0"/>
          <w:numId w:val="2"/>
        </w:numPr>
      </w:pPr>
      <w:r>
        <w:rPr>
          <w:rFonts w:ascii="Arial" w:cs="Arial" w:eastAsia="Arial" w:hAnsi="Arial"/>
          <w:sz w:val="20"/>
          <w:szCs w:val="20"/>
        </w:rPr>
        <w:t xml:space="preserve">Custom guardrails — user-defined regex, keywords, LLM-based rules.</w:t>
      </w:r>
    </w:p>
    <w:p>
      <w:pPr>
        <w:pStyle w:val="ListParagraph"/>
        <w:numPr>
          <w:ilvl w:val="0"/>
          <w:numId w:val="2"/>
        </w:numPr>
      </w:pPr>
      <w:r>
        <w:rPr>
          <w:rFonts w:ascii="Arial" w:cs="Arial" w:eastAsia="Arial" w:hAnsi="Arial"/>
          <w:sz w:val="20"/>
          <w:szCs w:val="20"/>
        </w:rPr>
        <w:t xml:space="preserve">Tool-loop detection — is the agent stuck calling the same tools in a cycle?</w:t>
      </w:r>
    </w:p>
    <w:p>
      <w:pPr>
        <w:spacing w:before="40" w:after="40"/>
      </w:pPr>
      <w:r>
        <w:rPr>
          <w:rFonts w:ascii="Arial" w:cs="Arial" w:eastAsia="Arial" w:hAnsi="Arial"/>
          <w:b w:val="false"/>
          <w:bCs w:val="false"/>
          <w:i/>
          <w:iCs/>
          <w:color w:val="1F1F1F"/>
          <w:sz w:val="20"/>
          <w:szCs w:val="20"/>
        </w:rPr>
        <w:t xml:space="preserve">Each check produces a 0–1 score. Weights are dynamic — they rebalance proportionally based on which checks are active for a given request.</w:t>
      </w:r>
    </w:p>
    <w:p>
      <w:pPr>
        <w:spacing w:before="80" w:after="80"/>
      </w:pPr>
      <w:r>
        <w:t xml:space="preserve"/>
      </w:r>
    </w:p>
    <w:p>
      <w:pPr>
        <w:pBdr>
          <w:bottom w:val="single" w:color="2E75B6" w:sz="6" w:space="1"/>
        </w:pBdr>
        <w:spacing w:before="280" w:after="100"/>
      </w:pPr>
      <w:r>
        <w:rPr>
          <w:rFonts w:ascii="Arial" w:cs="Arial" w:eastAsia="Arial" w:hAnsi="Arial"/>
          <w:b/>
          <w:bCs/>
          <w:color w:val="1F3864"/>
          <w:sz w:val="28"/>
          <w:szCs w:val="28"/>
        </w:rPr>
        <w:t xml:space="preserve">3. Pricing</w:t>
      </w:r>
    </w:p>
    <w:p>
      <w:pPr>
        <w:spacing w:before="40" w:after="40"/>
      </w:pPr>
      <w:r>
        <w:rPr>
          <w:rFonts w:ascii="Arial" w:cs="Arial" w:eastAsia="Arial" w:hAnsi="Arial"/>
          <w:b w:val="false"/>
          <w:bCs w:val="false"/>
          <w:i w:val="false"/>
          <w:iCs w:val="false"/>
          <w:color w:val="1F1F1F"/>
          <w:sz w:val="20"/>
          <w:szCs w:val="20"/>
        </w:rPr>
        <w:t xml:space="preserve">Vex's pricing is transparent and developer-friendly. All tiers include unlimited agents. The free tier is intentionally limited to drive conversion, not to provide meaningful production coverage.</w:t>
      </w: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1300"/>
        <w:gridCol w:w="1300"/>
        <w:gridCol w:w="1300"/>
        <w:gridCol w:w="1500"/>
        <w:gridCol w:w="2560"/>
      </w:tblGrid>
      <w:tr>
        <w:tc>
          <w:tcPr>
            <w:tcW w:type="dxa" w:w="1400"/>
            <w:tcBorders>
              <w:top w:val="single" w:color="CCCCCC" w:sz="1"/>
              <w:left w:val="single" w:color="CCCCCC" w:sz="1"/>
              <w:bottom w:val="single" w:color="CCCCCC" w:sz="1"/>
              <w:right w:val="single" w:color="CCCCCC" w:sz="1"/>
            </w:tcBorders>
            <w:shd w:fill="1F3864" w:val="clear"/>
          </w:tcPr>
          <w:p>
            <w:pPr>
              <w:jc w:val="center"/>
            </w:pPr>
            <w:r>
              <w:rPr>
                <w:rFonts w:ascii="Arial" w:cs="Arial" w:eastAsia="Arial" w:hAnsi="Arial"/>
                <w:b/>
                <w:bCs/>
                <w:i w:val="false"/>
                <w:iCs w:val="false"/>
                <w:color w:val="FFFFFF"/>
                <w:sz w:val="18"/>
                <w:szCs w:val="18"/>
              </w:rPr>
              <w:t xml:space="preserve">Plan</w:t>
            </w:r>
          </w:p>
        </w:tc>
        <w:tc>
          <w:tcPr>
            <w:tcW w:type="dxa" w:w="1300"/>
            <w:tcBorders>
              <w:top w:val="single" w:color="CCCCCC" w:sz="1"/>
              <w:left w:val="single" w:color="CCCCCC" w:sz="1"/>
              <w:bottom w:val="single" w:color="CCCCCC" w:sz="1"/>
              <w:right w:val="single" w:color="CCCCCC" w:sz="1"/>
            </w:tcBorders>
            <w:shd w:fill="1F3864" w:val="clear"/>
          </w:tcPr>
          <w:p>
            <w:pPr>
              <w:jc w:val="center"/>
            </w:pPr>
            <w:r>
              <w:rPr>
                <w:rFonts w:ascii="Arial" w:cs="Arial" w:eastAsia="Arial" w:hAnsi="Arial"/>
                <w:b/>
                <w:bCs/>
                <w:i w:val="false"/>
                <w:iCs w:val="false"/>
                <w:color w:val="FFFFFF"/>
                <w:sz w:val="18"/>
                <w:szCs w:val="18"/>
              </w:rPr>
              <w:t xml:space="preserve">Free</w:t>
            </w:r>
          </w:p>
        </w:tc>
        <w:tc>
          <w:tcPr>
            <w:tcW w:type="dxa" w:w="1300"/>
            <w:tcBorders>
              <w:top w:val="single" w:color="CCCCCC" w:sz="1"/>
              <w:left w:val="single" w:color="CCCCCC" w:sz="1"/>
              <w:bottom w:val="single" w:color="CCCCCC" w:sz="1"/>
              <w:right w:val="single" w:color="CCCCCC" w:sz="1"/>
            </w:tcBorders>
            <w:shd w:fill="1F3864" w:val="clear"/>
          </w:tcPr>
          <w:p>
            <w:pPr>
              <w:jc w:val="center"/>
            </w:pPr>
            <w:r>
              <w:rPr>
                <w:rFonts w:ascii="Arial" w:cs="Arial" w:eastAsia="Arial" w:hAnsi="Arial"/>
                <w:b/>
                <w:bCs/>
                <w:i w:val="false"/>
                <w:iCs w:val="false"/>
                <w:color w:val="FFFFFF"/>
                <w:sz w:val="18"/>
                <w:szCs w:val="18"/>
              </w:rPr>
              <w:t xml:space="preserve">Starter</w:t>
            </w:r>
          </w:p>
        </w:tc>
        <w:tc>
          <w:tcPr>
            <w:tcW w:type="dxa" w:w="1300"/>
            <w:tcBorders>
              <w:top w:val="single" w:color="CCCCCC" w:sz="1"/>
              <w:left w:val="single" w:color="CCCCCC" w:sz="1"/>
              <w:bottom w:val="single" w:color="CCCCCC" w:sz="1"/>
              <w:right w:val="single" w:color="CCCCCC" w:sz="1"/>
            </w:tcBorders>
            <w:shd w:fill="1F3864" w:val="clear"/>
          </w:tcPr>
          <w:p>
            <w:pPr>
              <w:jc w:val="center"/>
            </w:pPr>
            <w:r>
              <w:rPr>
                <w:rFonts w:ascii="Arial" w:cs="Arial" w:eastAsia="Arial" w:hAnsi="Arial"/>
                <w:b/>
                <w:bCs/>
                <w:i w:val="false"/>
                <w:iCs w:val="false"/>
                <w:color w:val="FFFFFF"/>
                <w:sz w:val="18"/>
                <w:szCs w:val="18"/>
              </w:rPr>
              <w:t xml:space="preserve">Pro</w:t>
            </w:r>
          </w:p>
        </w:tc>
        <w:tc>
          <w:tcPr>
            <w:tcW w:type="dxa" w:w="1500"/>
            <w:tcBorders>
              <w:top w:val="single" w:color="CCCCCC" w:sz="1"/>
              <w:left w:val="single" w:color="CCCCCC" w:sz="1"/>
              <w:bottom w:val="single" w:color="CCCCCC" w:sz="1"/>
              <w:right w:val="single" w:color="CCCCCC" w:sz="1"/>
            </w:tcBorders>
            <w:shd w:fill="1F3864" w:val="clear"/>
          </w:tcPr>
          <w:p>
            <w:pPr>
              <w:jc w:val="center"/>
            </w:pPr>
            <w:r>
              <w:rPr>
                <w:rFonts w:ascii="Arial" w:cs="Arial" w:eastAsia="Arial" w:hAnsi="Arial"/>
                <w:b/>
                <w:bCs/>
                <w:i w:val="false"/>
                <w:iCs w:val="false"/>
                <w:color w:val="FFFFFF"/>
                <w:sz w:val="18"/>
                <w:szCs w:val="18"/>
              </w:rPr>
              <w:t xml:space="preserve">Team</w:t>
            </w:r>
          </w:p>
        </w:tc>
        <w:tc>
          <w:tcPr>
            <w:tcW w:type="dxa" w:w="2560"/>
            <w:tcBorders>
              <w:top w:val="single" w:color="CCCCCC" w:sz="1"/>
              <w:left w:val="single" w:color="CCCCCC" w:sz="1"/>
              <w:bottom w:val="single" w:color="CCCCCC" w:sz="1"/>
              <w:right w:val="single" w:color="CCCCCC" w:sz="1"/>
            </w:tcBorders>
            <w:shd w:fill="1F3864" w:val="clear"/>
          </w:tcPr>
          <w:p>
            <w:pPr>
              <w:jc w:val="center"/>
            </w:pPr>
            <w:r>
              <w:rPr>
                <w:rFonts w:ascii="Arial" w:cs="Arial" w:eastAsia="Arial" w:hAnsi="Arial"/>
                <w:b/>
                <w:bCs/>
                <w:i w:val="false"/>
                <w:iCs w:val="false"/>
                <w:color w:val="FFFFFF"/>
                <w:sz w:val="18"/>
                <w:szCs w:val="18"/>
              </w:rPr>
              <w:t xml:space="preserve">Enterprise</w:t>
            </w:r>
          </w:p>
        </w:tc>
      </w:tr>
      <w:tr>
        <w:tc>
          <w:tcPr>
            <w:tcW w:type="dxa" w:w="1400"/>
            <w:tcBorders>
              <w:top w:val="single" w:color="CCCCCC" w:sz="1"/>
              <w:left w:val="single" w:color="CCCCCC" w:sz="1"/>
              <w:bottom w:val="single" w:color="CCCCCC" w:sz="1"/>
              <w:right w:val="single" w:color="CCCCCC" w:sz="1"/>
            </w:tcBorders>
            <w:shd w:fill="D5E8F0" w:val="clear"/>
          </w:tcPr>
          <w:p>
            <w:pPr>
              <w:jc w:val="left"/>
            </w:pPr>
            <w:r>
              <w:rPr>
                <w:rFonts w:ascii="Arial" w:cs="Arial" w:eastAsia="Arial" w:hAnsi="Arial"/>
                <w:b/>
                <w:bCs/>
                <w:i w:val="false"/>
                <w:iCs w:val="false"/>
                <w:color w:val="1F3864"/>
                <w:sz w:val="18"/>
                <w:szCs w:val="18"/>
              </w:rPr>
              <w:t xml:space="preserve">Price</w:t>
            </w:r>
          </w:p>
        </w:tc>
        <w:tc>
          <w:tcPr>
            <w:tcW w:type="dxa" w:w="1300"/>
            <w:tcBorders>
              <w:top w:val="single" w:color="CCCCCC" w:sz="1"/>
              <w:left w:val="single" w:color="CCCCCC" w:sz="1"/>
              <w:bottom w:val="single" w:color="CCCCCC" w:sz="1"/>
              <w:right w:val="single" w:color="CCCCCC" w:sz="1"/>
            </w:tcBorders>
            <w:shd w:fill="FFFFFF" w:val="clear"/>
          </w:tcPr>
          <w:p>
            <w:pPr>
              <w:jc w:val="center"/>
            </w:pPr>
            <w:r>
              <w:rPr>
                <w:rFonts w:ascii="Arial" w:cs="Arial" w:eastAsia="Arial" w:hAnsi="Arial"/>
                <w:b w:val="false"/>
                <w:bCs w:val="false"/>
                <w:i w:val="false"/>
                <w:iCs w:val="false"/>
                <w:color w:val="1F1F1F"/>
                <w:sz w:val="18"/>
                <w:szCs w:val="18"/>
              </w:rPr>
              <w:t xml:space="preserve">$0/mo</w:t>
            </w:r>
          </w:p>
        </w:tc>
        <w:tc>
          <w:tcPr>
            <w:tcW w:type="dxa" w:w="1300"/>
            <w:tcBorders>
              <w:top w:val="single" w:color="CCCCCC" w:sz="1"/>
              <w:left w:val="single" w:color="CCCCCC" w:sz="1"/>
              <w:bottom w:val="single" w:color="CCCCCC" w:sz="1"/>
              <w:right w:val="single" w:color="CCCCCC" w:sz="1"/>
            </w:tcBorders>
            <w:shd w:fill="FFFFFF" w:val="clear"/>
          </w:tcPr>
          <w:p>
            <w:pPr>
              <w:jc w:val="center"/>
            </w:pPr>
            <w:r>
              <w:rPr>
                <w:rFonts w:ascii="Arial" w:cs="Arial" w:eastAsia="Arial" w:hAnsi="Arial"/>
                <w:b w:val="false"/>
                <w:bCs w:val="false"/>
                <w:i w:val="false"/>
                <w:iCs w:val="false"/>
                <w:color w:val="1F1F1F"/>
                <w:sz w:val="18"/>
                <w:szCs w:val="18"/>
              </w:rPr>
              <w:t xml:space="preserve">$29/mo</w:t>
            </w:r>
          </w:p>
        </w:tc>
        <w:tc>
          <w:tcPr>
            <w:tcW w:type="dxa" w:w="1300"/>
            <w:tcBorders>
              <w:top w:val="single" w:color="CCCCCC" w:sz="1"/>
              <w:left w:val="single" w:color="CCCCCC" w:sz="1"/>
              <w:bottom w:val="single" w:color="CCCCCC" w:sz="1"/>
              <w:right w:val="single" w:color="CCCCCC" w:sz="1"/>
            </w:tcBorders>
            <w:shd w:fill="FFFFFF" w:val="clear"/>
          </w:tcPr>
          <w:p>
            <w:pPr>
              <w:jc w:val="center"/>
            </w:pPr>
            <w:r>
              <w:rPr>
                <w:rFonts w:ascii="Arial" w:cs="Arial" w:eastAsia="Arial" w:hAnsi="Arial"/>
                <w:b w:val="false"/>
                <w:bCs w:val="false"/>
                <w:i w:val="false"/>
                <w:iCs w:val="false"/>
                <w:color w:val="1F1F1F"/>
                <w:sz w:val="18"/>
                <w:szCs w:val="18"/>
              </w:rPr>
              <w:t xml:space="preserve">$99/mo ($83 annual)</w:t>
            </w:r>
          </w:p>
        </w:tc>
        <w:tc>
          <w:tcPr>
            <w:tcW w:type="dxa" w:w="1500"/>
            <w:tcBorders>
              <w:top w:val="single" w:color="CCCCCC" w:sz="1"/>
              <w:left w:val="single" w:color="CCCCCC" w:sz="1"/>
              <w:bottom w:val="single" w:color="CCCCCC" w:sz="1"/>
              <w:right w:val="single" w:color="CCCCCC" w:sz="1"/>
            </w:tcBorders>
            <w:shd w:fill="FFFFFF" w:val="clear"/>
          </w:tcPr>
          <w:p>
            <w:pPr>
              <w:jc w:val="center"/>
            </w:pPr>
            <w:r>
              <w:rPr>
                <w:rFonts w:ascii="Arial" w:cs="Arial" w:eastAsia="Arial" w:hAnsi="Arial"/>
                <w:b w:val="false"/>
                <w:bCs w:val="false"/>
                <w:i w:val="false"/>
                <w:iCs w:val="false"/>
                <w:color w:val="1F1F1F"/>
                <w:sz w:val="18"/>
                <w:szCs w:val="18"/>
              </w:rPr>
              <w:t xml:space="preserve">$349/mo ($291 annual)</w:t>
            </w:r>
          </w:p>
        </w:tc>
        <w:tc>
          <w:tcPr>
            <w:tcW w:type="dxa" w:w="2560"/>
            <w:tcBorders>
              <w:top w:val="single" w:color="CCCCCC" w:sz="1"/>
              <w:left w:val="single" w:color="CCCCCC" w:sz="1"/>
              <w:bottom w:val="single" w:color="CCCCCC" w:sz="1"/>
              <w:right w:val="single" w:color="CCCCCC" w:sz="1"/>
            </w:tcBorders>
            <w:shd w:fill="FFFFFF" w:val="clear"/>
          </w:tcPr>
          <w:p>
            <w:pPr>
              <w:jc w:val="center"/>
            </w:pPr>
            <w:r>
              <w:rPr>
                <w:rFonts w:ascii="Arial" w:cs="Arial" w:eastAsia="Arial" w:hAnsi="Arial"/>
                <w:b w:val="false"/>
                <w:bCs w:val="false"/>
                <w:i w:val="false"/>
                <w:iCs w:val="false"/>
                <w:color w:val="1F1F1F"/>
                <w:sz w:val="18"/>
                <w:szCs w:val="18"/>
              </w:rPr>
              <w:t xml:space="preserve">Custom</w:t>
            </w:r>
          </w:p>
        </w:tc>
      </w:tr>
      <w:tr>
        <w:tc>
          <w:tcPr>
            <w:tcW w:type="dxa" w:w="1400"/>
            <w:tcBorders>
              <w:top w:val="single" w:color="CCCCCC" w:sz="1"/>
              <w:left w:val="single" w:color="CCCCCC" w:sz="1"/>
              <w:bottom w:val="single" w:color="CCCCCC" w:sz="1"/>
              <w:right w:val="single" w:color="CCCCCC" w:sz="1"/>
            </w:tcBorders>
            <w:shd w:fill="D5E8F0" w:val="clear"/>
          </w:tcPr>
          <w:p>
            <w:pPr>
              <w:jc w:val="left"/>
            </w:pPr>
            <w:r>
              <w:rPr>
                <w:rFonts w:ascii="Arial" w:cs="Arial" w:eastAsia="Arial" w:hAnsi="Arial"/>
                <w:b/>
                <w:bCs/>
                <w:i w:val="false"/>
                <w:iCs w:val="false"/>
                <w:color w:val="1F3864"/>
                <w:sz w:val="18"/>
                <w:szCs w:val="18"/>
              </w:rPr>
              <w:t xml:space="preserve">Observations</w:t>
            </w:r>
          </w:p>
        </w:tc>
        <w:tc>
          <w:tcPr>
            <w:tcW w:type="dxa" w:w="1300"/>
            <w:tcBorders>
              <w:top w:val="single" w:color="CCCCCC" w:sz="1"/>
              <w:left w:val="single" w:color="CCCCCC" w:sz="1"/>
              <w:bottom w:val="single" w:color="CCCCCC" w:sz="1"/>
              <w:right w:val="single" w:color="CCCCCC" w:sz="1"/>
            </w:tcBorders>
            <w:shd w:fill="F2F2F2" w:val="clear"/>
          </w:tcPr>
          <w:p>
            <w:pPr>
              <w:jc w:val="center"/>
            </w:pPr>
            <w:r>
              <w:rPr>
                <w:rFonts w:ascii="Arial" w:cs="Arial" w:eastAsia="Arial" w:hAnsi="Arial"/>
                <w:b w:val="false"/>
                <w:bCs w:val="false"/>
                <w:i w:val="false"/>
                <w:iCs w:val="false"/>
                <w:color w:val="1F1F1F"/>
                <w:sz w:val="18"/>
                <w:szCs w:val="18"/>
              </w:rPr>
              <w:t xml:space="preserve">1,000</w:t>
            </w:r>
          </w:p>
        </w:tc>
        <w:tc>
          <w:tcPr>
            <w:tcW w:type="dxa" w:w="1300"/>
            <w:tcBorders>
              <w:top w:val="single" w:color="CCCCCC" w:sz="1"/>
              <w:left w:val="single" w:color="CCCCCC" w:sz="1"/>
              <w:bottom w:val="single" w:color="CCCCCC" w:sz="1"/>
              <w:right w:val="single" w:color="CCCCCC" w:sz="1"/>
            </w:tcBorders>
            <w:shd w:fill="F2F2F2" w:val="clear"/>
          </w:tcPr>
          <w:p>
            <w:pPr>
              <w:jc w:val="center"/>
            </w:pPr>
            <w:r>
              <w:rPr>
                <w:rFonts w:ascii="Arial" w:cs="Arial" w:eastAsia="Arial" w:hAnsi="Arial"/>
                <w:b w:val="false"/>
                <w:bCs w:val="false"/>
                <w:i w:val="false"/>
                <w:iCs w:val="false"/>
                <w:color w:val="1F1F1F"/>
                <w:sz w:val="18"/>
                <w:szCs w:val="18"/>
              </w:rPr>
              <w:t xml:space="preserve">25,000</w:t>
            </w:r>
          </w:p>
        </w:tc>
        <w:tc>
          <w:tcPr>
            <w:tcW w:type="dxa" w:w="1300"/>
            <w:tcBorders>
              <w:top w:val="single" w:color="CCCCCC" w:sz="1"/>
              <w:left w:val="single" w:color="CCCCCC" w:sz="1"/>
              <w:bottom w:val="single" w:color="CCCCCC" w:sz="1"/>
              <w:right w:val="single" w:color="CCCCCC" w:sz="1"/>
            </w:tcBorders>
            <w:shd w:fill="F2F2F2" w:val="clear"/>
          </w:tcPr>
          <w:p>
            <w:pPr>
              <w:jc w:val="center"/>
            </w:pPr>
            <w:r>
              <w:rPr>
                <w:rFonts w:ascii="Arial" w:cs="Arial" w:eastAsia="Arial" w:hAnsi="Arial"/>
                <w:b w:val="false"/>
                <w:bCs w:val="false"/>
                <w:i w:val="false"/>
                <w:iCs w:val="false"/>
                <w:color w:val="1F1F1F"/>
                <w:sz w:val="18"/>
                <w:szCs w:val="18"/>
              </w:rPr>
              <w:t xml:space="preserve">150,000</w:t>
            </w:r>
          </w:p>
        </w:tc>
        <w:tc>
          <w:tcPr>
            <w:tcW w:type="dxa" w:w="1500"/>
            <w:tcBorders>
              <w:top w:val="single" w:color="CCCCCC" w:sz="1"/>
              <w:left w:val="single" w:color="CCCCCC" w:sz="1"/>
              <w:bottom w:val="single" w:color="CCCCCC" w:sz="1"/>
              <w:right w:val="single" w:color="CCCCCC" w:sz="1"/>
            </w:tcBorders>
            <w:shd w:fill="F2F2F2" w:val="clear"/>
          </w:tcPr>
          <w:p>
            <w:pPr>
              <w:jc w:val="center"/>
            </w:pPr>
            <w:r>
              <w:rPr>
                <w:rFonts w:ascii="Arial" w:cs="Arial" w:eastAsia="Arial" w:hAnsi="Arial"/>
                <w:b w:val="false"/>
                <w:bCs w:val="false"/>
                <w:i w:val="false"/>
                <w:iCs w:val="false"/>
                <w:color w:val="1F1F1F"/>
                <w:sz w:val="18"/>
                <w:szCs w:val="18"/>
              </w:rPr>
              <w:t xml:space="preserve">1,500,000</w:t>
            </w:r>
          </w:p>
        </w:tc>
        <w:tc>
          <w:tcPr>
            <w:tcW w:type="dxa" w:w="2560"/>
            <w:tcBorders>
              <w:top w:val="single" w:color="CCCCCC" w:sz="1"/>
              <w:left w:val="single" w:color="CCCCCC" w:sz="1"/>
              <w:bottom w:val="single" w:color="CCCCCC" w:sz="1"/>
              <w:right w:val="single" w:color="CCCCCC" w:sz="1"/>
            </w:tcBorders>
            <w:shd w:fill="F2F2F2" w:val="clear"/>
          </w:tcPr>
          <w:p>
            <w:pPr>
              <w:jc w:val="center"/>
            </w:pPr>
            <w:r>
              <w:rPr>
                <w:rFonts w:ascii="Arial" w:cs="Arial" w:eastAsia="Arial" w:hAnsi="Arial"/>
                <w:b w:val="false"/>
                <w:bCs w:val="false"/>
                <w:i w:val="false"/>
                <w:iCs w:val="false"/>
                <w:color w:val="1F1F1F"/>
                <w:sz w:val="18"/>
                <w:szCs w:val="18"/>
              </w:rPr>
              <w:t xml:space="preserve">Custom</w:t>
            </w:r>
          </w:p>
        </w:tc>
      </w:tr>
      <w:tr>
        <w:tc>
          <w:tcPr>
            <w:tcW w:type="dxa" w:w="1400"/>
            <w:tcBorders>
              <w:top w:val="single" w:color="CCCCCC" w:sz="1"/>
              <w:left w:val="single" w:color="CCCCCC" w:sz="1"/>
              <w:bottom w:val="single" w:color="CCCCCC" w:sz="1"/>
              <w:right w:val="single" w:color="CCCCCC" w:sz="1"/>
            </w:tcBorders>
            <w:shd w:fill="D5E8F0" w:val="clear"/>
          </w:tcPr>
          <w:p>
            <w:pPr>
              <w:jc w:val="left"/>
            </w:pPr>
            <w:r>
              <w:rPr>
                <w:rFonts w:ascii="Arial" w:cs="Arial" w:eastAsia="Arial" w:hAnsi="Arial"/>
                <w:b/>
                <w:bCs/>
                <w:i w:val="false"/>
                <w:iCs w:val="false"/>
                <w:color w:val="1F3864"/>
                <w:sz w:val="18"/>
                <w:szCs w:val="18"/>
              </w:rPr>
              <w:t xml:space="preserve">Verifications</w:t>
            </w:r>
          </w:p>
        </w:tc>
        <w:tc>
          <w:tcPr>
            <w:tcW w:type="dxa" w:w="1300"/>
            <w:tcBorders>
              <w:top w:val="single" w:color="CCCCCC" w:sz="1"/>
              <w:left w:val="single" w:color="CCCCCC" w:sz="1"/>
              <w:bottom w:val="single" w:color="CCCCCC" w:sz="1"/>
              <w:right w:val="single" w:color="CCCCCC" w:sz="1"/>
            </w:tcBorders>
            <w:shd w:fill="FFFFFF" w:val="clear"/>
          </w:tcPr>
          <w:p>
            <w:pPr>
              <w:jc w:val="center"/>
            </w:pPr>
            <w:r>
              <w:rPr>
                <w:rFonts w:ascii="Arial" w:cs="Arial" w:eastAsia="Arial" w:hAnsi="Arial"/>
                <w:b w:val="false"/>
                <w:bCs w:val="false"/>
                <w:i w:val="false"/>
                <w:iCs w:val="false"/>
                <w:color w:val="1F1F1F"/>
                <w:sz w:val="18"/>
                <w:szCs w:val="18"/>
              </w:rPr>
              <w:t xml:space="preserve">50</w:t>
            </w:r>
          </w:p>
        </w:tc>
        <w:tc>
          <w:tcPr>
            <w:tcW w:type="dxa" w:w="1300"/>
            <w:tcBorders>
              <w:top w:val="single" w:color="CCCCCC" w:sz="1"/>
              <w:left w:val="single" w:color="CCCCCC" w:sz="1"/>
              <w:bottom w:val="single" w:color="CCCCCC" w:sz="1"/>
              <w:right w:val="single" w:color="CCCCCC" w:sz="1"/>
            </w:tcBorders>
            <w:shd w:fill="FFFFFF" w:val="clear"/>
          </w:tcPr>
          <w:p>
            <w:pPr>
              <w:jc w:val="center"/>
            </w:pPr>
            <w:r>
              <w:rPr>
                <w:rFonts w:ascii="Arial" w:cs="Arial" w:eastAsia="Arial" w:hAnsi="Arial"/>
                <w:b w:val="false"/>
                <w:bCs w:val="false"/>
                <w:i w:val="false"/>
                <w:iCs w:val="false"/>
                <w:color w:val="1F1F1F"/>
                <w:sz w:val="18"/>
                <w:szCs w:val="18"/>
              </w:rPr>
              <w:t xml:space="preserve">1,000</w:t>
            </w:r>
          </w:p>
        </w:tc>
        <w:tc>
          <w:tcPr>
            <w:tcW w:type="dxa" w:w="1300"/>
            <w:tcBorders>
              <w:top w:val="single" w:color="CCCCCC" w:sz="1"/>
              <w:left w:val="single" w:color="CCCCCC" w:sz="1"/>
              <w:bottom w:val="single" w:color="CCCCCC" w:sz="1"/>
              <w:right w:val="single" w:color="CCCCCC" w:sz="1"/>
            </w:tcBorders>
            <w:shd w:fill="FFFFFF" w:val="clear"/>
          </w:tcPr>
          <w:p>
            <w:pPr>
              <w:jc w:val="center"/>
            </w:pPr>
            <w:r>
              <w:rPr>
                <w:rFonts w:ascii="Arial" w:cs="Arial" w:eastAsia="Arial" w:hAnsi="Arial"/>
                <w:b w:val="false"/>
                <w:bCs w:val="false"/>
                <w:i w:val="false"/>
                <w:iCs w:val="false"/>
                <w:color w:val="1F1F1F"/>
                <w:sz w:val="18"/>
                <w:szCs w:val="18"/>
              </w:rPr>
              <w:t xml:space="preserve">15,000</w:t>
            </w:r>
          </w:p>
        </w:tc>
        <w:tc>
          <w:tcPr>
            <w:tcW w:type="dxa" w:w="1500"/>
            <w:tcBorders>
              <w:top w:val="single" w:color="CCCCCC" w:sz="1"/>
              <w:left w:val="single" w:color="CCCCCC" w:sz="1"/>
              <w:bottom w:val="single" w:color="CCCCCC" w:sz="1"/>
              <w:right w:val="single" w:color="CCCCCC" w:sz="1"/>
            </w:tcBorders>
            <w:shd w:fill="FFFFFF" w:val="clear"/>
          </w:tcPr>
          <w:p>
            <w:pPr>
              <w:jc w:val="center"/>
            </w:pPr>
            <w:r>
              <w:rPr>
                <w:rFonts w:ascii="Arial" w:cs="Arial" w:eastAsia="Arial" w:hAnsi="Arial"/>
                <w:b w:val="false"/>
                <w:bCs w:val="false"/>
                <w:i w:val="false"/>
                <w:iCs w:val="false"/>
                <w:color w:val="1F1F1F"/>
                <w:sz w:val="18"/>
                <w:szCs w:val="18"/>
              </w:rPr>
              <w:t xml:space="preserve">150,000</w:t>
            </w:r>
          </w:p>
        </w:tc>
        <w:tc>
          <w:tcPr>
            <w:tcW w:type="dxa" w:w="2560"/>
            <w:tcBorders>
              <w:top w:val="single" w:color="CCCCCC" w:sz="1"/>
              <w:left w:val="single" w:color="CCCCCC" w:sz="1"/>
              <w:bottom w:val="single" w:color="CCCCCC" w:sz="1"/>
              <w:right w:val="single" w:color="CCCCCC" w:sz="1"/>
            </w:tcBorders>
            <w:shd w:fill="FFFFFF" w:val="clear"/>
          </w:tcPr>
          <w:p>
            <w:pPr>
              <w:jc w:val="center"/>
            </w:pPr>
            <w:r>
              <w:rPr>
                <w:rFonts w:ascii="Arial" w:cs="Arial" w:eastAsia="Arial" w:hAnsi="Arial"/>
                <w:b w:val="false"/>
                <w:bCs w:val="false"/>
                <w:i w:val="false"/>
                <w:iCs w:val="false"/>
                <w:color w:val="1F1F1F"/>
                <w:sz w:val="18"/>
                <w:szCs w:val="18"/>
              </w:rPr>
              <w:t xml:space="preserve">Custom</w:t>
            </w:r>
          </w:p>
        </w:tc>
      </w:tr>
      <w:tr>
        <w:tc>
          <w:tcPr>
            <w:tcW w:type="dxa" w:w="1400"/>
            <w:tcBorders>
              <w:top w:val="single" w:color="CCCCCC" w:sz="1"/>
              <w:left w:val="single" w:color="CCCCCC" w:sz="1"/>
              <w:bottom w:val="single" w:color="CCCCCC" w:sz="1"/>
              <w:right w:val="single" w:color="CCCCCC" w:sz="1"/>
            </w:tcBorders>
            <w:shd w:fill="D5E8F0" w:val="clear"/>
          </w:tcPr>
          <w:p>
            <w:pPr>
              <w:jc w:val="left"/>
            </w:pPr>
            <w:r>
              <w:rPr>
                <w:rFonts w:ascii="Arial" w:cs="Arial" w:eastAsia="Arial" w:hAnsi="Arial"/>
                <w:b/>
                <w:bCs/>
                <w:i w:val="false"/>
                <w:iCs w:val="false"/>
                <w:color w:val="1F3864"/>
                <w:sz w:val="18"/>
                <w:szCs w:val="18"/>
              </w:rPr>
              <w:t xml:space="preserve">Corrections</w:t>
            </w:r>
          </w:p>
        </w:tc>
        <w:tc>
          <w:tcPr>
            <w:tcW w:type="dxa" w:w="1300"/>
            <w:tcBorders>
              <w:top w:val="single" w:color="CCCCCC" w:sz="1"/>
              <w:left w:val="single" w:color="CCCCCC" w:sz="1"/>
              <w:bottom w:val="single" w:color="CCCCCC" w:sz="1"/>
              <w:right w:val="single" w:color="CCCCCC" w:sz="1"/>
            </w:tcBorders>
            <w:shd w:fill="F2F2F2" w:val="clear"/>
          </w:tcPr>
          <w:p>
            <w:pPr>
              <w:jc w:val="center"/>
            </w:pPr>
            <w:r>
              <w:rPr>
                <w:rFonts w:ascii="Arial" w:cs="Arial" w:eastAsia="Arial" w:hAnsi="Arial"/>
                <w:b w:val="false"/>
                <w:bCs w:val="false"/>
                <w:i w:val="false"/>
                <w:iCs w:val="false"/>
                <w:color w:val="1F1F1F"/>
                <w:sz w:val="18"/>
                <w:szCs w:val="18"/>
              </w:rPr>
              <w:t xml:space="preserve">None</w:t>
            </w:r>
          </w:p>
        </w:tc>
        <w:tc>
          <w:tcPr>
            <w:tcW w:type="dxa" w:w="1300"/>
            <w:tcBorders>
              <w:top w:val="single" w:color="CCCCCC" w:sz="1"/>
              <w:left w:val="single" w:color="CCCCCC" w:sz="1"/>
              <w:bottom w:val="single" w:color="CCCCCC" w:sz="1"/>
              <w:right w:val="single" w:color="CCCCCC" w:sz="1"/>
            </w:tcBorders>
            <w:shd w:fill="F2F2F2" w:val="clear"/>
          </w:tcPr>
          <w:p>
            <w:pPr>
              <w:jc w:val="center"/>
            </w:pPr>
            <w:r>
              <w:rPr>
                <w:rFonts w:ascii="Arial" w:cs="Arial" w:eastAsia="Arial" w:hAnsi="Arial"/>
                <w:b w:val="false"/>
                <w:bCs w:val="false"/>
                <w:i w:val="false"/>
                <w:iCs w:val="false"/>
                <w:color w:val="1F1F1F"/>
                <w:sz w:val="18"/>
                <w:szCs w:val="18"/>
              </w:rPr>
              <w:t xml:space="preserve">100</w:t>
            </w:r>
          </w:p>
        </w:tc>
        <w:tc>
          <w:tcPr>
            <w:tcW w:type="dxa" w:w="1300"/>
            <w:tcBorders>
              <w:top w:val="single" w:color="CCCCCC" w:sz="1"/>
              <w:left w:val="single" w:color="CCCCCC" w:sz="1"/>
              <w:bottom w:val="single" w:color="CCCCCC" w:sz="1"/>
              <w:right w:val="single" w:color="CCCCCC" w:sz="1"/>
            </w:tcBorders>
            <w:shd w:fill="F2F2F2" w:val="clear"/>
          </w:tcPr>
          <w:p>
            <w:pPr>
              <w:jc w:val="center"/>
            </w:pPr>
            <w:r>
              <w:rPr>
                <w:rFonts w:ascii="Arial" w:cs="Arial" w:eastAsia="Arial" w:hAnsi="Arial"/>
                <w:b w:val="false"/>
                <w:bCs w:val="false"/>
                <w:i w:val="false"/>
                <w:iCs w:val="false"/>
                <w:color w:val="1F1F1F"/>
                <w:sz w:val="18"/>
                <w:szCs w:val="18"/>
              </w:rPr>
              <w:t xml:space="preserve">Full cascade</w:t>
            </w:r>
          </w:p>
        </w:tc>
        <w:tc>
          <w:tcPr>
            <w:tcW w:type="dxa" w:w="1500"/>
            <w:tcBorders>
              <w:top w:val="single" w:color="CCCCCC" w:sz="1"/>
              <w:left w:val="single" w:color="CCCCCC" w:sz="1"/>
              <w:bottom w:val="single" w:color="CCCCCC" w:sz="1"/>
              <w:right w:val="single" w:color="CCCCCC" w:sz="1"/>
            </w:tcBorders>
            <w:shd w:fill="F2F2F2" w:val="clear"/>
          </w:tcPr>
          <w:p>
            <w:pPr>
              <w:jc w:val="center"/>
            </w:pPr>
            <w:r>
              <w:rPr>
                <w:rFonts w:ascii="Arial" w:cs="Arial" w:eastAsia="Arial" w:hAnsi="Arial"/>
                <w:b w:val="false"/>
                <w:bCs w:val="false"/>
                <w:i w:val="false"/>
                <w:iCs w:val="false"/>
                <w:color w:val="1F1F1F"/>
                <w:sz w:val="18"/>
                <w:szCs w:val="18"/>
              </w:rPr>
              <w:t xml:space="preserve">Full cascade + priority</w:t>
            </w:r>
          </w:p>
        </w:tc>
        <w:tc>
          <w:tcPr>
            <w:tcW w:type="dxa" w:w="2560"/>
            <w:tcBorders>
              <w:top w:val="single" w:color="CCCCCC" w:sz="1"/>
              <w:left w:val="single" w:color="CCCCCC" w:sz="1"/>
              <w:bottom w:val="single" w:color="CCCCCC" w:sz="1"/>
              <w:right w:val="single" w:color="CCCCCC" w:sz="1"/>
            </w:tcBorders>
            <w:shd w:fill="F2F2F2" w:val="clear"/>
          </w:tcPr>
          <w:p>
            <w:pPr>
              <w:jc w:val="center"/>
            </w:pPr>
            <w:r>
              <w:rPr>
                <w:rFonts w:ascii="Arial" w:cs="Arial" w:eastAsia="Arial" w:hAnsi="Arial"/>
                <w:b w:val="false"/>
                <w:bCs w:val="false"/>
                <w:i w:val="false"/>
                <w:iCs w:val="false"/>
                <w:color w:val="1F1F1F"/>
                <w:sz w:val="18"/>
                <w:szCs w:val="18"/>
              </w:rPr>
              <w:t xml:space="preserve">Custom</w:t>
            </w:r>
          </w:p>
        </w:tc>
      </w:tr>
      <w:tr>
        <w:tc>
          <w:tcPr>
            <w:tcW w:type="dxa" w:w="1400"/>
            <w:tcBorders>
              <w:top w:val="single" w:color="CCCCCC" w:sz="1"/>
              <w:left w:val="single" w:color="CCCCCC" w:sz="1"/>
              <w:bottom w:val="single" w:color="CCCCCC" w:sz="1"/>
              <w:right w:val="single" w:color="CCCCCC" w:sz="1"/>
            </w:tcBorders>
            <w:shd w:fill="D5E8F0" w:val="clear"/>
          </w:tcPr>
          <w:p>
            <w:pPr>
              <w:jc w:val="left"/>
            </w:pPr>
            <w:r>
              <w:rPr>
                <w:rFonts w:ascii="Arial" w:cs="Arial" w:eastAsia="Arial" w:hAnsi="Arial"/>
                <w:b/>
                <w:bCs/>
                <w:i w:val="false"/>
                <w:iCs w:val="false"/>
                <w:color w:val="1F3864"/>
                <w:sz w:val="18"/>
                <w:szCs w:val="18"/>
              </w:rPr>
              <w:t xml:space="preserve">Data retention</w:t>
            </w:r>
          </w:p>
        </w:tc>
        <w:tc>
          <w:tcPr>
            <w:tcW w:type="dxa" w:w="1300"/>
            <w:tcBorders>
              <w:top w:val="single" w:color="CCCCCC" w:sz="1"/>
              <w:left w:val="single" w:color="CCCCCC" w:sz="1"/>
              <w:bottom w:val="single" w:color="CCCCCC" w:sz="1"/>
              <w:right w:val="single" w:color="CCCCCC" w:sz="1"/>
            </w:tcBorders>
            <w:shd w:fill="FFFFFF" w:val="clear"/>
          </w:tcPr>
          <w:p>
            <w:pPr>
              <w:jc w:val="center"/>
            </w:pPr>
            <w:r>
              <w:rPr>
                <w:rFonts w:ascii="Arial" w:cs="Arial" w:eastAsia="Arial" w:hAnsi="Arial"/>
                <w:b w:val="false"/>
                <w:bCs w:val="false"/>
                <w:i w:val="false"/>
                <w:iCs w:val="false"/>
                <w:color w:val="1F1F1F"/>
                <w:sz w:val="18"/>
                <w:szCs w:val="18"/>
              </w:rPr>
              <w:t xml:space="preserve">1 day</w:t>
            </w:r>
          </w:p>
        </w:tc>
        <w:tc>
          <w:tcPr>
            <w:tcW w:type="dxa" w:w="1300"/>
            <w:tcBorders>
              <w:top w:val="single" w:color="CCCCCC" w:sz="1"/>
              <w:left w:val="single" w:color="CCCCCC" w:sz="1"/>
              <w:bottom w:val="single" w:color="CCCCCC" w:sz="1"/>
              <w:right w:val="single" w:color="CCCCCC" w:sz="1"/>
            </w:tcBorders>
            <w:shd w:fill="FFFFFF" w:val="clear"/>
          </w:tcPr>
          <w:p>
            <w:pPr>
              <w:jc w:val="center"/>
            </w:pPr>
            <w:r>
              <w:rPr>
                <w:rFonts w:ascii="Arial" w:cs="Arial" w:eastAsia="Arial" w:hAnsi="Arial"/>
                <w:b w:val="false"/>
                <w:bCs w:val="false"/>
                <w:i w:val="false"/>
                <w:iCs w:val="false"/>
                <w:color w:val="1F1F1F"/>
                <w:sz w:val="18"/>
                <w:szCs w:val="18"/>
              </w:rPr>
              <w:t xml:space="preserve">7 days</w:t>
            </w:r>
          </w:p>
        </w:tc>
        <w:tc>
          <w:tcPr>
            <w:tcW w:type="dxa" w:w="1300"/>
            <w:tcBorders>
              <w:top w:val="single" w:color="CCCCCC" w:sz="1"/>
              <w:left w:val="single" w:color="CCCCCC" w:sz="1"/>
              <w:bottom w:val="single" w:color="CCCCCC" w:sz="1"/>
              <w:right w:val="single" w:color="CCCCCC" w:sz="1"/>
            </w:tcBorders>
            <w:shd w:fill="FFFFFF" w:val="clear"/>
          </w:tcPr>
          <w:p>
            <w:pPr>
              <w:jc w:val="center"/>
            </w:pPr>
            <w:r>
              <w:rPr>
                <w:rFonts w:ascii="Arial" w:cs="Arial" w:eastAsia="Arial" w:hAnsi="Arial"/>
                <w:b w:val="false"/>
                <w:bCs w:val="false"/>
                <w:i w:val="false"/>
                <w:iCs w:val="false"/>
                <w:color w:val="1F1F1F"/>
                <w:sz w:val="18"/>
                <w:szCs w:val="18"/>
              </w:rPr>
              <w:t xml:space="preserve">30 days</w:t>
            </w:r>
          </w:p>
        </w:tc>
        <w:tc>
          <w:tcPr>
            <w:tcW w:type="dxa" w:w="1500"/>
            <w:tcBorders>
              <w:top w:val="single" w:color="CCCCCC" w:sz="1"/>
              <w:left w:val="single" w:color="CCCCCC" w:sz="1"/>
              <w:bottom w:val="single" w:color="CCCCCC" w:sz="1"/>
              <w:right w:val="single" w:color="CCCCCC" w:sz="1"/>
            </w:tcBorders>
            <w:shd w:fill="FFFFFF" w:val="clear"/>
          </w:tcPr>
          <w:p>
            <w:pPr>
              <w:jc w:val="center"/>
            </w:pPr>
            <w:r>
              <w:rPr>
                <w:rFonts w:ascii="Arial" w:cs="Arial" w:eastAsia="Arial" w:hAnsi="Arial"/>
                <w:b w:val="false"/>
                <w:bCs w:val="false"/>
                <w:i w:val="false"/>
                <w:iCs w:val="false"/>
                <w:color w:val="1F1F1F"/>
                <w:sz w:val="18"/>
                <w:szCs w:val="18"/>
              </w:rPr>
              <w:t xml:space="preserve">90 days</w:t>
            </w:r>
          </w:p>
        </w:tc>
        <w:tc>
          <w:tcPr>
            <w:tcW w:type="dxa" w:w="2560"/>
            <w:tcBorders>
              <w:top w:val="single" w:color="CCCCCC" w:sz="1"/>
              <w:left w:val="single" w:color="CCCCCC" w:sz="1"/>
              <w:bottom w:val="single" w:color="CCCCCC" w:sz="1"/>
              <w:right w:val="single" w:color="CCCCCC" w:sz="1"/>
            </w:tcBorders>
            <w:shd w:fill="FFFFFF" w:val="clear"/>
          </w:tcPr>
          <w:p>
            <w:pPr>
              <w:jc w:val="center"/>
            </w:pPr>
            <w:r>
              <w:rPr>
                <w:rFonts w:ascii="Arial" w:cs="Arial" w:eastAsia="Arial" w:hAnsi="Arial"/>
                <w:b w:val="false"/>
                <w:bCs w:val="false"/>
                <w:i w:val="false"/>
                <w:iCs w:val="false"/>
                <w:color w:val="1F1F1F"/>
                <w:sz w:val="18"/>
                <w:szCs w:val="18"/>
              </w:rPr>
              <w:t xml:space="preserve">Custom</w:t>
            </w:r>
          </w:p>
        </w:tc>
      </w:tr>
      <w:tr>
        <w:tc>
          <w:tcPr>
            <w:tcW w:type="dxa" w:w="1400"/>
            <w:tcBorders>
              <w:top w:val="single" w:color="CCCCCC" w:sz="1"/>
              <w:left w:val="single" w:color="CCCCCC" w:sz="1"/>
              <w:bottom w:val="single" w:color="CCCCCC" w:sz="1"/>
              <w:right w:val="single" w:color="CCCCCC" w:sz="1"/>
            </w:tcBorders>
            <w:shd w:fill="D5E8F0" w:val="clear"/>
          </w:tcPr>
          <w:p>
            <w:pPr>
              <w:jc w:val="left"/>
            </w:pPr>
            <w:r>
              <w:rPr>
                <w:rFonts w:ascii="Arial" w:cs="Arial" w:eastAsia="Arial" w:hAnsi="Arial"/>
                <w:b/>
                <w:bCs/>
                <w:i w:val="false"/>
                <w:iCs w:val="false"/>
                <w:color w:val="1F3864"/>
                <w:sz w:val="18"/>
                <w:szCs w:val="18"/>
              </w:rPr>
              <w:t xml:space="preserve">Rate limit</w:t>
            </w:r>
          </w:p>
        </w:tc>
        <w:tc>
          <w:tcPr>
            <w:tcW w:type="dxa" w:w="1300"/>
            <w:tcBorders>
              <w:top w:val="single" w:color="CCCCCC" w:sz="1"/>
              <w:left w:val="single" w:color="CCCCCC" w:sz="1"/>
              <w:bottom w:val="single" w:color="CCCCCC" w:sz="1"/>
              <w:right w:val="single" w:color="CCCCCC" w:sz="1"/>
            </w:tcBorders>
            <w:shd w:fill="F2F2F2" w:val="clear"/>
          </w:tcPr>
          <w:p>
            <w:pPr>
              <w:jc w:val="center"/>
            </w:pPr>
            <w:r>
              <w:rPr>
                <w:rFonts w:ascii="Arial" w:cs="Arial" w:eastAsia="Arial" w:hAnsi="Arial"/>
                <w:b w:val="false"/>
                <w:bCs w:val="false"/>
                <w:i w:val="false"/>
                <w:iCs w:val="false"/>
                <w:color w:val="1F1F1F"/>
                <w:sz w:val="18"/>
                <w:szCs w:val="18"/>
              </w:rPr>
              <w:t xml:space="preserve">100 RPM</w:t>
            </w:r>
          </w:p>
        </w:tc>
        <w:tc>
          <w:tcPr>
            <w:tcW w:type="dxa" w:w="1300"/>
            <w:tcBorders>
              <w:top w:val="single" w:color="CCCCCC" w:sz="1"/>
              <w:left w:val="single" w:color="CCCCCC" w:sz="1"/>
              <w:bottom w:val="single" w:color="CCCCCC" w:sz="1"/>
              <w:right w:val="single" w:color="CCCCCC" w:sz="1"/>
            </w:tcBorders>
            <w:shd w:fill="F2F2F2" w:val="clear"/>
          </w:tcPr>
          <w:p>
            <w:pPr>
              <w:jc w:val="center"/>
            </w:pPr>
            <w:r>
              <w:rPr>
                <w:rFonts w:ascii="Arial" w:cs="Arial" w:eastAsia="Arial" w:hAnsi="Arial"/>
                <w:b w:val="false"/>
                <w:bCs w:val="false"/>
                <w:i w:val="false"/>
                <w:iCs w:val="false"/>
                <w:color w:val="1F1F1F"/>
                <w:sz w:val="18"/>
                <w:szCs w:val="18"/>
              </w:rPr>
              <w:t xml:space="preserve">500 RPM</w:t>
            </w:r>
          </w:p>
        </w:tc>
        <w:tc>
          <w:tcPr>
            <w:tcW w:type="dxa" w:w="1300"/>
            <w:tcBorders>
              <w:top w:val="single" w:color="CCCCCC" w:sz="1"/>
              <w:left w:val="single" w:color="CCCCCC" w:sz="1"/>
              <w:bottom w:val="single" w:color="CCCCCC" w:sz="1"/>
              <w:right w:val="single" w:color="CCCCCC" w:sz="1"/>
            </w:tcBorders>
            <w:shd w:fill="F2F2F2" w:val="clear"/>
          </w:tcPr>
          <w:p>
            <w:pPr>
              <w:jc w:val="center"/>
            </w:pPr>
            <w:r>
              <w:rPr>
                <w:rFonts w:ascii="Arial" w:cs="Arial" w:eastAsia="Arial" w:hAnsi="Arial"/>
                <w:b w:val="false"/>
                <w:bCs w:val="false"/>
                <w:i w:val="false"/>
                <w:iCs w:val="false"/>
                <w:color w:val="1F1F1F"/>
                <w:sz w:val="18"/>
                <w:szCs w:val="18"/>
              </w:rPr>
              <w:t xml:space="preserve">1,000 RPM</w:t>
            </w:r>
          </w:p>
        </w:tc>
        <w:tc>
          <w:tcPr>
            <w:tcW w:type="dxa" w:w="1500"/>
            <w:tcBorders>
              <w:top w:val="single" w:color="CCCCCC" w:sz="1"/>
              <w:left w:val="single" w:color="CCCCCC" w:sz="1"/>
              <w:bottom w:val="single" w:color="CCCCCC" w:sz="1"/>
              <w:right w:val="single" w:color="CCCCCC" w:sz="1"/>
            </w:tcBorders>
            <w:shd w:fill="F2F2F2" w:val="clear"/>
          </w:tcPr>
          <w:p>
            <w:pPr>
              <w:jc w:val="center"/>
            </w:pPr>
            <w:r>
              <w:rPr>
                <w:rFonts w:ascii="Arial" w:cs="Arial" w:eastAsia="Arial" w:hAnsi="Arial"/>
                <w:b w:val="false"/>
                <w:bCs w:val="false"/>
                <w:i w:val="false"/>
                <w:iCs w:val="false"/>
                <w:color w:val="1F1F1F"/>
                <w:sz w:val="18"/>
                <w:szCs w:val="18"/>
              </w:rPr>
              <w:t xml:space="preserve">5,000 RPM</w:t>
            </w:r>
          </w:p>
        </w:tc>
        <w:tc>
          <w:tcPr>
            <w:tcW w:type="dxa" w:w="2560"/>
            <w:tcBorders>
              <w:top w:val="single" w:color="CCCCCC" w:sz="1"/>
              <w:left w:val="single" w:color="CCCCCC" w:sz="1"/>
              <w:bottom w:val="single" w:color="CCCCCC" w:sz="1"/>
              <w:right w:val="single" w:color="CCCCCC" w:sz="1"/>
            </w:tcBorders>
            <w:shd w:fill="F2F2F2" w:val="clear"/>
          </w:tcPr>
          <w:p>
            <w:pPr>
              <w:jc w:val="center"/>
            </w:pPr>
            <w:r>
              <w:rPr>
                <w:rFonts w:ascii="Arial" w:cs="Arial" w:eastAsia="Arial" w:hAnsi="Arial"/>
                <w:b w:val="false"/>
                <w:bCs w:val="false"/>
                <w:i w:val="false"/>
                <w:iCs w:val="false"/>
                <w:color w:val="1F1F1F"/>
                <w:sz w:val="18"/>
                <w:szCs w:val="18"/>
              </w:rPr>
              <w:t xml:space="preserve">Custom</w:t>
            </w:r>
          </w:p>
        </w:tc>
      </w:tr>
      <w:tr>
        <w:tc>
          <w:tcPr>
            <w:tcW w:type="dxa" w:w="1400"/>
            <w:tcBorders>
              <w:top w:val="single" w:color="CCCCCC" w:sz="1"/>
              <w:left w:val="single" w:color="CCCCCC" w:sz="1"/>
              <w:bottom w:val="single" w:color="CCCCCC" w:sz="1"/>
              <w:right w:val="single" w:color="CCCCCC" w:sz="1"/>
            </w:tcBorders>
            <w:shd w:fill="D5E8F0" w:val="clear"/>
          </w:tcPr>
          <w:p>
            <w:pPr>
              <w:jc w:val="left"/>
            </w:pPr>
            <w:r>
              <w:rPr>
                <w:rFonts w:ascii="Arial" w:cs="Arial" w:eastAsia="Arial" w:hAnsi="Arial"/>
                <w:b/>
                <w:bCs/>
                <w:i w:val="false"/>
                <w:iCs w:val="false"/>
                <w:color w:val="1F3864"/>
                <w:sz w:val="18"/>
                <w:szCs w:val="18"/>
              </w:rPr>
              <w:t xml:space="preserve">Overage</w:t>
            </w:r>
          </w:p>
        </w:tc>
        <w:tc>
          <w:tcPr>
            <w:tcW w:type="dxa" w:w="1300"/>
            <w:tcBorders>
              <w:top w:val="single" w:color="CCCCCC" w:sz="1"/>
              <w:left w:val="single" w:color="CCCCCC" w:sz="1"/>
              <w:bottom w:val="single" w:color="CCCCCC" w:sz="1"/>
              <w:right w:val="single" w:color="CCCCCC" w:sz="1"/>
            </w:tcBorders>
            <w:shd w:fill="FFFFFF" w:val="clear"/>
          </w:tcPr>
          <w:p>
            <w:pPr>
              <w:jc w:val="center"/>
            </w:pPr>
            <w:r>
              <w:rPr>
                <w:rFonts w:ascii="Arial" w:cs="Arial" w:eastAsia="Arial" w:hAnsi="Arial"/>
                <w:b w:val="false"/>
                <w:bCs w:val="false"/>
                <w:i w:val="false"/>
                <w:iCs w:val="false"/>
                <w:color w:val="1F1F1F"/>
                <w:sz w:val="18"/>
                <w:szCs w:val="18"/>
              </w:rPr>
              <w:t xml:space="preserve">Hard limit</w:t>
            </w:r>
          </w:p>
        </w:tc>
        <w:tc>
          <w:tcPr>
            <w:tcW w:type="dxa" w:w="1300"/>
            <w:tcBorders>
              <w:top w:val="single" w:color="CCCCCC" w:sz="1"/>
              <w:left w:val="single" w:color="CCCCCC" w:sz="1"/>
              <w:bottom w:val="single" w:color="CCCCCC" w:sz="1"/>
              <w:right w:val="single" w:color="CCCCCC" w:sz="1"/>
            </w:tcBorders>
            <w:shd w:fill="FFFFFF" w:val="clear"/>
          </w:tcPr>
          <w:p>
            <w:pPr>
              <w:jc w:val="center"/>
            </w:pPr>
            <w:r>
              <w:rPr>
                <w:rFonts w:ascii="Arial" w:cs="Arial" w:eastAsia="Arial" w:hAnsi="Arial"/>
                <w:b w:val="false"/>
                <w:bCs w:val="false"/>
                <w:i w:val="false"/>
                <w:iCs w:val="false"/>
                <w:color w:val="1F1F1F"/>
                <w:sz w:val="18"/>
                <w:szCs w:val="18"/>
              </w:rPr>
              <w:t xml:space="preserve">Hard limit</w:t>
            </w:r>
          </w:p>
        </w:tc>
        <w:tc>
          <w:tcPr>
            <w:tcW w:type="dxa" w:w="1300"/>
            <w:tcBorders>
              <w:top w:val="single" w:color="CCCCCC" w:sz="1"/>
              <w:left w:val="single" w:color="CCCCCC" w:sz="1"/>
              <w:bottom w:val="single" w:color="CCCCCC" w:sz="1"/>
              <w:right w:val="single" w:color="CCCCCC" w:sz="1"/>
            </w:tcBorders>
            <w:shd w:fill="FFFFFF" w:val="clear"/>
          </w:tcPr>
          <w:p>
            <w:pPr>
              <w:jc w:val="center"/>
            </w:pPr>
            <w:r>
              <w:rPr>
                <w:rFonts w:ascii="Arial" w:cs="Arial" w:eastAsia="Arial" w:hAnsi="Arial"/>
                <w:b w:val="false"/>
                <w:bCs w:val="false"/>
                <w:i w:val="false"/>
                <w:iCs w:val="false"/>
                <w:color w:val="1F1F1F"/>
                <w:sz w:val="18"/>
                <w:szCs w:val="18"/>
              </w:rPr>
              <w:t xml:space="preserve">$0.0005/obs, $0.005/verify</w:t>
            </w:r>
          </w:p>
        </w:tc>
        <w:tc>
          <w:tcPr>
            <w:tcW w:type="dxa" w:w="1500"/>
            <w:tcBorders>
              <w:top w:val="single" w:color="CCCCCC" w:sz="1"/>
              <w:left w:val="single" w:color="CCCCCC" w:sz="1"/>
              <w:bottom w:val="single" w:color="CCCCCC" w:sz="1"/>
              <w:right w:val="single" w:color="CCCCCC" w:sz="1"/>
            </w:tcBorders>
            <w:shd w:fill="FFFFFF" w:val="clear"/>
          </w:tcPr>
          <w:p>
            <w:pPr>
              <w:jc w:val="center"/>
            </w:pPr>
            <w:r>
              <w:rPr>
                <w:rFonts w:ascii="Arial" w:cs="Arial" w:eastAsia="Arial" w:hAnsi="Arial"/>
                <w:b w:val="false"/>
                <w:bCs w:val="false"/>
                <w:i w:val="false"/>
                <w:iCs w:val="false"/>
                <w:color w:val="1F1F1F"/>
                <w:sz w:val="18"/>
                <w:szCs w:val="18"/>
              </w:rPr>
              <w:t xml:space="preserve">$0.0004/obs, $0.004/verify</w:t>
            </w:r>
          </w:p>
        </w:tc>
        <w:tc>
          <w:tcPr>
            <w:tcW w:type="dxa" w:w="2560"/>
            <w:tcBorders>
              <w:top w:val="single" w:color="CCCCCC" w:sz="1"/>
              <w:left w:val="single" w:color="CCCCCC" w:sz="1"/>
              <w:bottom w:val="single" w:color="CCCCCC" w:sz="1"/>
              <w:right w:val="single" w:color="CCCCCC" w:sz="1"/>
            </w:tcBorders>
            <w:shd w:fill="FFFFFF" w:val="clear"/>
          </w:tcPr>
          <w:p>
            <w:pPr>
              <w:jc w:val="center"/>
            </w:pPr>
            <w:r>
              <w:rPr>
                <w:rFonts w:ascii="Arial" w:cs="Arial" w:eastAsia="Arial" w:hAnsi="Arial"/>
                <w:b w:val="false"/>
                <w:bCs w:val="false"/>
                <w:i w:val="false"/>
                <w:iCs w:val="false"/>
                <w:color w:val="1F1F1F"/>
                <w:sz w:val="18"/>
                <w:szCs w:val="18"/>
              </w:rPr>
              <w:t xml:space="preserve">N/A</w:t>
            </w:r>
          </w:p>
        </w:tc>
      </w:tr>
      <w:tr>
        <w:tc>
          <w:tcPr>
            <w:tcW w:type="dxa" w:w="1400"/>
            <w:tcBorders>
              <w:top w:val="single" w:color="CCCCCC" w:sz="1"/>
              <w:left w:val="single" w:color="CCCCCC" w:sz="1"/>
              <w:bottom w:val="single" w:color="CCCCCC" w:sz="1"/>
              <w:right w:val="single" w:color="CCCCCC" w:sz="1"/>
            </w:tcBorders>
            <w:shd w:fill="D5E8F0" w:val="clear"/>
          </w:tcPr>
          <w:p>
            <w:pPr>
              <w:jc w:val="left"/>
            </w:pPr>
            <w:r>
              <w:rPr>
                <w:rFonts w:ascii="Arial" w:cs="Arial" w:eastAsia="Arial" w:hAnsi="Arial"/>
                <w:b/>
                <w:bCs/>
                <w:i w:val="false"/>
                <w:iCs w:val="false"/>
                <w:color w:val="1F3864"/>
                <w:sz w:val="18"/>
                <w:szCs w:val="18"/>
              </w:rPr>
              <w:t xml:space="preserve">Support</w:t>
            </w:r>
          </w:p>
        </w:tc>
        <w:tc>
          <w:tcPr>
            <w:tcW w:type="dxa" w:w="1300"/>
            <w:tcBorders>
              <w:top w:val="single" w:color="CCCCCC" w:sz="1"/>
              <w:left w:val="single" w:color="CCCCCC" w:sz="1"/>
              <w:bottom w:val="single" w:color="CCCCCC" w:sz="1"/>
              <w:right w:val="single" w:color="CCCCCC" w:sz="1"/>
            </w:tcBorders>
            <w:shd w:fill="F2F2F2" w:val="clear"/>
          </w:tcPr>
          <w:p>
            <w:pPr>
              <w:jc w:val="center"/>
            </w:pPr>
            <w:r>
              <w:rPr>
                <w:rFonts w:ascii="Arial" w:cs="Arial" w:eastAsia="Arial" w:hAnsi="Arial"/>
                <w:b w:val="false"/>
                <w:bCs w:val="false"/>
                <w:i w:val="false"/>
                <w:iCs w:val="false"/>
                <w:color w:val="1F1F1F"/>
                <w:sz w:val="18"/>
                <w:szCs w:val="18"/>
              </w:rPr>
              <w:t xml:space="preserve">Community</w:t>
            </w:r>
          </w:p>
        </w:tc>
        <w:tc>
          <w:tcPr>
            <w:tcW w:type="dxa" w:w="1300"/>
            <w:tcBorders>
              <w:top w:val="single" w:color="CCCCCC" w:sz="1"/>
              <w:left w:val="single" w:color="CCCCCC" w:sz="1"/>
              <w:bottom w:val="single" w:color="CCCCCC" w:sz="1"/>
              <w:right w:val="single" w:color="CCCCCC" w:sz="1"/>
            </w:tcBorders>
            <w:shd w:fill="F2F2F2" w:val="clear"/>
          </w:tcPr>
          <w:p>
            <w:pPr>
              <w:jc w:val="center"/>
            </w:pPr>
            <w:r>
              <w:rPr>
                <w:rFonts w:ascii="Arial" w:cs="Arial" w:eastAsia="Arial" w:hAnsi="Arial"/>
                <w:b w:val="false"/>
                <w:bCs w:val="false"/>
                <w:i w:val="false"/>
                <w:iCs w:val="false"/>
                <w:color w:val="1F1F1F"/>
                <w:sz w:val="18"/>
                <w:szCs w:val="18"/>
              </w:rPr>
              <w:t xml:space="preserve">Email</w:t>
            </w:r>
          </w:p>
        </w:tc>
        <w:tc>
          <w:tcPr>
            <w:tcW w:type="dxa" w:w="1300"/>
            <w:tcBorders>
              <w:top w:val="single" w:color="CCCCCC" w:sz="1"/>
              <w:left w:val="single" w:color="CCCCCC" w:sz="1"/>
              <w:bottom w:val="single" w:color="CCCCCC" w:sz="1"/>
              <w:right w:val="single" w:color="CCCCCC" w:sz="1"/>
            </w:tcBorders>
            <w:shd w:fill="F2F2F2" w:val="clear"/>
          </w:tcPr>
          <w:p>
            <w:pPr>
              <w:jc w:val="center"/>
            </w:pPr>
            <w:r>
              <w:rPr>
                <w:rFonts w:ascii="Arial" w:cs="Arial" w:eastAsia="Arial" w:hAnsi="Arial"/>
                <w:b w:val="false"/>
                <w:bCs w:val="false"/>
                <w:i w:val="false"/>
                <w:iCs w:val="false"/>
                <w:color w:val="1F1F1F"/>
                <w:sz w:val="18"/>
                <w:szCs w:val="18"/>
              </w:rPr>
              <w:t xml:space="preserve">Email (48h)</w:t>
            </w:r>
          </w:p>
        </w:tc>
        <w:tc>
          <w:tcPr>
            <w:tcW w:type="dxa" w:w="1500"/>
            <w:tcBorders>
              <w:top w:val="single" w:color="CCCCCC" w:sz="1"/>
              <w:left w:val="single" w:color="CCCCCC" w:sz="1"/>
              <w:bottom w:val="single" w:color="CCCCCC" w:sz="1"/>
              <w:right w:val="single" w:color="CCCCCC" w:sz="1"/>
            </w:tcBorders>
            <w:shd w:fill="F2F2F2" w:val="clear"/>
          </w:tcPr>
          <w:p>
            <w:pPr>
              <w:jc w:val="center"/>
            </w:pPr>
            <w:r>
              <w:rPr>
                <w:rFonts w:ascii="Arial" w:cs="Arial" w:eastAsia="Arial" w:hAnsi="Arial"/>
                <w:b w:val="false"/>
                <w:bCs w:val="false"/>
                <w:i w:val="false"/>
                <w:iCs w:val="false"/>
                <w:color w:val="1F1F1F"/>
                <w:sz w:val="18"/>
                <w:szCs w:val="18"/>
              </w:rPr>
              <w:t xml:space="preserve">Priority (24h)</w:t>
            </w:r>
          </w:p>
        </w:tc>
        <w:tc>
          <w:tcPr>
            <w:tcW w:type="dxa" w:w="2560"/>
            <w:tcBorders>
              <w:top w:val="single" w:color="CCCCCC" w:sz="1"/>
              <w:left w:val="single" w:color="CCCCCC" w:sz="1"/>
              <w:bottom w:val="single" w:color="CCCCCC" w:sz="1"/>
              <w:right w:val="single" w:color="CCCCCC" w:sz="1"/>
            </w:tcBorders>
            <w:shd w:fill="F2F2F2" w:val="clear"/>
          </w:tcPr>
          <w:p>
            <w:pPr>
              <w:jc w:val="center"/>
            </w:pPr>
            <w:r>
              <w:rPr>
                <w:rFonts w:ascii="Arial" w:cs="Arial" w:eastAsia="Arial" w:hAnsi="Arial"/>
                <w:b w:val="false"/>
                <w:bCs w:val="false"/>
                <w:i w:val="false"/>
                <w:iCs w:val="false"/>
                <w:color w:val="1F1F1F"/>
                <w:sz w:val="18"/>
                <w:szCs w:val="18"/>
              </w:rPr>
              <w:t xml:space="preserve">Dedicated</w:t>
            </w:r>
          </w:p>
        </w:tc>
      </w:tr>
    </w:tbl>
    <w:p>
      <w:pPr>
        <w:spacing w:before="80" w:after="80"/>
      </w:pPr>
      <w:r>
        <w:t xml:space="preserve"/>
      </w:r>
    </w:p>
    <w:p>
      <w:pPr>
        <w:spacing w:before="40" w:after="40"/>
      </w:pPr>
      <w:r>
        <w:rPr>
          <w:rFonts w:ascii="Arial" w:cs="Arial" w:eastAsia="Arial" w:hAnsi="Arial"/>
          <w:b w:val="false"/>
          <w:bCs w:val="false"/>
          <w:i/>
          <w:iCs/>
          <w:color w:val="555555"/>
          <w:sz w:val="20"/>
          <w:szCs w:val="20"/>
        </w:rPr>
        <w:t xml:space="preserve">Competitively: Pro at $99/mo is significantly cheaper than Braintrust Pro ($249/mo). Galileo is sales-led (no public pricing). LangSmith and Langfuse scale by volume without fixed tiers.</w:t>
      </w:r>
    </w:p>
    <w:p>
      <w:pPr>
        <w:spacing w:before="80" w:after="80"/>
      </w:pPr>
      <w:r>
        <w:t xml:space="preserve"/>
      </w:r>
    </w:p>
    <w:p>
      <w:pPr>
        <w:pBdr>
          <w:bottom w:val="single" w:color="2E75B6" w:sz="6" w:space="1"/>
        </w:pBdr>
        <w:spacing w:before="280" w:after="100"/>
      </w:pPr>
      <w:r>
        <w:rPr>
          <w:rFonts w:ascii="Arial" w:cs="Arial" w:eastAsia="Arial" w:hAnsi="Arial"/>
          <w:b/>
          <w:bCs/>
          <w:color w:val="1F3864"/>
          <w:sz w:val="28"/>
          <w:szCs w:val="28"/>
        </w:rPr>
        <w:t xml:space="preserve">4. Market Sizing (TAM / SAM / SOM)</w:t>
      </w:r>
    </w:p>
    <w:p>
      <w:pPr>
        <w:spacing w:before="40" w:after="40"/>
      </w:pPr>
      <w:r>
        <w:rPr>
          <w:rFonts w:ascii="Arial" w:cs="Arial" w:eastAsia="Arial" w:hAnsi="Arial"/>
          <w:b w:val="false"/>
          <w:bCs w:val="false"/>
          <w:i w:val="false"/>
          <w:iCs w:val="false"/>
          <w:color w:val="1F1F1F"/>
          <w:sz w:val="20"/>
          <w:szCs w:val="20"/>
        </w:rPr>
        <w:t xml:space="preserve">Vex operates at the intersection of AI agent adoption and production reliability tooling. The market directly addressable by Vex is the Agentic AI Monitoring segment.</w:t>
      </w: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1100"/>
        <w:gridCol w:w="1100"/>
        <w:gridCol w:w="1200"/>
        <w:gridCol w:w="1200"/>
        <w:gridCol w:w="2160"/>
      </w:tblGrid>
      <w:tr>
        <w:tc>
          <w:tcPr>
            <w:tcW w:type="dxa" w:w="2600"/>
            <w:tcBorders>
              <w:top w:val="single" w:color="CCCCCC" w:sz="1"/>
              <w:left w:val="single" w:color="CCCCCC" w:sz="1"/>
              <w:bottom w:val="single" w:color="CCCCCC" w:sz="1"/>
              <w:right w:val="single" w:color="CCCCCC" w:sz="1"/>
            </w:tcBorders>
            <w:shd w:fill="1F3864" w:val="clear"/>
          </w:tcPr>
          <w:p>
            <w:pPr>
              <w:jc w:val="center"/>
            </w:pPr>
            <w:r>
              <w:rPr>
                <w:rFonts w:ascii="Arial" w:cs="Arial" w:eastAsia="Arial" w:hAnsi="Arial"/>
                <w:b/>
                <w:bCs/>
                <w:i w:val="false"/>
                <w:iCs w:val="false"/>
                <w:color w:val="FFFFFF"/>
                <w:sz w:val="18"/>
                <w:szCs w:val="18"/>
              </w:rPr>
              <w:t xml:space="preserve">Market Segment</w:t>
            </w:r>
          </w:p>
        </w:tc>
        <w:tc>
          <w:tcPr>
            <w:tcW w:type="dxa" w:w="1100"/>
            <w:tcBorders>
              <w:top w:val="single" w:color="CCCCCC" w:sz="1"/>
              <w:left w:val="single" w:color="CCCCCC" w:sz="1"/>
              <w:bottom w:val="single" w:color="CCCCCC" w:sz="1"/>
              <w:right w:val="single" w:color="CCCCCC" w:sz="1"/>
            </w:tcBorders>
            <w:shd w:fill="1F3864" w:val="clear"/>
          </w:tcPr>
          <w:p>
            <w:pPr>
              <w:jc w:val="center"/>
            </w:pPr>
            <w:r>
              <w:rPr>
                <w:rFonts w:ascii="Arial" w:cs="Arial" w:eastAsia="Arial" w:hAnsi="Arial"/>
                <w:b/>
                <w:bCs/>
                <w:i w:val="false"/>
                <w:iCs w:val="false"/>
                <w:color w:val="FFFFFF"/>
                <w:sz w:val="18"/>
                <w:szCs w:val="18"/>
              </w:rPr>
              <w:t xml:space="preserve">TAM 2025</w:t>
            </w:r>
          </w:p>
        </w:tc>
        <w:tc>
          <w:tcPr>
            <w:tcW w:type="dxa" w:w="1100"/>
            <w:tcBorders>
              <w:top w:val="single" w:color="CCCCCC" w:sz="1"/>
              <w:left w:val="single" w:color="CCCCCC" w:sz="1"/>
              <w:bottom w:val="single" w:color="CCCCCC" w:sz="1"/>
              <w:right w:val="single" w:color="CCCCCC" w:sz="1"/>
            </w:tcBorders>
            <w:shd w:fill="1F3864" w:val="clear"/>
          </w:tcPr>
          <w:p>
            <w:pPr>
              <w:jc w:val="center"/>
            </w:pPr>
            <w:r>
              <w:rPr>
                <w:rFonts w:ascii="Arial" w:cs="Arial" w:eastAsia="Arial" w:hAnsi="Arial"/>
                <w:b/>
                <w:bCs/>
                <w:i w:val="false"/>
                <w:iCs w:val="false"/>
                <w:color w:val="FFFFFF"/>
                <w:sz w:val="18"/>
                <w:szCs w:val="18"/>
              </w:rPr>
              <w:t xml:space="preserve">TAM 2030E</w:t>
            </w:r>
          </w:p>
        </w:tc>
        <w:tc>
          <w:tcPr>
            <w:tcW w:type="dxa" w:w="1200"/>
            <w:tcBorders>
              <w:top w:val="single" w:color="CCCCCC" w:sz="1"/>
              <w:left w:val="single" w:color="CCCCCC" w:sz="1"/>
              <w:bottom w:val="single" w:color="CCCCCC" w:sz="1"/>
              <w:right w:val="single" w:color="CCCCCC" w:sz="1"/>
            </w:tcBorders>
            <w:shd w:fill="1F3864" w:val="clear"/>
          </w:tcPr>
          <w:p>
            <w:pPr>
              <w:jc w:val="center"/>
            </w:pPr>
            <w:r>
              <w:rPr>
                <w:rFonts w:ascii="Arial" w:cs="Arial" w:eastAsia="Arial" w:hAnsi="Arial"/>
                <w:b/>
                <w:bCs/>
                <w:i w:val="false"/>
                <w:iCs w:val="false"/>
                <w:color w:val="FFFFFF"/>
                <w:sz w:val="18"/>
                <w:szCs w:val="18"/>
              </w:rPr>
              <w:t xml:space="preserve">SAM 2025E</w:t>
            </w:r>
          </w:p>
        </w:tc>
        <w:tc>
          <w:tcPr>
            <w:tcW w:type="dxa" w:w="1200"/>
            <w:tcBorders>
              <w:top w:val="single" w:color="CCCCCC" w:sz="1"/>
              <w:left w:val="single" w:color="CCCCCC" w:sz="1"/>
              <w:bottom w:val="single" w:color="CCCCCC" w:sz="1"/>
              <w:right w:val="single" w:color="CCCCCC" w:sz="1"/>
            </w:tcBorders>
            <w:shd w:fill="1F3864" w:val="clear"/>
          </w:tcPr>
          <w:p>
            <w:pPr>
              <w:jc w:val="center"/>
            </w:pPr>
            <w:r>
              <w:rPr>
                <w:rFonts w:ascii="Arial" w:cs="Arial" w:eastAsia="Arial" w:hAnsi="Arial"/>
                <w:b/>
                <w:bCs/>
                <w:i w:val="false"/>
                <w:iCs w:val="false"/>
                <w:color w:val="FFFFFF"/>
                <w:sz w:val="18"/>
                <w:szCs w:val="18"/>
              </w:rPr>
              <w:t xml:space="preserve">SOM 2025E</w:t>
            </w:r>
          </w:p>
        </w:tc>
        <w:tc>
          <w:tcPr>
            <w:tcW w:type="dxa" w:w="2160"/>
            <w:tcBorders>
              <w:top w:val="single" w:color="CCCCCC" w:sz="1"/>
              <w:left w:val="single" w:color="CCCCCC" w:sz="1"/>
              <w:bottom w:val="single" w:color="CCCCCC" w:sz="1"/>
              <w:right w:val="single" w:color="CCCCCC" w:sz="1"/>
            </w:tcBorders>
            <w:shd w:fill="1F3864" w:val="clear"/>
          </w:tcPr>
          <w:p>
            <w:pPr>
              <w:jc w:val="center"/>
            </w:pPr>
            <w:r>
              <w:rPr>
                <w:rFonts w:ascii="Arial" w:cs="Arial" w:eastAsia="Arial" w:hAnsi="Arial"/>
                <w:b/>
                <w:bCs/>
                <w:i w:val="false"/>
                <w:iCs w:val="false"/>
                <w:color w:val="FFFFFF"/>
                <w:sz w:val="18"/>
                <w:szCs w:val="18"/>
              </w:rPr>
              <w:t xml:space="preserve">CAGR / Source</w:t>
            </w:r>
          </w:p>
        </w:tc>
      </w:tr>
      <w:tr>
        <w:tc>
          <w:tcPr>
            <w:tcW w:type="dxa" w:w="2600"/>
            <w:tcBorders>
              <w:top w:val="single" w:color="CCCCCC" w:sz="1"/>
              <w:left w:val="single" w:color="CCCCCC" w:sz="1"/>
              <w:bottom w:val="single" w:color="CCCCCC" w:sz="1"/>
              <w:right w:val="single" w:color="CCCCCC" w:sz="1"/>
            </w:tcBorders>
            <w:shd w:fill="FFFFFF" w:val="clear"/>
          </w:tcPr>
          <w:p>
            <w:pPr>
              <w:jc w:val="left"/>
            </w:pPr>
            <w:r>
              <w:rPr>
                <w:rFonts w:ascii="Arial" w:cs="Arial" w:eastAsia="Arial" w:hAnsi="Arial"/>
                <w:b w:val="false"/>
                <w:bCs w:val="false"/>
                <w:i w:val="false"/>
                <w:iCs w:val="false"/>
                <w:color w:val="1F1F1F"/>
                <w:sz w:val="18"/>
                <w:szCs w:val="18"/>
              </w:rPr>
              <w:t xml:space="preserve">Overall Observability Tools &amp; Platforms</w:t>
            </w:r>
          </w:p>
        </w:tc>
        <w:tc>
          <w:tcPr>
            <w:tcW w:type="dxa" w:w="1100"/>
            <w:tcBorders>
              <w:top w:val="single" w:color="CCCCCC" w:sz="1"/>
              <w:left w:val="single" w:color="CCCCCC" w:sz="1"/>
              <w:bottom w:val="single" w:color="CCCCCC" w:sz="1"/>
              <w:right w:val="single" w:color="CCCCCC" w:sz="1"/>
            </w:tcBorders>
            <w:shd w:fill="FFFFFF" w:val="clear"/>
          </w:tcPr>
          <w:p>
            <w:pPr>
              <w:jc w:val="center"/>
            </w:pPr>
            <w:r>
              <w:rPr>
                <w:rFonts w:ascii="Arial" w:cs="Arial" w:eastAsia="Arial" w:hAnsi="Arial"/>
                <w:b w:val="false"/>
                <w:bCs w:val="false"/>
                <w:i w:val="false"/>
                <w:iCs w:val="false"/>
                <w:color w:val="1F1F1F"/>
                <w:sz w:val="18"/>
                <w:szCs w:val="18"/>
              </w:rPr>
              <w:t xml:space="preserve">$28.5B</w:t>
            </w:r>
          </w:p>
        </w:tc>
        <w:tc>
          <w:tcPr>
            <w:tcW w:type="dxa" w:w="1100"/>
            <w:tcBorders>
              <w:top w:val="single" w:color="CCCCCC" w:sz="1"/>
              <w:left w:val="single" w:color="CCCCCC" w:sz="1"/>
              <w:bottom w:val="single" w:color="CCCCCC" w:sz="1"/>
              <w:right w:val="single" w:color="CCCCCC" w:sz="1"/>
            </w:tcBorders>
            <w:shd w:fill="FFFFFF" w:val="clear"/>
          </w:tcPr>
          <w:p>
            <w:pPr>
              <w:jc w:val="center"/>
            </w:pPr>
            <w:r>
              <w:rPr>
                <w:rFonts w:ascii="Arial" w:cs="Arial" w:eastAsia="Arial" w:hAnsi="Arial"/>
                <w:b w:val="false"/>
                <w:bCs w:val="false"/>
                <w:i w:val="false"/>
                <w:iCs w:val="false"/>
                <w:color w:val="1F1F1F"/>
                <w:sz w:val="18"/>
                <w:szCs w:val="18"/>
              </w:rPr>
              <w:t xml:space="preserve">$172.1B</w:t>
            </w:r>
          </w:p>
        </w:tc>
        <w:tc>
          <w:tcPr>
            <w:tcW w:type="dxa" w:w="1200"/>
            <w:tcBorders>
              <w:top w:val="single" w:color="CCCCCC" w:sz="1"/>
              <w:left w:val="single" w:color="CCCCCC" w:sz="1"/>
              <w:bottom w:val="single" w:color="CCCCCC" w:sz="1"/>
              <w:right w:val="single" w:color="CCCCCC" w:sz="1"/>
            </w:tcBorders>
            <w:shd w:fill="FFFFFF" w:val="clear"/>
          </w:tcPr>
          <w:p>
            <w:pPr>
              <w:jc w:val="center"/>
            </w:pPr>
            <w:r>
              <w:rPr>
                <w:rFonts w:ascii="Arial" w:cs="Arial" w:eastAsia="Arial" w:hAnsi="Arial"/>
                <w:b w:val="false"/>
                <w:bCs w:val="false"/>
                <w:i w:val="false"/>
                <w:iCs w:val="false"/>
                <w:color w:val="1F1F1F"/>
                <w:sz w:val="18"/>
                <w:szCs w:val="18"/>
              </w:rPr>
              <w:t xml:space="preserve">N/A</w:t>
            </w:r>
          </w:p>
        </w:tc>
        <w:tc>
          <w:tcPr>
            <w:tcW w:type="dxa" w:w="1200"/>
            <w:tcBorders>
              <w:top w:val="single" w:color="CCCCCC" w:sz="1"/>
              <w:left w:val="single" w:color="CCCCCC" w:sz="1"/>
              <w:bottom w:val="single" w:color="CCCCCC" w:sz="1"/>
              <w:right w:val="single" w:color="CCCCCC" w:sz="1"/>
            </w:tcBorders>
            <w:shd w:fill="FFFFFF" w:val="clear"/>
          </w:tcPr>
          <w:p>
            <w:pPr>
              <w:jc w:val="center"/>
            </w:pPr>
            <w:r>
              <w:rPr>
                <w:rFonts w:ascii="Arial" w:cs="Arial" w:eastAsia="Arial" w:hAnsi="Arial"/>
                <w:b w:val="false"/>
                <w:bCs w:val="false"/>
                <w:i w:val="false"/>
                <w:iCs w:val="false"/>
                <w:color w:val="1F1F1F"/>
                <w:sz w:val="18"/>
                <w:szCs w:val="18"/>
              </w:rPr>
              <w:t xml:space="preserve">N/A</w:t>
            </w:r>
          </w:p>
        </w:tc>
        <w:tc>
          <w:tcPr>
            <w:tcW w:type="dxa" w:w="2160"/>
            <w:tcBorders>
              <w:top w:val="single" w:color="CCCCCC" w:sz="1"/>
              <w:left w:val="single" w:color="CCCCCC" w:sz="1"/>
              <w:bottom w:val="single" w:color="CCCCCC" w:sz="1"/>
              <w:right w:val="single" w:color="CCCCCC" w:sz="1"/>
            </w:tcBorders>
            <w:shd w:fill="FFFFFF" w:val="clear"/>
          </w:tcPr>
          <w:p>
            <w:pPr>
              <w:jc w:val="center"/>
            </w:pPr>
            <w:r>
              <w:rPr>
                <w:rFonts w:ascii="Arial" w:cs="Arial" w:eastAsia="Arial" w:hAnsi="Arial"/>
                <w:b w:val="false"/>
                <w:bCs w:val="false"/>
                <w:i w:val="false"/>
                <w:iCs w:val="false"/>
                <w:color w:val="1F1F1F"/>
                <w:sz w:val="18"/>
                <w:szCs w:val="18"/>
              </w:rPr>
              <w:t xml:space="preserve">19.7% — ResearchNester 2025</w:t>
            </w:r>
          </w:p>
        </w:tc>
      </w:tr>
      <w:tr>
        <w:tc>
          <w:tcPr>
            <w:tcW w:type="dxa" w:w="2600"/>
            <w:tcBorders>
              <w:top w:val="single" w:color="CCCCCC" w:sz="1"/>
              <w:left w:val="single" w:color="CCCCCC" w:sz="1"/>
              <w:bottom w:val="single" w:color="CCCCCC" w:sz="1"/>
              <w:right w:val="single" w:color="CCCCCC" w:sz="1"/>
            </w:tcBorders>
            <w:shd w:fill="F2F2F2" w:val="clear"/>
          </w:tcPr>
          <w:p>
            <w:pPr>
              <w:jc w:val="left"/>
            </w:pPr>
            <w:r>
              <w:rPr>
                <w:rFonts w:ascii="Arial" w:cs="Arial" w:eastAsia="Arial" w:hAnsi="Arial"/>
                <w:b w:val="false"/>
                <w:bCs w:val="false"/>
                <w:i w:val="false"/>
                <w:iCs w:val="false"/>
                <w:color w:val="1F1F1F"/>
                <w:sz w:val="18"/>
                <w:szCs w:val="18"/>
              </w:rPr>
              <w:t xml:space="preserve">AI-Specific Observability</w:t>
            </w:r>
          </w:p>
        </w:tc>
        <w:tc>
          <w:tcPr>
            <w:tcW w:type="dxa" w:w="1100"/>
            <w:tcBorders>
              <w:top w:val="single" w:color="CCCCCC" w:sz="1"/>
              <w:left w:val="single" w:color="CCCCCC" w:sz="1"/>
              <w:bottom w:val="single" w:color="CCCCCC" w:sz="1"/>
              <w:right w:val="single" w:color="CCCCCC" w:sz="1"/>
            </w:tcBorders>
            <w:shd w:fill="F2F2F2" w:val="clear"/>
          </w:tcPr>
          <w:p>
            <w:pPr>
              <w:jc w:val="center"/>
            </w:pPr>
            <w:r>
              <w:rPr>
                <w:rFonts w:ascii="Arial" w:cs="Arial" w:eastAsia="Arial" w:hAnsi="Arial"/>
                <w:b w:val="false"/>
                <w:bCs w:val="false"/>
                <w:i w:val="false"/>
                <w:iCs w:val="false"/>
                <w:color w:val="1F1F1F"/>
                <w:sz w:val="18"/>
                <w:szCs w:val="18"/>
              </w:rPr>
              <w:t xml:space="preserve">$1.7B</w:t>
            </w:r>
          </w:p>
        </w:tc>
        <w:tc>
          <w:tcPr>
            <w:tcW w:type="dxa" w:w="1100"/>
            <w:tcBorders>
              <w:top w:val="single" w:color="CCCCCC" w:sz="1"/>
              <w:left w:val="single" w:color="CCCCCC" w:sz="1"/>
              <w:bottom w:val="single" w:color="CCCCCC" w:sz="1"/>
              <w:right w:val="single" w:color="CCCCCC" w:sz="1"/>
            </w:tcBorders>
            <w:shd w:fill="F2F2F2" w:val="clear"/>
          </w:tcPr>
          <w:p>
            <w:pPr>
              <w:jc w:val="center"/>
            </w:pPr>
            <w:r>
              <w:rPr>
                <w:rFonts w:ascii="Arial" w:cs="Arial" w:eastAsia="Arial" w:hAnsi="Arial"/>
                <w:b w:val="false"/>
                <w:bCs w:val="false"/>
                <w:i w:val="false"/>
                <w:iCs w:val="false"/>
                <w:color w:val="1F1F1F"/>
                <w:sz w:val="18"/>
                <w:szCs w:val="18"/>
              </w:rPr>
              <w:t xml:space="preserve">$12.5B</w:t>
            </w:r>
          </w:p>
        </w:tc>
        <w:tc>
          <w:tcPr>
            <w:tcW w:type="dxa" w:w="1200"/>
            <w:tcBorders>
              <w:top w:val="single" w:color="CCCCCC" w:sz="1"/>
              <w:left w:val="single" w:color="CCCCCC" w:sz="1"/>
              <w:bottom w:val="single" w:color="CCCCCC" w:sz="1"/>
              <w:right w:val="single" w:color="CCCCCC" w:sz="1"/>
            </w:tcBorders>
            <w:shd w:fill="F2F2F2" w:val="clear"/>
          </w:tcPr>
          <w:p>
            <w:pPr>
              <w:jc w:val="center"/>
            </w:pPr>
            <w:r>
              <w:rPr>
                <w:rFonts w:ascii="Arial" w:cs="Arial" w:eastAsia="Arial" w:hAnsi="Arial"/>
                <w:b w:val="false"/>
                <w:bCs w:val="false"/>
                <w:i w:val="false"/>
                <w:iCs w:val="false"/>
                <w:color w:val="1F1F1F"/>
                <w:sz w:val="18"/>
                <w:szCs w:val="18"/>
              </w:rPr>
              <w:t xml:space="preserve">N/A</w:t>
            </w:r>
          </w:p>
        </w:tc>
        <w:tc>
          <w:tcPr>
            <w:tcW w:type="dxa" w:w="1200"/>
            <w:tcBorders>
              <w:top w:val="single" w:color="CCCCCC" w:sz="1"/>
              <w:left w:val="single" w:color="CCCCCC" w:sz="1"/>
              <w:bottom w:val="single" w:color="CCCCCC" w:sz="1"/>
              <w:right w:val="single" w:color="CCCCCC" w:sz="1"/>
            </w:tcBorders>
            <w:shd w:fill="F2F2F2" w:val="clear"/>
          </w:tcPr>
          <w:p>
            <w:pPr>
              <w:jc w:val="center"/>
            </w:pPr>
            <w:r>
              <w:rPr>
                <w:rFonts w:ascii="Arial" w:cs="Arial" w:eastAsia="Arial" w:hAnsi="Arial"/>
                <w:b w:val="false"/>
                <w:bCs w:val="false"/>
                <w:i w:val="false"/>
                <w:iCs w:val="false"/>
                <w:color w:val="1F1F1F"/>
                <w:sz w:val="18"/>
                <w:szCs w:val="18"/>
              </w:rPr>
              <w:t xml:space="preserve">N/A</w:t>
            </w:r>
          </w:p>
        </w:tc>
        <w:tc>
          <w:tcPr>
            <w:tcW w:type="dxa" w:w="2160"/>
            <w:tcBorders>
              <w:top w:val="single" w:color="CCCCCC" w:sz="1"/>
              <w:left w:val="single" w:color="CCCCCC" w:sz="1"/>
              <w:bottom w:val="single" w:color="CCCCCC" w:sz="1"/>
              <w:right w:val="single" w:color="CCCCCC" w:sz="1"/>
            </w:tcBorders>
            <w:shd w:fill="F2F2F2" w:val="clear"/>
          </w:tcPr>
          <w:p>
            <w:pPr>
              <w:jc w:val="center"/>
            </w:pPr>
            <w:r>
              <w:rPr>
                <w:rFonts w:ascii="Arial" w:cs="Arial" w:eastAsia="Arial" w:hAnsi="Arial"/>
                <w:b w:val="false"/>
                <w:bCs w:val="false"/>
                <w:i w:val="false"/>
                <w:iCs w:val="false"/>
                <w:color w:val="1F1F1F"/>
                <w:sz w:val="18"/>
                <w:szCs w:val="18"/>
              </w:rPr>
              <w:t xml:space="preserve">22.5% — CMI / Market.us 2025</w:t>
            </w:r>
          </w:p>
        </w:tc>
      </w:tr>
      <w:tr>
        <w:tc>
          <w:tcPr>
            <w:tcW w:type="dxa" w:w="2600"/>
            <w:tcBorders>
              <w:top w:val="single" w:color="CCCCCC" w:sz="1"/>
              <w:left w:val="single" w:color="CCCCCC" w:sz="1"/>
              <w:bottom w:val="single" w:color="CCCCCC" w:sz="1"/>
              <w:right w:val="single" w:color="CCCCCC" w:sz="1"/>
            </w:tcBorders>
            <w:shd w:fill="D6EAF8" w:val="clear"/>
          </w:tcPr>
          <w:p>
            <w:pPr>
              <w:jc w:val="left"/>
            </w:pPr>
            <w:r>
              <w:rPr>
                <w:rFonts w:ascii="Arial" w:cs="Arial" w:eastAsia="Arial" w:hAnsi="Arial"/>
                <w:b/>
                <w:bCs/>
                <w:i w:val="false"/>
                <w:iCs w:val="false"/>
                <w:color w:val="1F3864"/>
                <w:sz w:val="18"/>
                <w:szCs w:val="18"/>
              </w:rPr>
              <w:t xml:space="preserve">Agentic AI Monitoring — Vex's Core TAM ★</w:t>
            </w:r>
          </w:p>
        </w:tc>
        <w:tc>
          <w:tcPr>
            <w:tcW w:type="dxa" w:w="1100"/>
            <w:tcBorders>
              <w:top w:val="single" w:color="CCCCCC" w:sz="1"/>
              <w:left w:val="single" w:color="CCCCCC" w:sz="1"/>
              <w:bottom w:val="single" w:color="CCCCCC" w:sz="1"/>
              <w:right w:val="single" w:color="CCCCCC" w:sz="1"/>
            </w:tcBorders>
            <w:shd w:fill="D6EAF8" w:val="clear"/>
          </w:tcPr>
          <w:p>
            <w:pPr>
              <w:jc w:val="center"/>
            </w:pPr>
            <w:r>
              <w:rPr>
                <w:rFonts w:ascii="Arial" w:cs="Arial" w:eastAsia="Arial" w:hAnsi="Arial"/>
                <w:b/>
                <w:bCs/>
                <w:i w:val="false"/>
                <w:iCs w:val="false"/>
                <w:color w:val="1F1F1F"/>
                <w:sz w:val="18"/>
                <w:szCs w:val="18"/>
              </w:rPr>
              <w:t xml:space="preserve">$0.55B</w:t>
            </w:r>
          </w:p>
        </w:tc>
        <w:tc>
          <w:tcPr>
            <w:tcW w:type="dxa" w:w="1100"/>
            <w:tcBorders>
              <w:top w:val="single" w:color="CCCCCC" w:sz="1"/>
              <w:left w:val="single" w:color="CCCCCC" w:sz="1"/>
              <w:bottom w:val="single" w:color="CCCCCC" w:sz="1"/>
              <w:right w:val="single" w:color="CCCCCC" w:sz="1"/>
            </w:tcBorders>
            <w:shd w:fill="D6EAF8" w:val="clear"/>
          </w:tcPr>
          <w:p>
            <w:pPr>
              <w:jc w:val="center"/>
            </w:pPr>
            <w:r>
              <w:rPr>
                <w:rFonts w:ascii="Arial" w:cs="Arial" w:eastAsia="Arial" w:hAnsi="Arial"/>
                <w:b/>
                <w:bCs/>
                <w:i w:val="false"/>
                <w:iCs w:val="false"/>
                <w:color w:val="1F1F1F"/>
                <w:sz w:val="18"/>
                <w:szCs w:val="18"/>
              </w:rPr>
              <w:t xml:space="preserve">$2.05B</w:t>
            </w:r>
          </w:p>
        </w:tc>
        <w:tc>
          <w:tcPr>
            <w:tcW w:type="dxa" w:w="1200"/>
            <w:tcBorders>
              <w:top w:val="single" w:color="CCCCCC" w:sz="1"/>
              <w:left w:val="single" w:color="CCCCCC" w:sz="1"/>
              <w:bottom w:val="single" w:color="CCCCCC" w:sz="1"/>
              <w:right w:val="single" w:color="CCCCCC" w:sz="1"/>
            </w:tcBorders>
            <w:shd w:fill="D6EAF8" w:val="clear"/>
          </w:tcPr>
          <w:p>
            <w:pPr>
              <w:jc w:val="center"/>
            </w:pPr>
            <w:r>
              <w:rPr>
                <w:rFonts w:ascii="Arial" w:cs="Arial" w:eastAsia="Arial" w:hAnsi="Arial"/>
                <w:b/>
                <w:bCs/>
                <w:i w:val="false"/>
                <w:iCs w:val="false"/>
                <w:color w:val="1F1F1F"/>
                <w:sz w:val="18"/>
                <w:szCs w:val="18"/>
              </w:rPr>
              <w:t xml:space="preserve">~$275M</w:t>
            </w:r>
          </w:p>
        </w:tc>
        <w:tc>
          <w:tcPr>
            <w:tcW w:type="dxa" w:w="1200"/>
            <w:tcBorders>
              <w:top w:val="single" w:color="CCCCCC" w:sz="1"/>
              <w:left w:val="single" w:color="CCCCCC" w:sz="1"/>
              <w:bottom w:val="single" w:color="CCCCCC" w:sz="1"/>
              <w:right w:val="single" w:color="CCCCCC" w:sz="1"/>
            </w:tcBorders>
            <w:shd w:fill="D6EAF8" w:val="clear"/>
          </w:tcPr>
          <w:p>
            <w:pPr>
              <w:jc w:val="center"/>
            </w:pPr>
            <w:r>
              <w:rPr>
                <w:rFonts w:ascii="Arial" w:cs="Arial" w:eastAsia="Arial" w:hAnsi="Arial"/>
                <w:b/>
                <w:bCs/>
                <w:i w:val="false"/>
                <w:iCs w:val="false"/>
                <w:color w:val="1F1F1F"/>
                <w:sz w:val="18"/>
                <w:szCs w:val="18"/>
              </w:rPr>
              <w:t xml:space="preserve">~$27.5M</w:t>
            </w:r>
          </w:p>
        </w:tc>
        <w:tc>
          <w:tcPr>
            <w:tcW w:type="dxa" w:w="2160"/>
            <w:tcBorders>
              <w:top w:val="single" w:color="CCCCCC" w:sz="1"/>
              <w:left w:val="single" w:color="CCCCCC" w:sz="1"/>
              <w:bottom w:val="single" w:color="CCCCCC" w:sz="1"/>
              <w:right w:val="single" w:color="CCCCCC" w:sz="1"/>
            </w:tcBorders>
            <w:shd w:fill="D6EAF8" w:val="clear"/>
          </w:tcPr>
          <w:p>
            <w:pPr>
              <w:jc w:val="center"/>
            </w:pPr>
            <w:r>
              <w:rPr>
                <w:rFonts w:ascii="Arial" w:cs="Arial" w:eastAsia="Arial" w:hAnsi="Arial"/>
                <w:b/>
                <w:bCs/>
                <w:i w:val="false"/>
                <w:iCs w:val="false"/>
                <w:color w:val="1F1F1F"/>
                <w:sz w:val="18"/>
                <w:szCs w:val="18"/>
              </w:rPr>
              <w:t xml:space="preserve">30.1% — Mordor Intelligence 2025</w:t>
            </w:r>
          </w:p>
        </w:tc>
      </w:tr>
      <w:tr>
        <w:tc>
          <w:tcPr>
            <w:tcW w:type="dxa" w:w="2600"/>
            <w:tcBorders>
              <w:top w:val="single" w:color="CCCCCC" w:sz="1"/>
              <w:left w:val="single" w:color="CCCCCC" w:sz="1"/>
              <w:bottom w:val="single" w:color="CCCCCC" w:sz="1"/>
              <w:right w:val="single" w:color="CCCCCC" w:sz="1"/>
            </w:tcBorders>
            <w:shd w:fill="F2F2F2" w:val="clear"/>
          </w:tcPr>
          <w:p>
            <w:pPr>
              <w:jc w:val="left"/>
            </w:pPr>
            <w:r>
              <w:rPr>
                <w:rFonts w:ascii="Arial" w:cs="Arial" w:eastAsia="Arial" w:hAnsi="Arial"/>
                <w:b w:val="false"/>
                <w:bCs w:val="false"/>
                <w:i w:val="false"/>
                <w:iCs w:val="false"/>
                <w:color w:val="1F1F1F"/>
                <w:sz w:val="18"/>
                <w:szCs w:val="18"/>
              </w:rPr>
              <w:t xml:space="preserve">LLM / Agent Observability Sub-segment</w:t>
            </w:r>
          </w:p>
        </w:tc>
        <w:tc>
          <w:tcPr>
            <w:tcW w:type="dxa" w:w="1100"/>
            <w:tcBorders>
              <w:top w:val="single" w:color="CCCCCC" w:sz="1"/>
              <w:left w:val="single" w:color="CCCCCC" w:sz="1"/>
              <w:bottom w:val="single" w:color="CCCCCC" w:sz="1"/>
              <w:right w:val="single" w:color="CCCCCC" w:sz="1"/>
            </w:tcBorders>
            <w:shd w:fill="F2F2F2" w:val="clear"/>
          </w:tcPr>
          <w:p>
            <w:pPr>
              <w:jc w:val="center"/>
            </w:pPr>
            <w:r>
              <w:rPr>
                <w:rFonts w:ascii="Arial" w:cs="Arial" w:eastAsia="Arial" w:hAnsi="Arial"/>
                <w:b w:val="false"/>
                <w:bCs w:val="false"/>
                <w:i w:val="false"/>
                <w:iCs w:val="false"/>
                <w:color w:val="1F1F1F"/>
                <w:sz w:val="18"/>
                <w:szCs w:val="18"/>
              </w:rPr>
              <w:t xml:space="preserve">~$220M</w:t>
            </w:r>
          </w:p>
        </w:tc>
        <w:tc>
          <w:tcPr>
            <w:tcW w:type="dxa" w:w="1100"/>
            <w:tcBorders>
              <w:top w:val="single" w:color="CCCCCC" w:sz="1"/>
              <w:left w:val="single" w:color="CCCCCC" w:sz="1"/>
              <w:bottom w:val="single" w:color="CCCCCC" w:sz="1"/>
              <w:right w:val="single" w:color="CCCCCC" w:sz="1"/>
            </w:tcBorders>
            <w:shd w:fill="F2F2F2" w:val="clear"/>
          </w:tcPr>
          <w:p>
            <w:pPr>
              <w:jc w:val="center"/>
            </w:pPr>
            <w:r>
              <w:rPr>
                <w:rFonts w:ascii="Arial" w:cs="Arial" w:eastAsia="Arial" w:hAnsi="Arial"/>
                <w:b w:val="false"/>
                <w:bCs w:val="false"/>
                <w:i w:val="false"/>
                <w:iCs w:val="false"/>
                <w:color w:val="1F1F1F"/>
                <w:sz w:val="18"/>
                <w:szCs w:val="18"/>
              </w:rPr>
              <w:t xml:space="preserve">~$820M</w:t>
            </w:r>
          </w:p>
        </w:tc>
        <w:tc>
          <w:tcPr>
            <w:tcW w:type="dxa" w:w="1200"/>
            <w:tcBorders>
              <w:top w:val="single" w:color="CCCCCC" w:sz="1"/>
              <w:left w:val="single" w:color="CCCCCC" w:sz="1"/>
              <w:bottom w:val="single" w:color="CCCCCC" w:sz="1"/>
              <w:right w:val="single" w:color="CCCCCC" w:sz="1"/>
            </w:tcBorders>
            <w:shd w:fill="F2F2F2" w:val="clear"/>
          </w:tcPr>
          <w:p>
            <w:pPr>
              <w:jc w:val="center"/>
            </w:pPr>
            <w:r>
              <w:rPr>
                <w:rFonts w:ascii="Arial" w:cs="Arial" w:eastAsia="Arial" w:hAnsi="Arial"/>
                <w:b w:val="false"/>
                <w:bCs w:val="false"/>
                <w:i w:val="false"/>
                <w:iCs w:val="false"/>
                <w:color w:val="1F1F1F"/>
                <w:sz w:val="18"/>
                <w:szCs w:val="18"/>
              </w:rPr>
              <w:t xml:space="preserve">~$110M</w:t>
            </w:r>
          </w:p>
        </w:tc>
        <w:tc>
          <w:tcPr>
            <w:tcW w:type="dxa" w:w="1200"/>
            <w:tcBorders>
              <w:top w:val="single" w:color="CCCCCC" w:sz="1"/>
              <w:left w:val="single" w:color="CCCCCC" w:sz="1"/>
              <w:bottom w:val="single" w:color="CCCCCC" w:sz="1"/>
              <w:right w:val="single" w:color="CCCCCC" w:sz="1"/>
            </w:tcBorders>
            <w:shd w:fill="F2F2F2" w:val="clear"/>
          </w:tcPr>
          <w:p>
            <w:pPr>
              <w:jc w:val="center"/>
            </w:pPr>
            <w:r>
              <w:rPr>
                <w:rFonts w:ascii="Arial" w:cs="Arial" w:eastAsia="Arial" w:hAnsi="Arial"/>
                <w:b w:val="false"/>
                <w:bCs w:val="false"/>
                <w:i w:val="false"/>
                <w:iCs w:val="false"/>
                <w:color w:val="1F1F1F"/>
                <w:sz w:val="18"/>
                <w:szCs w:val="18"/>
              </w:rPr>
              <w:t xml:space="preserve">~$11M</w:t>
            </w:r>
          </w:p>
        </w:tc>
        <w:tc>
          <w:tcPr>
            <w:tcW w:type="dxa" w:w="2160"/>
            <w:tcBorders>
              <w:top w:val="single" w:color="CCCCCC" w:sz="1"/>
              <w:left w:val="single" w:color="CCCCCC" w:sz="1"/>
              <w:bottom w:val="single" w:color="CCCCCC" w:sz="1"/>
              <w:right w:val="single" w:color="CCCCCC" w:sz="1"/>
            </w:tcBorders>
            <w:shd w:fill="F2F2F2" w:val="clear"/>
          </w:tcPr>
          <w:p>
            <w:pPr>
              <w:jc w:val="center"/>
            </w:pPr>
            <w:r>
              <w:rPr>
                <w:rFonts w:ascii="Arial" w:cs="Arial" w:eastAsia="Arial" w:hAnsi="Arial"/>
                <w:b w:val="false"/>
                <w:bCs w:val="false"/>
                <w:i w:val="false"/>
                <w:iCs w:val="false"/>
                <w:color w:val="1F1F1F"/>
                <w:sz w:val="18"/>
                <w:szCs w:val="18"/>
              </w:rPr>
              <w:t xml:space="preserve">30.1% — Mordor Intelligence</w:t>
            </w:r>
          </w:p>
        </w:tc>
      </w:tr>
      <w:tr>
        <w:tc>
          <w:tcPr>
            <w:tcW w:type="dxa" w:w="2600"/>
            <w:tcBorders>
              <w:top w:val="single" w:color="CCCCCC" w:sz="1"/>
              <w:left w:val="single" w:color="CCCCCC" w:sz="1"/>
              <w:bottom w:val="single" w:color="CCCCCC" w:sz="1"/>
              <w:right w:val="single" w:color="CCCCCC" w:sz="1"/>
            </w:tcBorders>
            <w:shd w:fill="FFFFFF" w:val="clear"/>
          </w:tcPr>
          <w:p>
            <w:pPr>
              <w:jc w:val="left"/>
            </w:pPr>
            <w:r>
              <w:rPr>
                <w:rFonts w:ascii="Arial" w:cs="Arial" w:eastAsia="Arial" w:hAnsi="Arial"/>
                <w:b w:val="false"/>
                <w:bCs w:val="false"/>
                <w:i w:val="false"/>
                <w:iCs w:val="false"/>
                <w:color w:val="1F1F1F"/>
                <w:sz w:val="18"/>
                <w:szCs w:val="18"/>
              </w:rPr>
              <w:t xml:space="preserve">AI Agents Market (end-market served)</w:t>
            </w:r>
          </w:p>
        </w:tc>
        <w:tc>
          <w:tcPr>
            <w:tcW w:type="dxa" w:w="1100"/>
            <w:tcBorders>
              <w:top w:val="single" w:color="CCCCCC" w:sz="1"/>
              <w:left w:val="single" w:color="CCCCCC" w:sz="1"/>
              <w:bottom w:val="single" w:color="CCCCCC" w:sz="1"/>
              <w:right w:val="single" w:color="CCCCCC" w:sz="1"/>
            </w:tcBorders>
            <w:shd w:fill="FFFFFF" w:val="clear"/>
          </w:tcPr>
          <w:p>
            <w:pPr>
              <w:jc w:val="center"/>
            </w:pPr>
            <w:r>
              <w:rPr>
                <w:rFonts w:ascii="Arial" w:cs="Arial" w:eastAsia="Arial" w:hAnsi="Arial"/>
                <w:b w:val="false"/>
                <w:bCs w:val="false"/>
                <w:i w:val="false"/>
                <w:iCs w:val="false"/>
                <w:color w:val="1F1F1F"/>
                <w:sz w:val="18"/>
                <w:szCs w:val="18"/>
              </w:rPr>
              <w:t xml:space="preserve">$5.4B</w:t>
            </w:r>
          </w:p>
        </w:tc>
        <w:tc>
          <w:tcPr>
            <w:tcW w:type="dxa" w:w="1100"/>
            <w:tcBorders>
              <w:top w:val="single" w:color="CCCCCC" w:sz="1"/>
              <w:left w:val="single" w:color="CCCCCC" w:sz="1"/>
              <w:bottom w:val="single" w:color="CCCCCC" w:sz="1"/>
              <w:right w:val="single" w:color="CCCCCC" w:sz="1"/>
            </w:tcBorders>
            <w:shd w:fill="FFFFFF" w:val="clear"/>
          </w:tcPr>
          <w:p>
            <w:pPr>
              <w:jc w:val="center"/>
            </w:pPr>
            <w:r>
              <w:rPr>
                <w:rFonts w:ascii="Arial" w:cs="Arial" w:eastAsia="Arial" w:hAnsi="Arial"/>
                <w:b w:val="false"/>
                <w:bCs w:val="false"/>
                <w:i w:val="false"/>
                <w:iCs w:val="false"/>
                <w:color w:val="1F1F1F"/>
                <w:sz w:val="18"/>
                <w:szCs w:val="18"/>
              </w:rPr>
              <w:t xml:space="preserve">~$50B</w:t>
            </w:r>
          </w:p>
        </w:tc>
        <w:tc>
          <w:tcPr>
            <w:tcW w:type="dxa" w:w="1200"/>
            <w:tcBorders>
              <w:top w:val="single" w:color="CCCCCC" w:sz="1"/>
              <w:left w:val="single" w:color="CCCCCC" w:sz="1"/>
              <w:bottom w:val="single" w:color="CCCCCC" w:sz="1"/>
              <w:right w:val="single" w:color="CCCCCC" w:sz="1"/>
            </w:tcBorders>
            <w:shd w:fill="FFFFFF" w:val="clear"/>
          </w:tcPr>
          <w:p>
            <w:pPr>
              <w:jc w:val="center"/>
            </w:pPr>
            <w:r>
              <w:rPr>
                <w:rFonts w:ascii="Arial" w:cs="Arial" w:eastAsia="Arial" w:hAnsi="Arial"/>
                <w:b w:val="false"/>
                <w:bCs w:val="false"/>
                <w:i w:val="false"/>
                <w:iCs w:val="false"/>
                <w:color w:val="1F1F1F"/>
                <w:sz w:val="18"/>
                <w:szCs w:val="18"/>
              </w:rPr>
              <w:t xml:space="preserve">N/A</w:t>
            </w:r>
          </w:p>
        </w:tc>
        <w:tc>
          <w:tcPr>
            <w:tcW w:type="dxa" w:w="1200"/>
            <w:tcBorders>
              <w:top w:val="single" w:color="CCCCCC" w:sz="1"/>
              <w:left w:val="single" w:color="CCCCCC" w:sz="1"/>
              <w:bottom w:val="single" w:color="CCCCCC" w:sz="1"/>
              <w:right w:val="single" w:color="CCCCCC" w:sz="1"/>
            </w:tcBorders>
            <w:shd w:fill="FFFFFF" w:val="clear"/>
          </w:tcPr>
          <w:p>
            <w:pPr>
              <w:jc w:val="center"/>
            </w:pPr>
            <w:r>
              <w:rPr>
                <w:rFonts w:ascii="Arial" w:cs="Arial" w:eastAsia="Arial" w:hAnsi="Arial"/>
                <w:b w:val="false"/>
                <w:bCs w:val="false"/>
                <w:i w:val="false"/>
                <w:iCs w:val="false"/>
                <w:color w:val="1F1F1F"/>
                <w:sz w:val="18"/>
                <w:szCs w:val="18"/>
              </w:rPr>
              <w:t xml:space="preserve">N/A</w:t>
            </w:r>
          </w:p>
        </w:tc>
        <w:tc>
          <w:tcPr>
            <w:tcW w:type="dxa" w:w="2160"/>
            <w:tcBorders>
              <w:top w:val="single" w:color="CCCCCC" w:sz="1"/>
              <w:left w:val="single" w:color="CCCCCC" w:sz="1"/>
              <w:bottom w:val="single" w:color="CCCCCC" w:sz="1"/>
              <w:right w:val="single" w:color="CCCCCC" w:sz="1"/>
            </w:tcBorders>
            <w:shd w:fill="FFFFFF" w:val="clear"/>
          </w:tcPr>
          <w:p>
            <w:pPr>
              <w:jc w:val="center"/>
            </w:pPr>
            <w:r>
              <w:rPr>
                <w:rFonts w:ascii="Arial" w:cs="Arial" w:eastAsia="Arial" w:hAnsi="Arial"/>
                <w:b w:val="false"/>
                <w:bCs w:val="false"/>
                <w:i w:val="false"/>
                <w:iCs w:val="false"/>
                <w:color w:val="1F1F1F"/>
                <w:sz w:val="18"/>
                <w:szCs w:val="18"/>
              </w:rPr>
              <w:t xml:space="preserve">~45% — Precedence Research 2024</w:t>
            </w:r>
          </w:p>
        </w:tc>
      </w:tr>
    </w:tbl>
    <w:p>
      <w:pPr>
        <w:spacing w:before="80" w:after="80"/>
      </w:pPr>
      <w:r>
        <w:t xml:space="preserve"/>
      </w:r>
    </w:p>
    <w:p>
      <w:pPr>
        <w:pStyle w:val="ListParagraph"/>
        <w:numPr>
          <w:ilvl w:val="0"/>
          <w:numId w:val="2"/>
        </w:numPr>
      </w:pPr>
      <w:r>
        <w:rPr>
          <w:rFonts w:ascii="Arial" w:cs="Arial" w:eastAsia="Arial" w:hAnsi="Arial"/>
          <w:sz w:val="20"/>
          <w:szCs w:val="20"/>
        </w:rPr>
        <w:t xml:space="preserve">★ Vex's core TAM: $550M in 2025, growing at 30.1% CAGR to $2.05B by 2030 (Mordor Intelligence).</w:t>
      </w:r>
    </w:p>
    <w:p>
      <w:pPr>
        <w:pStyle w:val="ListParagraph"/>
        <w:numPr>
          <w:ilvl w:val="0"/>
          <w:numId w:val="2"/>
        </w:numPr>
      </w:pPr>
      <w:r>
        <w:rPr>
          <w:rFonts w:ascii="Arial" w:cs="Arial" w:eastAsia="Arial" w:hAnsi="Arial"/>
          <w:sz w:val="20"/>
          <w:szCs w:val="20"/>
        </w:rPr>
        <w:t xml:space="preserve">SAM ~$275M: assumes ~50% of companies deploying agents are actively seeking runtime monitoring.</w:t>
      </w:r>
    </w:p>
    <w:p>
      <w:pPr>
        <w:pStyle w:val="ListParagraph"/>
        <w:numPr>
          <w:ilvl w:val="0"/>
          <w:numId w:val="2"/>
        </w:numPr>
      </w:pPr>
      <w:r>
        <w:rPr>
          <w:rFonts w:ascii="Arial" w:cs="Arial" w:eastAsia="Arial" w:hAnsi="Arial"/>
          <w:sz w:val="20"/>
          <w:szCs w:val="20"/>
        </w:rPr>
        <w:t xml:space="preserve">SOM ~$27.5M: realistic near-term capture (~10% of SAM) for an early-stage startup.</w:t>
      </w:r>
    </w:p>
    <w:p>
      <w:pPr>
        <w:pStyle w:val="ListParagraph"/>
        <w:numPr>
          <w:ilvl w:val="0"/>
          <w:numId w:val="2"/>
        </w:numPr>
      </w:pPr>
      <w:r>
        <w:rPr>
          <w:rFonts w:ascii="Arial" w:cs="Arial" w:eastAsia="Arial" w:hAnsi="Arial"/>
          <w:sz w:val="20"/>
          <w:szCs w:val="20"/>
        </w:rPr>
        <w:t xml:space="preserve">The broader AI agents end-market ($5.4B → $50B by 2030, 45% CAGR) creates massive downstream demand.</w:t>
      </w:r>
    </w:p>
    <w:p>
      <w:pPr>
        <w:pStyle w:val="ListParagraph"/>
        <w:numPr>
          <w:ilvl w:val="0"/>
          <w:numId w:val="2"/>
        </w:numPr>
      </w:pPr>
      <w:r>
        <w:rPr>
          <w:rFonts w:ascii="Arial" w:cs="Arial" w:eastAsia="Arial" w:hAnsi="Arial"/>
          <w:sz w:val="20"/>
          <w:szCs w:val="20"/>
        </w:rPr>
        <w:t xml:space="preserve">EU AI Act (enforced Aug 2024) and NIST AI RMF accelerate enterprise demand for tamper-proof monitoring.</w:t>
      </w:r>
    </w:p>
    <w:p>
      <w:pPr>
        <w:spacing w:before="80" w:after="80"/>
      </w:pPr>
      <w:r>
        <w:t xml:space="preserve"/>
      </w:r>
    </w:p>
    <w:p>
      <w:pPr>
        <w:pBdr>
          <w:bottom w:val="single" w:color="2E75B6" w:sz="6" w:space="1"/>
        </w:pBdr>
        <w:spacing w:before="280" w:after="100"/>
      </w:pPr>
      <w:r>
        <w:rPr>
          <w:rFonts w:ascii="Arial" w:cs="Arial" w:eastAsia="Arial" w:hAnsi="Arial"/>
          <w:b/>
          <w:bCs/>
          <w:color w:val="1F3864"/>
          <w:sz w:val="28"/>
          <w:szCs w:val="28"/>
        </w:rPr>
        <w:t xml:space="preserve">5. Competitor Profiles</w:t>
      </w:r>
    </w:p>
    <w:p>
      <w:pPr>
        <w:spacing w:before="40" w:after="40"/>
      </w:pPr>
      <w:r>
        <w:rPr>
          <w:rFonts w:ascii="Arial" w:cs="Arial" w:eastAsia="Arial" w:hAnsi="Arial"/>
          <w:b w:val="false"/>
          <w:bCs w:val="false"/>
          <w:i w:val="false"/>
          <w:iCs w:val="false"/>
          <w:color w:val="1F1F1F"/>
          <w:sz w:val="20"/>
          <w:szCs w:val="20"/>
        </w:rPr>
        <w:t xml:space="preserve">The table below profiles all major competitors across funding, valuation, and strategic positioning. Vex is highlighted.</w:t>
      </w: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1500"/>
        <w:gridCol w:w="1300"/>
        <w:gridCol w:w="1500"/>
        <w:gridCol w:w="3360"/>
      </w:tblGrid>
      <w:tr>
        <w:tc>
          <w:tcPr>
            <w:tcW w:type="dxa" w:w="1700"/>
            <w:tcBorders>
              <w:top w:val="single" w:color="CCCCCC" w:sz="1"/>
              <w:left w:val="single" w:color="CCCCCC" w:sz="1"/>
              <w:bottom w:val="single" w:color="CCCCCC" w:sz="1"/>
              <w:right w:val="single" w:color="CCCCCC" w:sz="1"/>
            </w:tcBorders>
            <w:shd w:fill="1F3864" w:val="clear"/>
          </w:tcPr>
          <w:p>
            <w:pPr>
              <w:jc w:val="center"/>
            </w:pPr>
            <w:r>
              <w:rPr>
                <w:rFonts w:ascii="Arial" w:cs="Arial" w:eastAsia="Arial" w:hAnsi="Arial"/>
                <w:b/>
                <w:bCs/>
                <w:i w:val="false"/>
                <w:iCs w:val="false"/>
                <w:color w:val="FFFFFF"/>
                <w:sz w:val="18"/>
                <w:szCs w:val="18"/>
              </w:rPr>
              <w:t xml:space="preserve">Company</w:t>
            </w:r>
          </w:p>
        </w:tc>
        <w:tc>
          <w:tcPr>
            <w:tcW w:type="dxa" w:w="1500"/>
            <w:tcBorders>
              <w:top w:val="single" w:color="CCCCCC" w:sz="1"/>
              <w:left w:val="single" w:color="CCCCCC" w:sz="1"/>
              <w:bottom w:val="single" w:color="CCCCCC" w:sz="1"/>
              <w:right w:val="single" w:color="CCCCCC" w:sz="1"/>
            </w:tcBorders>
            <w:shd w:fill="1F3864" w:val="clear"/>
          </w:tcPr>
          <w:p>
            <w:pPr>
              <w:jc w:val="center"/>
            </w:pPr>
            <w:r>
              <w:rPr>
                <w:rFonts w:ascii="Arial" w:cs="Arial" w:eastAsia="Arial" w:hAnsi="Arial"/>
                <w:b/>
                <w:bCs/>
                <w:i w:val="false"/>
                <w:iCs w:val="false"/>
                <w:color w:val="FFFFFF"/>
                <w:sz w:val="18"/>
                <w:szCs w:val="18"/>
              </w:rPr>
              <w:t xml:space="preserve">Funding</w:t>
            </w:r>
          </w:p>
        </w:tc>
        <w:tc>
          <w:tcPr>
            <w:tcW w:type="dxa" w:w="1300"/>
            <w:tcBorders>
              <w:top w:val="single" w:color="CCCCCC" w:sz="1"/>
              <w:left w:val="single" w:color="CCCCCC" w:sz="1"/>
              <w:bottom w:val="single" w:color="CCCCCC" w:sz="1"/>
              <w:right w:val="single" w:color="CCCCCC" w:sz="1"/>
            </w:tcBorders>
            <w:shd w:fill="1F3864" w:val="clear"/>
          </w:tcPr>
          <w:p>
            <w:pPr>
              <w:jc w:val="center"/>
            </w:pPr>
            <w:r>
              <w:rPr>
                <w:rFonts w:ascii="Arial" w:cs="Arial" w:eastAsia="Arial" w:hAnsi="Arial"/>
                <w:b/>
                <w:bCs/>
                <w:i w:val="false"/>
                <w:iCs w:val="false"/>
                <w:color w:val="FFFFFF"/>
                <w:sz w:val="18"/>
                <w:szCs w:val="18"/>
              </w:rPr>
              <w:t xml:space="preserve">Valuation</w:t>
            </w:r>
          </w:p>
        </w:tc>
        <w:tc>
          <w:tcPr>
            <w:tcW w:type="dxa" w:w="1500"/>
            <w:tcBorders>
              <w:top w:val="single" w:color="CCCCCC" w:sz="1"/>
              <w:left w:val="single" w:color="CCCCCC" w:sz="1"/>
              <w:bottom w:val="single" w:color="CCCCCC" w:sz="1"/>
              <w:right w:val="single" w:color="CCCCCC" w:sz="1"/>
            </w:tcBorders>
            <w:shd w:fill="1F3864" w:val="clear"/>
          </w:tcPr>
          <w:p>
            <w:pPr>
              <w:jc w:val="center"/>
            </w:pPr>
            <w:r>
              <w:rPr>
                <w:rFonts w:ascii="Arial" w:cs="Arial" w:eastAsia="Arial" w:hAnsi="Arial"/>
                <w:b/>
                <w:bCs/>
                <w:i w:val="false"/>
                <w:iCs w:val="false"/>
                <w:color w:val="FFFFFF"/>
                <w:sz w:val="18"/>
                <w:szCs w:val="18"/>
              </w:rPr>
              <w:t xml:space="preserve">ARR / Revenue</w:t>
            </w:r>
          </w:p>
        </w:tc>
        <w:tc>
          <w:tcPr>
            <w:tcW w:type="dxa" w:w="3360"/>
            <w:tcBorders>
              <w:top w:val="single" w:color="CCCCCC" w:sz="1"/>
              <w:left w:val="single" w:color="CCCCCC" w:sz="1"/>
              <w:bottom w:val="single" w:color="CCCCCC" w:sz="1"/>
              <w:right w:val="single" w:color="CCCCCC" w:sz="1"/>
            </w:tcBorders>
            <w:shd w:fill="1F3864" w:val="clear"/>
          </w:tcPr>
          <w:p>
            <w:pPr>
              <w:jc w:val="center"/>
            </w:pPr>
            <w:r>
              <w:rPr>
                <w:rFonts w:ascii="Arial" w:cs="Arial" w:eastAsia="Arial" w:hAnsi="Arial"/>
                <w:b/>
                <w:bCs/>
                <w:i w:val="false"/>
                <w:iCs w:val="false"/>
                <w:color w:val="FFFFFF"/>
                <w:sz w:val="18"/>
                <w:szCs w:val="18"/>
              </w:rPr>
              <w:t xml:space="preserve">Competitive Intel</w:t>
            </w:r>
          </w:p>
        </w:tc>
      </w:tr>
      <w:tr>
        <w:tc>
          <w:tcPr>
            <w:tcW w:type="dxa" w:w="1700"/>
            <w:tcBorders>
              <w:top w:val="single" w:color="CCCCCC" w:sz="1"/>
              <w:left w:val="single" w:color="CCCCCC" w:sz="1"/>
              <w:bottom w:val="single" w:color="CCCCCC" w:sz="1"/>
              <w:right w:val="single" w:color="CCCCCC" w:sz="1"/>
            </w:tcBorders>
            <w:shd w:fill="D6EAF8" w:val="clear"/>
          </w:tcPr>
          <w:p>
            <w:pPr>
              <w:jc w:val="left"/>
            </w:pPr>
            <w:r>
              <w:rPr>
                <w:rFonts w:ascii="Arial" w:cs="Arial" w:eastAsia="Arial" w:hAnsi="Arial"/>
                <w:b/>
                <w:bCs/>
                <w:i w:val="false"/>
                <w:iCs w:val="false"/>
                <w:color w:val="1F3864"/>
                <w:sz w:val="18"/>
                <w:szCs w:val="18"/>
              </w:rPr>
              <w:t xml:space="preserve">Vex</w:t>
            </w:r>
          </w:p>
        </w:tc>
        <w:tc>
          <w:tcPr>
            <w:tcW w:type="dxa" w:w="1500"/>
            <w:tcBorders>
              <w:top w:val="single" w:color="CCCCCC" w:sz="1"/>
              <w:left w:val="single" w:color="CCCCCC" w:sz="1"/>
              <w:bottom w:val="single" w:color="CCCCCC" w:sz="1"/>
              <w:right w:val="single" w:color="CCCCCC" w:sz="1"/>
            </w:tcBorders>
            <w:shd w:fill="D6EAF8" w:val="clear"/>
          </w:tcPr>
          <w:p>
            <w:pPr>
              <w:jc w:val="center"/>
            </w:pPr>
            <w:r>
              <w:rPr>
                <w:rFonts w:ascii="Arial" w:cs="Arial" w:eastAsia="Arial" w:hAnsi="Arial"/>
                <w:b/>
                <w:bCs/>
                <w:i w:val="false"/>
                <w:iCs w:val="false"/>
                <w:color w:val="1F3864"/>
                <w:sz w:val="18"/>
                <w:szCs w:val="18"/>
              </w:rPr>
              <w:t xml:space="preserve">Undisclosed</w:t>
            </w:r>
          </w:p>
        </w:tc>
        <w:tc>
          <w:tcPr>
            <w:tcW w:type="dxa" w:w="1300"/>
            <w:tcBorders>
              <w:top w:val="single" w:color="CCCCCC" w:sz="1"/>
              <w:left w:val="single" w:color="CCCCCC" w:sz="1"/>
              <w:bottom w:val="single" w:color="CCCCCC" w:sz="1"/>
              <w:right w:val="single" w:color="CCCCCC" w:sz="1"/>
            </w:tcBorders>
            <w:shd w:fill="D6EAF8" w:val="clear"/>
          </w:tcPr>
          <w:p>
            <w:pPr>
              <w:jc w:val="center"/>
            </w:pPr>
            <w:r>
              <w:rPr>
                <w:rFonts w:ascii="Arial" w:cs="Arial" w:eastAsia="Arial" w:hAnsi="Arial"/>
                <w:b/>
                <w:bCs/>
                <w:i w:val="false"/>
                <w:iCs w:val="false"/>
                <w:color w:val="1F3864"/>
                <w:sz w:val="18"/>
                <w:szCs w:val="18"/>
              </w:rPr>
              <w:t xml:space="preserve">Early-stage</w:t>
            </w:r>
          </w:p>
        </w:tc>
        <w:tc>
          <w:tcPr>
            <w:tcW w:type="dxa" w:w="1500"/>
            <w:tcBorders>
              <w:top w:val="single" w:color="CCCCCC" w:sz="1"/>
              <w:left w:val="single" w:color="CCCCCC" w:sz="1"/>
              <w:bottom w:val="single" w:color="CCCCCC" w:sz="1"/>
              <w:right w:val="single" w:color="CCCCCC" w:sz="1"/>
            </w:tcBorders>
            <w:shd w:fill="D6EAF8" w:val="clear"/>
          </w:tcPr>
          <w:p>
            <w:pPr>
              <w:jc w:val="center"/>
            </w:pPr>
            <w:r>
              <w:rPr>
                <w:rFonts w:ascii="Arial" w:cs="Arial" w:eastAsia="Arial" w:hAnsi="Arial"/>
                <w:b/>
                <w:bCs/>
                <w:i w:val="false"/>
                <w:iCs w:val="false"/>
                <w:color w:val="1F3864"/>
                <w:sz w:val="18"/>
                <w:szCs w:val="18"/>
              </w:rPr>
              <w:t xml:space="preserve">Undisclosed</w:t>
            </w:r>
          </w:p>
        </w:tc>
        <w:tc>
          <w:tcPr>
            <w:tcW w:type="dxa" w:w="3360"/>
            <w:tcBorders>
              <w:top w:val="single" w:color="CCCCCC" w:sz="1"/>
              <w:left w:val="single" w:color="CCCCCC" w:sz="1"/>
              <w:bottom w:val="single" w:color="CCCCCC" w:sz="1"/>
              <w:right w:val="single" w:color="CCCCCC" w:sz="1"/>
            </w:tcBorders>
            <w:shd w:fill="D6EAF8" w:val="clear"/>
          </w:tcPr>
          <w:p>
            <w:pPr>
              <w:jc w:val="left"/>
            </w:pPr>
            <w:r>
              <w:rPr>
                <w:rFonts w:ascii="Arial" w:cs="Arial" w:eastAsia="Arial" w:hAnsi="Arial"/>
                <w:b/>
                <w:bCs/>
                <w:i w:val="false"/>
                <w:iCs w:val="false"/>
                <w:color w:val="1F3864"/>
                <w:sz w:val="18"/>
                <w:szCs w:val="18"/>
              </w:rPr>
              <w:t xml:space="preserve">3-layer correction cascade (unique). 6-check parallel verification. Open-core (Apache 2.0 + AGPLv3). Spoke to 11 production teams before building. Entry price $29/mo.</w:t>
            </w:r>
          </w:p>
        </w:tc>
      </w:tr>
      <w:tr>
        <w:tc>
          <w:tcPr>
            <w:tcW w:type="dxa" w:w="1700"/>
            <w:tcBorders>
              <w:top w:val="single" w:color="CCCCCC" w:sz="1"/>
              <w:left w:val="single" w:color="CCCCCC" w:sz="1"/>
              <w:bottom w:val="single" w:color="CCCCCC" w:sz="1"/>
              <w:right w:val="single" w:color="CCCCCC" w:sz="1"/>
            </w:tcBorders>
            <w:shd w:fill="F2F2F2" w:val="clear"/>
          </w:tcPr>
          <w:p>
            <w:pPr>
              <w:jc w:val="left"/>
            </w:pPr>
            <w:r>
              <w:rPr>
                <w:rFonts w:ascii="Arial" w:cs="Arial" w:eastAsia="Arial" w:hAnsi="Arial"/>
                <w:b w:val="false"/>
                <w:bCs w:val="false"/>
                <w:i w:val="false"/>
                <w:iCs w:val="false"/>
                <w:color w:val="1F1F1F"/>
                <w:sz w:val="18"/>
                <w:szCs w:val="18"/>
              </w:rPr>
              <w:t xml:space="preserve">LangChain / LangSmith</w:t>
            </w:r>
          </w:p>
        </w:tc>
        <w:tc>
          <w:tcPr>
            <w:tcW w:type="dxa" w:w="1500"/>
            <w:tcBorders>
              <w:top w:val="single" w:color="CCCCCC" w:sz="1"/>
              <w:left w:val="single" w:color="CCCCCC" w:sz="1"/>
              <w:bottom w:val="single" w:color="CCCCCC" w:sz="1"/>
              <w:right w:val="single" w:color="CCCCCC" w:sz="1"/>
            </w:tcBorders>
            <w:shd w:fill="F2F2F2" w:val="clear"/>
          </w:tcPr>
          <w:p>
            <w:pPr>
              <w:jc w:val="center"/>
            </w:pPr>
            <w:r>
              <w:rPr>
                <w:rFonts w:ascii="Arial" w:cs="Arial" w:eastAsia="Arial" w:hAnsi="Arial"/>
                <w:b w:val="false"/>
                <w:bCs w:val="false"/>
                <w:i w:val="false"/>
                <w:iCs w:val="false"/>
                <w:color w:val="1F1F1F"/>
                <w:sz w:val="18"/>
                <w:szCs w:val="18"/>
              </w:rPr>
              <w:t xml:space="preserve">$260M total</w:t>
            </w:r>
          </w:p>
        </w:tc>
        <w:tc>
          <w:tcPr>
            <w:tcW w:type="dxa" w:w="1300"/>
            <w:tcBorders>
              <w:top w:val="single" w:color="CCCCCC" w:sz="1"/>
              <w:left w:val="single" w:color="CCCCCC" w:sz="1"/>
              <w:bottom w:val="single" w:color="CCCCCC" w:sz="1"/>
              <w:right w:val="single" w:color="CCCCCC" w:sz="1"/>
            </w:tcBorders>
            <w:shd w:fill="F2F2F2" w:val="clear"/>
          </w:tcPr>
          <w:p>
            <w:pPr>
              <w:jc w:val="center"/>
            </w:pPr>
            <w:r>
              <w:rPr>
                <w:rFonts w:ascii="Arial" w:cs="Arial" w:eastAsia="Arial" w:hAnsi="Arial"/>
                <w:b w:val="false"/>
                <w:bCs w:val="false"/>
                <w:i w:val="false"/>
                <w:iCs w:val="false"/>
                <w:color w:val="1F1F1F"/>
                <w:sz w:val="18"/>
                <w:szCs w:val="18"/>
              </w:rPr>
              <w:t xml:space="preserve">$1.25B</w:t>
            </w:r>
          </w:p>
        </w:tc>
        <w:tc>
          <w:tcPr>
            <w:tcW w:type="dxa" w:w="1500"/>
            <w:tcBorders>
              <w:top w:val="single" w:color="CCCCCC" w:sz="1"/>
              <w:left w:val="single" w:color="CCCCCC" w:sz="1"/>
              <w:bottom w:val="single" w:color="CCCCCC" w:sz="1"/>
              <w:right w:val="single" w:color="CCCCCC" w:sz="1"/>
            </w:tcBorders>
            <w:shd w:fill="F2F2F2" w:val="clear"/>
          </w:tcPr>
          <w:p>
            <w:pPr>
              <w:jc w:val="center"/>
            </w:pPr>
            <w:r>
              <w:rPr>
                <w:rFonts w:ascii="Arial" w:cs="Arial" w:eastAsia="Arial" w:hAnsi="Arial"/>
                <w:b w:val="false"/>
                <w:bCs w:val="false"/>
                <w:i w:val="false"/>
                <w:iCs w:val="false"/>
                <w:color w:val="1F1F1F"/>
                <w:sz w:val="18"/>
                <w:szCs w:val="18"/>
              </w:rPr>
              <w:t xml:space="preserve">$12–16M ARR</w:t>
            </w:r>
          </w:p>
        </w:tc>
        <w:tc>
          <w:tcPr>
            <w:tcW w:type="dxa" w:w="3360"/>
            <w:tcBorders>
              <w:top w:val="single" w:color="CCCCCC" w:sz="1"/>
              <w:left w:val="single" w:color="CCCCCC" w:sz="1"/>
              <w:bottom w:val="single" w:color="CCCCCC" w:sz="1"/>
              <w:right w:val="single" w:color="CCCCCC" w:sz="1"/>
            </w:tcBorders>
            <w:shd w:fill="F2F2F2" w:val="clear"/>
          </w:tcPr>
          <w:p>
            <w:pPr>
              <w:jc w:val="left"/>
            </w:pPr>
            <w:r>
              <w:rPr>
                <w:rFonts w:ascii="Arial" w:cs="Arial" w:eastAsia="Arial" w:hAnsi="Arial"/>
                <w:b w:val="false"/>
                <w:bCs w:val="false"/>
                <w:i w:val="false"/>
                <w:iCs w:val="false"/>
                <w:color w:val="1F1F1F"/>
                <w:sz w:val="18"/>
                <w:szCs w:val="18"/>
              </w:rPr>
              <w:t xml:space="preserve">Dominant in LangChain ecosystem. Now framework-agnostic. Online evals added 2024–25. Does NOT auto-correct. Self-host on K8s available.</w:t>
            </w:r>
          </w:p>
        </w:tc>
      </w:tr>
      <w:tr>
        <w:tc>
          <w:tcPr>
            <w:tcW w:type="dxa" w:w="1700"/>
            <w:tcBorders>
              <w:top w:val="single" w:color="CCCCCC" w:sz="1"/>
              <w:left w:val="single" w:color="CCCCCC" w:sz="1"/>
              <w:bottom w:val="single" w:color="CCCCCC" w:sz="1"/>
              <w:right w:val="single" w:color="CCCCCC" w:sz="1"/>
            </w:tcBorders>
            <w:shd w:fill="FFFFFF" w:val="clear"/>
          </w:tcPr>
          <w:p>
            <w:pPr>
              <w:jc w:val="left"/>
            </w:pPr>
            <w:r>
              <w:rPr>
                <w:rFonts w:ascii="Arial" w:cs="Arial" w:eastAsia="Arial" w:hAnsi="Arial"/>
                <w:b w:val="false"/>
                <w:bCs w:val="false"/>
                <w:i w:val="false"/>
                <w:iCs w:val="false"/>
                <w:color w:val="1F1F1F"/>
                <w:sz w:val="18"/>
                <w:szCs w:val="18"/>
              </w:rPr>
              <w:t xml:space="preserve">Langfuse</w:t>
            </w:r>
          </w:p>
        </w:tc>
        <w:tc>
          <w:tcPr>
            <w:tcW w:type="dxa" w:w="1500"/>
            <w:tcBorders>
              <w:top w:val="single" w:color="CCCCCC" w:sz="1"/>
              <w:left w:val="single" w:color="CCCCCC" w:sz="1"/>
              <w:bottom w:val="single" w:color="CCCCCC" w:sz="1"/>
              <w:right w:val="single" w:color="CCCCCC" w:sz="1"/>
            </w:tcBorders>
            <w:shd w:fill="FFFFFF" w:val="clear"/>
          </w:tcPr>
          <w:p>
            <w:pPr>
              <w:jc w:val="center"/>
            </w:pPr>
            <w:r>
              <w:rPr>
                <w:rFonts w:ascii="Arial" w:cs="Arial" w:eastAsia="Arial" w:hAnsi="Arial"/>
                <w:b w:val="false"/>
                <w:bCs w:val="false"/>
                <w:i w:val="false"/>
                <w:iCs w:val="false"/>
                <w:color w:val="1F1F1F"/>
                <w:sz w:val="18"/>
                <w:szCs w:val="18"/>
              </w:rPr>
              <w:t xml:space="preserve">$4.5M</w:t>
            </w:r>
          </w:p>
        </w:tc>
        <w:tc>
          <w:tcPr>
            <w:tcW w:type="dxa" w:w="1300"/>
            <w:tcBorders>
              <w:top w:val="single" w:color="CCCCCC" w:sz="1"/>
              <w:left w:val="single" w:color="CCCCCC" w:sz="1"/>
              <w:bottom w:val="single" w:color="CCCCCC" w:sz="1"/>
              <w:right w:val="single" w:color="CCCCCC" w:sz="1"/>
            </w:tcBorders>
            <w:shd w:fill="FFFFFF" w:val="clear"/>
          </w:tcPr>
          <w:p>
            <w:pPr>
              <w:jc w:val="center"/>
            </w:pPr>
            <w:r>
              <w:rPr>
                <w:rFonts w:ascii="Arial" w:cs="Arial" w:eastAsia="Arial" w:hAnsi="Arial"/>
                <w:b w:val="false"/>
                <w:bCs w:val="false"/>
                <w:i w:val="false"/>
                <w:iCs w:val="false"/>
                <w:color w:val="1F1F1F"/>
                <w:sz w:val="18"/>
                <w:szCs w:val="18"/>
              </w:rPr>
              <w:t xml:space="preserve">Acquired Jan 2026</w:t>
            </w:r>
          </w:p>
        </w:tc>
        <w:tc>
          <w:tcPr>
            <w:tcW w:type="dxa" w:w="1500"/>
            <w:tcBorders>
              <w:top w:val="single" w:color="CCCCCC" w:sz="1"/>
              <w:left w:val="single" w:color="CCCCCC" w:sz="1"/>
              <w:bottom w:val="single" w:color="CCCCCC" w:sz="1"/>
              <w:right w:val="single" w:color="CCCCCC" w:sz="1"/>
            </w:tcBorders>
            <w:shd w:fill="FFFFFF" w:val="clear"/>
          </w:tcPr>
          <w:p>
            <w:pPr>
              <w:jc w:val="center"/>
            </w:pPr>
            <w:r>
              <w:rPr>
                <w:rFonts w:ascii="Arial" w:cs="Arial" w:eastAsia="Arial" w:hAnsi="Arial"/>
                <w:b w:val="false"/>
                <w:bCs w:val="false"/>
                <w:i w:val="false"/>
                <w:iCs w:val="false"/>
                <w:color w:val="1F1F1F"/>
                <w:sz w:val="18"/>
                <w:szCs w:val="18"/>
              </w:rPr>
              <w:t xml:space="preserve">~$1.1M ARR</w:t>
            </w:r>
          </w:p>
        </w:tc>
        <w:tc>
          <w:tcPr>
            <w:tcW w:type="dxa" w:w="3360"/>
            <w:tcBorders>
              <w:top w:val="single" w:color="CCCCCC" w:sz="1"/>
              <w:left w:val="single" w:color="CCCCCC" w:sz="1"/>
              <w:bottom w:val="single" w:color="CCCCCC" w:sz="1"/>
              <w:right w:val="single" w:color="CCCCCC" w:sz="1"/>
            </w:tcBorders>
            <w:shd w:fill="FFFFFF" w:val="clear"/>
          </w:tcPr>
          <w:p>
            <w:pPr>
              <w:jc w:val="left"/>
            </w:pPr>
            <w:r>
              <w:rPr>
                <w:rFonts w:ascii="Arial" w:cs="Arial" w:eastAsia="Arial" w:hAnsi="Arial"/>
                <w:b w:val="false"/>
                <w:bCs w:val="false"/>
                <w:i w:val="false"/>
                <w:iCs w:val="false"/>
                <w:color w:val="1F1F1F"/>
                <w:sz w:val="18"/>
                <w:szCs w:val="18"/>
              </w:rPr>
              <w:t xml:space="preserve">OSS (MIT). Best-in-class prompt &amp; dataset mgmt. 7-person team at acquisition. No auto-correction. Self-hostable.</w:t>
            </w:r>
          </w:p>
        </w:tc>
      </w:tr>
      <w:tr>
        <w:tc>
          <w:tcPr>
            <w:tcW w:type="dxa" w:w="1700"/>
            <w:tcBorders>
              <w:top w:val="single" w:color="CCCCCC" w:sz="1"/>
              <w:left w:val="single" w:color="CCCCCC" w:sz="1"/>
              <w:bottom w:val="single" w:color="CCCCCC" w:sz="1"/>
              <w:right w:val="single" w:color="CCCCCC" w:sz="1"/>
            </w:tcBorders>
            <w:shd w:fill="F2F2F2" w:val="clear"/>
          </w:tcPr>
          <w:p>
            <w:pPr>
              <w:jc w:val="left"/>
            </w:pPr>
            <w:r>
              <w:rPr>
                <w:rFonts w:ascii="Arial" w:cs="Arial" w:eastAsia="Arial" w:hAnsi="Arial"/>
                <w:b w:val="false"/>
                <w:bCs w:val="false"/>
                <w:i w:val="false"/>
                <w:iCs w:val="false"/>
                <w:color w:val="1F1F1F"/>
                <w:sz w:val="18"/>
                <w:szCs w:val="18"/>
              </w:rPr>
              <w:t xml:space="preserve">Guardrails AI</w:t>
            </w:r>
          </w:p>
        </w:tc>
        <w:tc>
          <w:tcPr>
            <w:tcW w:type="dxa" w:w="1500"/>
            <w:tcBorders>
              <w:top w:val="single" w:color="CCCCCC" w:sz="1"/>
              <w:left w:val="single" w:color="CCCCCC" w:sz="1"/>
              <w:bottom w:val="single" w:color="CCCCCC" w:sz="1"/>
              <w:right w:val="single" w:color="CCCCCC" w:sz="1"/>
            </w:tcBorders>
            <w:shd w:fill="F2F2F2" w:val="clear"/>
          </w:tcPr>
          <w:p>
            <w:pPr>
              <w:jc w:val="center"/>
            </w:pPr>
            <w:r>
              <w:rPr>
                <w:rFonts w:ascii="Arial" w:cs="Arial" w:eastAsia="Arial" w:hAnsi="Arial"/>
                <w:b w:val="false"/>
                <w:bCs w:val="false"/>
                <w:i w:val="false"/>
                <w:iCs w:val="false"/>
                <w:color w:val="1F1F1F"/>
                <w:sz w:val="18"/>
                <w:szCs w:val="18"/>
              </w:rPr>
              <w:t xml:space="preserve">$7.5M seed</w:t>
            </w:r>
          </w:p>
        </w:tc>
        <w:tc>
          <w:tcPr>
            <w:tcW w:type="dxa" w:w="1300"/>
            <w:tcBorders>
              <w:top w:val="single" w:color="CCCCCC" w:sz="1"/>
              <w:left w:val="single" w:color="CCCCCC" w:sz="1"/>
              <w:bottom w:val="single" w:color="CCCCCC" w:sz="1"/>
              <w:right w:val="single" w:color="CCCCCC" w:sz="1"/>
            </w:tcBorders>
            <w:shd w:fill="F2F2F2" w:val="clear"/>
          </w:tcPr>
          <w:p>
            <w:pPr>
              <w:jc w:val="center"/>
            </w:pPr>
            <w:r>
              <w:rPr>
                <w:rFonts w:ascii="Arial" w:cs="Arial" w:eastAsia="Arial" w:hAnsi="Arial"/>
                <w:b w:val="false"/>
                <w:bCs w:val="false"/>
                <w:i w:val="false"/>
                <w:iCs w:val="false"/>
                <w:color w:val="1F1F1F"/>
                <w:sz w:val="18"/>
                <w:szCs w:val="18"/>
              </w:rPr>
              <w:t xml:space="preserve">Early-stage</w:t>
            </w:r>
          </w:p>
        </w:tc>
        <w:tc>
          <w:tcPr>
            <w:tcW w:type="dxa" w:w="1500"/>
            <w:tcBorders>
              <w:top w:val="single" w:color="CCCCCC" w:sz="1"/>
              <w:left w:val="single" w:color="CCCCCC" w:sz="1"/>
              <w:bottom w:val="single" w:color="CCCCCC" w:sz="1"/>
              <w:right w:val="single" w:color="CCCCCC" w:sz="1"/>
            </w:tcBorders>
            <w:shd w:fill="F2F2F2" w:val="clear"/>
          </w:tcPr>
          <w:p>
            <w:pPr>
              <w:jc w:val="center"/>
            </w:pPr>
            <w:r>
              <w:rPr>
                <w:rFonts w:ascii="Arial" w:cs="Arial" w:eastAsia="Arial" w:hAnsi="Arial"/>
                <w:b w:val="false"/>
                <w:bCs w:val="false"/>
                <w:i w:val="false"/>
                <w:iCs w:val="false"/>
                <w:color w:val="1F1F1F"/>
                <w:sz w:val="18"/>
                <w:szCs w:val="18"/>
              </w:rPr>
              <w:t xml:space="preserve">~$1.1M ARR</w:t>
            </w:r>
          </w:p>
        </w:tc>
        <w:tc>
          <w:tcPr>
            <w:tcW w:type="dxa" w:w="3360"/>
            <w:tcBorders>
              <w:top w:val="single" w:color="CCCCCC" w:sz="1"/>
              <w:left w:val="single" w:color="CCCCCC" w:sz="1"/>
              <w:bottom w:val="single" w:color="CCCCCC" w:sz="1"/>
              <w:right w:val="single" w:color="CCCCCC" w:sz="1"/>
            </w:tcBorders>
            <w:shd w:fill="F2F2F2" w:val="clear"/>
          </w:tcPr>
          <w:p>
            <w:pPr>
              <w:jc w:val="left"/>
            </w:pPr>
            <w:r>
              <w:rPr>
                <w:rFonts w:ascii="Arial" w:cs="Arial" w:eastAsia="Arial" w:hAnsi="Arial"/>
                <w:b w:val="false"/>
                <w:bCs w:val="false"/>
                <w:i w:val="false"/>
                <w:iCs w:val="false"/>
                <w:color w:val="1F1F1F"/>
                <w:sz w:val="18"/>
                <w:szCs w:val="18"/>
              </w:rPr>
              <w:t xml:space="preserve">Schema/structural validation only. Apache 2.0. No TypeScript SDK. Complementary — different safety layer from Vex.</w:t>
            </w:r>
          </w:p>
        </w:tc>
      </w:tr>
      <w:tr>
        <w:tc>
          <w:tcPr>
            <w:tcW w:type="dxa" w:w="1700"/>
            <w:tcBorders>
              <w:top w:val="single" w:color="CCCCCC" w:sz="1"/>
              <w:left w:val="single" w:color="CCCCCC" w:sz="1"/>
              <w:bottom w:val="single" w:color="CCCCCC" w:sz="1"/>
              <w:right w:val="single" w:color="CCCCCC" w:sz="1"/>
            </w:tcBorders>
            <w:shd w:fill="FFFFFF" w:val="clear"/>
          </w:tcPr>
          <w:p>
            <w:pPr>
              <w:jc w:val="left"/>
            </w:pPr>
            <w:r>
              <w:rPr>
                <w:rFonts w:ascii="Arial" w:cs="Arial" w:eastAsia="Arial" w:hAnsi="Arial"/>
                <w:b w:val="false"/>
                <w:bCs w:val="false"/>
                <w:i w:val="false"/>
                <w:iCs w:val="false"/>
                <w:color w:val="1F1F1F"/>
                <w:sz w:val="18"/>
                <w:szCs w:val="18"/>
              </w:rPr>
              <w:t xml:space="preserve">Galileo</w:t>
            </w:r>
          </w:p>
        </w:tc>
        <w:tc>
          <w:tcPr>
            <w:tcW w:type="dxa" w:w="1500"/>
            <w:tcBorders>
              <w:top w:val="single" w:color="CCCCCC" w:sz="1"/>
              <w:left w:val="single" w:color="CCCCCC" w:sz="1"/>
              <w:bottom w:val="single" w:color="CCCCCC" w:sz="1"/>
              <w:right w:val="single" w:color="CCCCCC" w:sz="1"/>
            </w:tcBorders>
            <w:shd w:fill="FFFFFF" w:val="clear"/>
          </w:tcPr>
          <w:p>
            <w:pPr>
              <w:jc w:val="center"/>
            </w:pPr>
            <w:r>
              <w:rPr>
                <w:rFonts w:ascii="Arial" w:cs="Arial" w:eastAsia="Arial" w:hAnsi="Arial"/>
                <w:b w:val="false"/>
                <w:bCs w:val="false"/>
                <w:i w:val="false"/>
                <w:iCs w:val="false"/>
                <w:color w:val="1F1F1F"/>
                <w:sz w:val="18"/>
                <w:szCs w:val="18"/>
              </w:rPr>
              <w:t xml:space="preserve">$68M raised</w:t>
            </w:r>
          </w:p>
        </w:tc>
        <w:tc>
          <w:tcPr>
            <w:tcW w:type="dxa" w:w="1300"/>
            <w:tcBorders>
              <w:top w:val="single" w:color="CCCCCC" w:sz="1"/>
              <w:left w:val="single" w:color="CCCCCC" w:sz="1"/>
              <w:bottom w:val="single" w:color="CCCCCC" w:sz="1"/>
              <w:right w:val="single" w:color="CCCCCC" w:sz="1"/>
            </w:tcBorders>
            <w:shd w:fill="FFFFFF" w:val="clear"/>
          </w:tcPr>
          <w:p>
            <w:pPr>
              <w:jc w:val="center"/>
            </w:pPr>
            <w:r>
              <w:rPr>
                <w:rFonts w:ascii="Arial" w:cs="Arial" w:eastAsia="Arial" w:hAnsi="Arial"/>
                <w:b w:val="false"/>
                <w:bCs w:val="false"/>
                <w:i w:val="false"/>
                <w:iCs w:val="false"/>
                <w:color w:val="1F1F1F"/>
                <w:sz w:val="18"/>
                <w:szCs w:val="18"/>
              </w:rPr>
              <w:t xml:space="preserve">Growth-stage</w:t>
            </w:r>
          </w:p>
        </w:tc>
        <w:tc>
          <w:tcPr>
            <w:tcW w:type="dxa" w:w="1500"/>
            <w:tcBorders>
              <w:top w:val="single" w:color="CCCCCC" w:sz="1"/>
              <w:left w:val="single" w:color="CCCCCC" w:sz="1"/>
              <w:bottom w:val="single" w:color="CCCCCC" w:sz="1"/>
              <w:right w:val="single" w:color="CCCCCC" w:sz="1"/>
            </w:tcBorders>
            <w:shd w:fill="FFFFFF" w:val="clear"/>
          </w:tcPr>
          <w:p>
            <w:pPr>
              <w:jc w:val="center"/>
            </w:pPr>
            <w:r>
              <w:rPr>
                <w:rFonts w:ascii="Arial" w:cs="Arial" w:eastAsia="Arial" w:hAnsi="Arial"/>
                <w:b w:val="false"/>
                <w:bCs w:val="false"/>
                <w:i w:val="false"/>
                <w:iCs w:val="false"/>
                <w:color w:val="1F1F1F"/>
                <w:sz w:val="18"/>
                <w:szCs w:val="18"/>
              </w:rPr>
              <w:t xml:space="preserve">Undisclosed</w:t>
            </w:r>
          </w:p>
        </w:tc>
        <w:tc>
          <w:tcPr>
            <w:tcW w:type="dxa" w:w="3360"/>
            <w:tcBorders>
              <w:top w:val="single" w:color="CCCCCC" w:sz="1"/>
              <w:left w:val="single" w:color="CCCCCC" w:sz="1"/>
              <w:bottom w:val="single" w:color="CCCCCC" w:sz="1"/>
              <w:right w:val="single" w:color="CCCCCC" w:sz="1"/>
            </w:tcBorders>
            <w:shd w:fill="FFFFFF" w:val="clear"/>
          </w:tcPr>
          <w:p>
            <w:pPr>
              <w:jc w:val="left"/>
            </w:pPr>
            <w:r>
              <w:rPr>
                <w:rFonts w:ascii="Arial" w:cs="Arial" w:eastAsia="Arial" w:hAnsi="Arial"/>
                <w:b w:val="false"/>
                <w:bCs w:val="false"/>
                <w:i w:val="false"/>
                <w:iCs w:val="false"/>
                <w:color w:val="1F1F1F"/>
                <w:sz w:val="18"/>
                <w:szCs w:val="18"/>
              </w:rPr>
              <w:t xml:space="preserve">ChainPoll multi-model consensus. Luna-2 SLM sub-50ms. SOC2. Eval-to-guardrail pipeline. No self-host. No auto-correction. Free tier 5K traces/mo.</w:t>
            </w:r>
          </w:p>
        </w:tc>
      </w:tr>
      <w:tr>
        <w:tc>
          <w:tcPr>
            <w:tcW w:type="dxa" w:w="1700"/>
            <w:tcBorders>
              <w:top w:val="single" w:color="CCCCCC" w:sz="1"/>
              <w:left w:val="single" w:color="CCCCCC" w:sz="1"/>
              <w:bottom w:val="single" w:color="CCCCCC" w:sz="1"/>
              <w:right w:val="single" w:color="CCCCCC" w:sz="1"/>
            </w:tcBorders>
            <w:shd w:fill="F2F2F2" w:val="clear"/>
          </w:tcPr>
          <w:p>
            <w:pPr>
              <w:jc w:val="left"/>
            </w:pPr>
            <w:r>
              <w:rPr>
                <w:rFonts w:ascii="Arial" w:cs="Arial" w:eastAsia="Arial" w:hAnsi="Arial"/>
                <w:b w:val="false"/>
                <w:bCs w:val="false"/>
                <w:i w:val="false"/>
                <w:iCs w:val="false"/>
                <w:color w:val="1F1F1F"/>
                <w:sz w:val="18"/>
                <w:szCs w:val="18"/>
              </w:rPr>
              <w:t xml:space="preserve">Braintrust</w:t>
            </w:r>
          </w:p>
        </w:tc>
        <w:tc>
          <w:tcPr>
            <w:tcW w:type="dxa" w:w="1500"/>
            <w:tcBorders>
              <w:top w:val="single" w:color="CCCCCC" w:sz="1"/>
              <w:left w:val="single" w:color="CCCCCC" w:sz="1"/>
              <w:bottom w:val="single" w:color="CCCCCC" w:sz="1"/>
              <w:right w:val="single" w:color="CCCCCC" w:sz="1"/>
            </w:tcBorders>
            <w:shd w:fill="F2F2F2" w:val="clear"/>
          </w:tcPr>
          <w:p>
            <w:pPr>
              <w:jc w:val="center"/>
            </w:pPr>
            <w:r>
              <w:rPr>
                <w:rFonts w:ascii="Arial" w:cs="Arial" w:eastAsia="Arial" w:hAnsi="Arial"/>
                <w:b w:val="false"/>
                <w:bCs w:val="false"/>
                <w:i w:val="false"/>
                <w:iCs w:val="false"/>
                <w:color w:val="1F1F1F"/>
                <w:sz w:val="18"/>
                <w:szCs w:val="18"/>
              </w:rPr>
              <w:t xml:space="preserve">$80M Series B</w:t>
            </w:r>
          </w:p>
        </w:tc>
        <w:tc>
          <w:tcPr>
            <w:tcW w:type="dxa" w:w="1300"/>
            <w:tcBorders>
              <w:top w:val="single" w:color="CCCCCC" w:sz="1"/>
              <w:left w:val="single" w:color="CCCCCC" w:sz="1"/>
              <w:bottom w:val="single" w:color="CCCCCC" w:sz="1"/>
              <w:right w:val="single" w:color="CCCCCC" w:sz="1"/>
            </w:tcBorders>
            <w:shd w:fill="F2F2F2" w:val="clear"/>
          </w:tcPr>
          <w:p>
            <w:pPr>
              <w:jc w:val="center"/>
            </w:pPr>
            <w:r>
              <w:rPr>
                <w:rFonts w:ascii="Arial" w:cs="Arial" w:eastAsia="Arial" w:hAnsi="Arial"/>
                <w:b w:val="false"/>
                <w:bCs w:val="false"/>
                <w:i w:val="false"/>
                <w:iCs w:val="false"/>
                <w:color w:val="1F1F1F"/>
                <w:sz w:val="18"/>
                <w:szCs w:val="18"/>
              </w:rPr>
              <w:t xml:space="preserve">$800M</w:t>
            </w:r>
          </w:p>
        </w:tc>
        <w:tc>
          <w:tcPr>
            <w:tcW w:type="dxa" w:w="1500"/>
            <w:tcBorders>
              <w:top w:val="single" w:color="CCCCCC" w:sz="1"/>
              <w:left w:val="single" w:color="CCCCCC" w:sz="1"/>
              <w:bottom w:val="single" w:color="CCCCCC" w:sz="1"/>
              <w:right w:val="single" w:color="CCCCCC" w:sz="1"/>
            </w:tcBorders>
            <w:shd w:fill="F2F2F2" w:val="clear"/>
          </w:tcPr>
          <w:p>
            <w:pPr>
              <w:jc w:val="center"/>
            </w:pPr>
            <w:r>
              <w:rPr>
                <w:rFonts w:ascii="Arial" w:cs="Arial" w:eastAsia="Arial" w:hAnsi="Arial"/>
                <w:b w:val="false"/>
                <w:bCs w:val="false"/>
                <w:i w:val="false"/>
                <w:iCs w:val="false"/>
                <w:color w:val="1F1F1F"/>
                <w:sz w:val="18"/>
                <w:szCs w:val="18"/>
              </w:rPr>
              <w:t xml:space="preserve">Undisclosed</w:t>
            </w:r>
          </w:p>
        </w:tc>
        <w:tc>
          <w:tcPr>
            <w:tcW w:type="dxa" w:w="3360"/>
            <w:tcBorders>
              <w:top w:val="single" w:color="CCCCCC" w:sz="1"/>
              <w:left w:val="single" w:color="CCCCCC" w:sz="1"/>
              <w:bottom w:val="single" w:color="CCCCCC" w:sz="1"/>
              <w:right w:val="single" w:color="CCCCCC" w:sz="1"/>
            </w:tcBorders>
            <w:shd w:fill="F2F2F2" w:val="clear"/>
          </w:tcPr>
          <w:p>
            <w:pPr>
              <w:jc w:val="left"/>
            </w:pPr>
            <w:r>
              <w:rPr>
                <w:rFonts w:ascii="Arial" w:cs="Arial" w:eastAsia="Arial" w:hAnsi="Arial"/>
                <w:b w:val="false"/>
                <w:bCs w:val="false"/>
                <w:i w:val="false"/>
                <w:iCs w:val="false"/>
                <w:color w:val="1F1F1F"/>
                <w:sz w:val="18"/>
                <w:szCs w:val="18"/>
              </w:rPr>
              <w:t xml:space="preserve">Eval-first / post-hoc. Prompt playground + datasets. Pro $249/mo. Does NOT detect drift, hallucinations, or coherence. Closed source.</w:t>
            </w:r>
          </w:p>
        </w:tc>
      </w:tr>
      <w:tr>
        <w:tc>
          <w:tcPr>
            <w:tcW w:type="dxa" w:w="1700"/>
            <w:tcBorders>
              <w:top w:val="single" w:color="CCCCCC" w:sz="1"/>
              <w:left w:val="single" w:color="CCCCCC" w:sz="1"/>
              <w:bottom w:val="single" w:color="CCCCCC" w:sz="1"/>
              <w:right w:val="single" w:color="CCCCCC" w:sz="1"/>
            </w:tcBorders>
            <w:shd w:fill="FFFFFF" w:val="clear"/>
          </w:tcPr>
          <w:p>
            <w:pPr>
              <w:jc w:val="left"/>
            </w:pPr>
            <w:r>
              <w:rPr>
                <w:rFonts w:ascii="Arial" w:cs="Arial" w:eastAsia="Arial" w:hAnsi="Arial"/>
                <w:b w:val="false"/>
                <w:bCs w:val="false"/>
                <w:i w:val="false"/>
                <w:iCs w:val="false"/>
                <w:color w:val="1F1F1F"/>
                <w:sz w:val="18"/>
                <w:szCs w:val="18"/>
              </w:rPr>
              <w:t xml:space="preserve">Arize / Phoenix</w:t>
            </w:r>
          </w:p>
        </w:tc>
        <w:tc>
          <w:tcPr>
            <w:tcW w:type="dxa" w:w="1500"/>
            <w:tcBorders>
              <w:top w:val="single" w:color="CCCCCC" w:sz="1"/>
              <w:left w:val="single" w:color="CCCCCC" w:sz="1"/>
              <w:bottom w:val="single" w:color="CCCCCC" w:sz="1"/>
              <w:right w:val="single" w:color="CCCCCC" w:sz="1"/>
            </w:tcBorders>
            <w:shd w:fill="FFFFFF" w:val="clear"/>
          </w:tcPr>
          <w:p>
            <w:pPr>
              <w:jc w:val="center"/>
            </w:pPr>
            <w:r>
              <w:rPr>
                <w:rFonts w:ascii="Arial" w:cs="Arial" w:eastAsia="Arial" w:hAnsi="Arial"/>
                <w:b w:val="false"/>
                <w:bCs w:val="false"/>
                <w:i w:val="false"/>
                <w:iCs w:val="false"/>
                <w:color w:val="1F1F1F"/>
                <w:sz w:val="18"/>
                <w:szCs w:val="18"/>
              </w:rPr>
              <w:t xml:space="preserve">~$38M</w:t>
            </w:r>
          </w:p>
        </w:tc>
        <w:tc>
          <w:tcPr>
            <w:tcW w:type="dxa" w:w="1300"/>
            <w:tcBorders>
              <w:top w:val="single" w:color="CCCCCC" w:sz="1"/>
              <w:left w:val="single" w:color="CCCCCC" w:sz="1"/>
              <w:bottom w:val="single" w:color="CCCCCC" w:sz="1"/>
              <w:right w:val="single" w:color="CCCCCC" w:sz="1"/>
            </w:tcBorders>
            <w:shd w:fill="FFFFFF" w:val="clear"/>
          </w:tcPr>
          <w:p>
            <w:pPr>
              <w:jc w:val="center"/>
            </w:pPr>
            <w:r>
              <w:rPr>
                <w:rFonts w:ascii="Arial" w:cs="Arial" w:eastAsia="Arial" w:hAnsi="Arial"/>
                <w:b w:val="false"/>
                <w:bCs w:val="false"/>
                <w:i w:val="false"/>
                <w:iCs w:val="false"/>
                <w:color w:val="1F1F1F"/>
                <w:sz w:val="18"/>
                <w:szCs w:val="18"/>
              </w:rPr>
              <w:t xml:space="preserve">Growth-stage</w:t>
            </w:r>
          </w:p>
        </w:tc>
        <w:tc>
          <w:tcPr>
            <w:tcW w:type="dxa" w:w="1500"/>
            <w:tcBorders>
              <w:top w:val="single" w:color="CCCCCC" w:sz="1"/>
              <w:left w:val="single" w:color="CCCCCC" w:sz="1"/>
              <w:bottom w:val="single" w:color="CCCCCC" w:sz="1"/>
              <w:right w:val="single" w:color="CCCCCC" w:sz="1"/>
            </w:tcBorders>
            <w:shd w:fill="FFFFFF" w:val="clear"/>
          </w:tcPr>
          <w:p>
            <w:pPr>
              <w:jc w:val="center"/>
            </w:pPr>
            <w:r>
              <w:rPr>
                <w:rFonts w:ascii="Arial" w:cs="Arial" w:eastAsia="Arial" w:hAnsi="Arial"/>
                <w:b w:val="false"/>
                <w:bCs w:val="false"/>
                <w:i w:val="false"/>
                <w:iCs w:val="false"/>
                <w:color w:val="1F1F1F"/>
                <w:sz w:val="18"/>
                <w:szCs w:val="18"/>
              </w:rPr>
              <w:t xml:space="preserve">Undisclosed</w:t>
            </w:r>
          </w:p>
        </w:tc>
        <w:tc>
          <w:tcPr>
            <w:tcW w:type="dxa" w:w="3360"/>
            <w:tcBorders>
              <w:top w:val="single" w:color="CCCCCC" w:sz="1"/>
              <w:left w:val="single" w:color="CCCCCC" w:sz="1"/>
              <w:bottom w:val="single" w:color="CCCCCC" w:sz="1"/>
              <w:right w:val="single" w:color="CCCCCC" w:sz="1"/>
            </w:tcBorders>
            <w:shd w:fill="FFFFFF" w:val="clear"/>
          </w:tcPr>
          <w:p>
            <w:pPr>
              <w:jc w:val="left"/>
            </w:pPr>
            <w:r>
              <w:rPr>
                <w:rFonts w:ascii="Arial" w:cs="Arial" w:eastAsia="Arial" w:hAnsi="Arial"/>
                <w:b w:val="false"/>
                <w:bCs w:val="false"/>
                <w:i w:val="false"/>
                <w:iCs w:val="false"/>
                <w:color w:val="1F1F1F"/>
                <w:sz w:val="18"/>
                <w:szCs w:val="18"/>
              </w:rPr>
              <w:t xml:space="preserve">OpenInference standard (adopted by LangSmith, Opik). Phoenix fully free OSS. SOC2 + HIPAA. Alyx AI co-pilot. No auto-correction.</w:t>
            </w:r>
          </w:p>
        </w:tc>
      </w:tr>
    </w:tbl>
    <w:p>
      <w:pPr>
        <w:spacing w:before="80" w:after="80"/>
      </w:pPr>
      <w:r>
        <w:t xml:space="preserve"/>
      </w:r>
    </w:p>
    <w:p>
      <w:pPr>
        <w:pBdr>
          <w:bottom w:val="single" w:color="2E75B6" w:sz="6" w:space="1"/>
        </w:pBdr>
        <w:spacing w:before="280" w:after="100"/>
      </w:pPr>
      <w:r>
        <w:rPr>
          <w:rFonts w:ascii="Arial" w:cs="Arial" w:eastAsia="Arial" w:hAnsi="Arial"/>
          <w:b/>
          <w:bCs/>
          <w:color w:val="1F3864"/>
          <w:sz w:val="28"/>
          <w:szCs w:val="28"/>
        </w:rPr>
        <w:t xml:space="preserve">6. Head-to-Head Competitive Positioning</w:t>
      </w:r>
    </w:p>
    <w:p>
      <w:pPr>
        <w:spacing w:before="40" w:after="40"/>
      </w:pPr>
      <w:r>
        <w:rPr>
          <w:rFonts w:ascii="Arial" w:cs="Arial" w:eastAsia="Arial" w:hAnsi="Arial"/>
          <w:b w:val="false"/>
          <w:bCs w:val="false"/>
          <w:i w:val="false"/>
          <w:iCs w:val="false"/>
          <w:color w:val="1F1F1F"/>
          <w:sz w:val="20"/>
          <w:szCs w:val="20"/>
        </w:rPr>
        <w:t xml:space="preserve">Vex's core differentiator across all competitors is real-time behavioural drift detection combined with automated correction — a capability gap no other tool closes. The table below shows where Vex wins and where it is exposed.</w:t>
      </w: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480"/>
        <w:gridCol w:w="2480"/>
        <w:gridCol w:w="2800"/>
      </w:tblGrid>
      <w:tr>
        <w:tc>
          <w:tcPr>
            <w:tcW w:type="dxa" w:w="1600"/>
            <w:tcBorders>
              <w:top w:val="single" w:color="CCCCCC" w:sz="1"/>
              <w:left w:val="single" w:color="CCCCCC" w:sz="1"/>
              <w:bottom w:val="single" w:color="CCCCCC" w:sz="1"/>
              <w:right w:val="single" w:color="CCCCCC" w:sz="1"/>
            </w:tcBorders>
            <w:shd w:fill="1F3864" w:val="clear"/>
          </w:tcPr>
          <w:p>
            <w:pPr>
              <w:jc w:val="center"/>
            </w:pPr>
            <w:r>
              <w:rPr>
                <w:rFonts w:ascii="Arial" w:cs="Arial" w:eastAsia="Arial" w:hAnsi="Arial"/>
                <w:b/>
                <w:bCs/>
                <w:i w:val="false"/>
                <w:iCs w:val="false"/>
                <w:color w:val="FFFFFF"/>
                <w:sz w:val="18"/>
                <w:szCs w:val="18"/>
              </w:rPr>
              <w:t xml:space="preserve">Versus</w:t>
            </w:r>
          </w:p>
        </w:tc>
        <w:tc>
          <w:tcPr>
            <w:tcW w:type="dxa" w:w="2480"/>
            <w:tcBorders>
              <w:top w:val="single" w:color="CCCCCC" w:sz="1"/>
              <w:left w:val="single" w:color="CCCCCC" w:sz="1"/>
              <w:bottom w:val="single" w:color="CCCCCC" w:sz="1"/>
              <w:right w:val="single" w:color="CCCCCC" w:sz="1"/>
            </w:tcBorders>
            <w:shd w:fill="1F3864" w:val="clear"/>
          </w:tcPr>
          <w:p>
            <w:pPr>
              <w:jc w:val="center"/>
            </w:pPr>
            <w:r>
              <w:rPr>
                <w:rFonts w:ascii="Arial" w:cs="Arial" w:eastAsia="Arial" w:hAnsi="Arial"/>
                <w:b/>
                <w:bCs/>
                <w:i w:val="false"/>
                <w:iCs w:val="false"/>
                <w:color w:val="FFFFFF"/>
                <w:sz w:val="18"/>
                <w:szCs w:val="18"/>
              </w:rPr>
              <w:t xml:space="preserve">Vex Advantage</w:t>
            </w:r>
          </w:p>
        </w:tc>
        <w:tc>
          <w:tcPr>
            <w:tcW w:type="dxa" w:w="2480"/>
            <w:tcBorders>
              <w:top w:val="single" w:color="CCCCCC" w:sz="1"/>
              <w:left w:val="single" w:color="CCCCCC" w:sz="1"/>
              <w:bottom w:val="single" w:color="CCCCCC" w:sz="1"/>
              <w:right w:val="single" w:color="CCCCCC" w:sz="1"/>
            </w:tcBorders>
            <w:shd w:fill="1F3864" w:val="clear"/>
          </w:tcPr>
          <w:p>
            <w:pPr>
              <w:jc w:val="center"/>
            </w:pPr>
            <w:r>
              <w:rPr>
                <w:rFonts w:ascii="Arial" w:cs="Arial" w:eastAsia="Arial" w:hAnsi="Arial"/>
                <w:b/>
                <w:bCs/>
                <w:i w:val="false"/>
                <w:iCs w:val="false"/>
                <w:color w:val="FFFFFF"/>
                <w:sz w:val="18"/>
                <w:szCs w:val="18"/>
              </w:rPr>
              <w:t xml:space="preserve">Vex Disadvantage</w:t>
            </w:r>
          </w:p>
        </w:tc>
        <w:tc>
          <w:tcPr>
            <w:tcW w:type="dxa" w:w="2800"/>
            <w:tcBorders>
              <w:top w:val="single" w:color="CCCCCC" w:sz="1"/>
              <w:left w:val="single" w:color="CCCCCC" w:sz="1"/>
              <w:bottom w:val="single" w:color="CCCCCC" w:sz="1"/>
              <w:right w:val="single" w:color="CCCCCC" w:sz="1"/>
            </w:tcBorders>
            <w:shd w:fill="1F3864" w:val="clear"/>
          </w:tcPr>
          <w:p>
            <w:pPr>
              <w:jc w:val="center"/>
            </w:pPr>
            <w:r>
              <w:rPr>
                <w:rFonts w:ascii="Arial" w:cs="Arial" w:eastAsia="Arial" w:hAnsi="Arial"/>
                <w:b/>
                <w:bCs/>
                <w:i w:val="false"/>
                <w:iCs w:val="false"/>
                <w:color w:val="FFFFFF"/>
                <w:sz w:val="18"/>
                <w:szCs w:val="18"/>
              </w:rPr>
              <w:t xml:space="preserve">Relationship</w:t>
            </w:r>
          </w:p>
        </w:tc>
      </w:tr>
      <w:tr>
        <w:tc>
          <w:tcPr>
            <w:tcW w:type="dxa" w:w="1600"/>
            <w:tcBorders>
              <w:top w:val="single" w:color="CCCCCC" w:sz="1"/>
              <w:left w:val="single" w:color="CCCCCC" w:sz="1"/>
              <w:bottom w:val="single" w:color="CCCCCC" w:sz="1"/>
              <w:right w:val="single" w:color="CCCCCC" w:sz="1"/>
            </w:tcBorders>
            <w:shd w:fill="2E75B6" w:val="clear"/>
          </w:tcPr>
          <w:p>
            <w:pPr>
              <w:jc w:val="left"/>
            </w:pPr>
            <w:r>
              <w:rPr>
                <w:rFonts w:ascii="Arial" w:cs="Arial" w:eastAsia="Arial" w:hAnsi="Arial"/>
                <w:b/>
                <w:bCs/>
                <w:i w:val="false"/>
                <w:iCs w:val="false"/>
                <w:color w:val="FFFFFF"/>
                <w:sz w:val="18"/>
                <w:szCs w:val="18"/>
              </w:rPr>
              <w:t xml:space="preserve">LangSmith</w:t>
            </w:r>
          </w:p>
        </w:tc>
        <w:tc>
          <w:tcPr>
            <w:tcW w:type="dxa" w:w="2480"/>
            <w:tcBorders>
              <w:top w:val="single" w:color="CCCCCC" w:sz="1"/>
              <w:left w:val="single" w:color="CCCCCC" w:sz="1"/>
              <w:bottom w:val="single" w:color="CCCCCC" w:sz="1"/>
              <w:right w:val="single" w:color="CCCCCC" w:sz="1"/>
            </w:tcBorders>
            <w:shd w:fill="FFFFFF" w:val="clear"/>
          </w:tcPr>
          <w:p>
            <w:pPr>
              <w:jc w:val="left"/>
            </w:pPr>
            <w:r>
              <w:rPr>
                <w:rFonts w:ascii="Arial" w:cs="Arial" w:eastAsia="Arial" w:hAnsi="Arial"/>
                <w:b w:val="false"/>
                <w:bCs w:val="false"/>
                <w:i w:val="false"/>
                <w:iCs w:val="false"/>
                <w:color w:val="1F1F1F"/>
                <w:sz w:val="18"/>
                <w:szCs w:val="18"/>
              </w:rPr>
              <w:t xml:space="preserve">Only tool that blocks + auto-corrects before user sees output. 3-line setup vs moderate. OSS, self-hostable.</w:t>
            </w:r>
          </w:p>
        </w:tc>
        <w:tc>
          <w:tcPr>
            <w:tcW w:type="dxa" w:w="2480"/>
            <w:tcBorders>
              <w:top w:val="single" w:color="CCCCCC" w:sz="1"/>
              <w:left w:val="single" w:color="CCCCCC" w:sz="1"/>
              <w:bottom w:val="single" w:color="CCCCCC" w:sz="1"/>
              <w:right w:val="single" w:color="CCCCCC" w:sz="1"/>
            </w:tcBorders>
            <w:shd w:fill="FFFFFF" w:val="clear"/>
          </w:tcPr>
          <w:p>
            <w:pPr>
              <w:jc w:val="left"/>
            </w:pPr>
            <w:r>
              <w:rPr>
                <w:rFonts w:ascii="Arial" w:cs="Arial" w:eastAsia="Arial" w:hAnsi="Arial"/>
                <w:b w:val="false"/>
                <w:bCs w:val="false"/>
                <w:i w:val="false"/>
                <w:iCs w:val="false"/>
                <w:color w:val="1F1F1F"/>
                <w:sz w:val="18"/>
                <w:szCs w:val="18"/>
              </w:rPr>
              <w:t xml:space="preserve">No prompt playground. No dataset mgmt. Smaller community. No SOC2.</w:t>
            </w:r>
          </w:p>
        </w:tc>
        <w:tc>
          <w:tcPr>
            <w:tcW w:type="dxa" w:w="2800"/>
            <w:tcBorders>
              <w:top w:val="single" w:color="CCCCCC" w:sz="1"/>
              <w:left w:val="single" w:color="CCCCCC" w:sz="1"/>
              <w:bottom w:val="single" w:color="CCCCCC" w:sz="1"/>
              <w:right w:val="single" w:color="CCCCCC" w:sz="1"/>
            </w:tcBorders>
            <w:shd w:fill="FFFFFF" w:val="clear"/>
          </w:tcPr>
          <w:p>
            <w:pPr>
              <w:jc w:val="left"/>
            </w:pPr>
            <w:r>
              <w:rPr>
                <w:rFonts w:ascii="Arial" w:cs="Arial" w:eastAsia="Arial" w:hAnsi="Arial"/>
                <w:b w:val="false"/>
                <w:bCs w:val="false"/>
                <w:i w:val="false"/>
                <w:iCs w:val="false"/>
                <w:color w:val="1F1F1F"/>
                <w:sz w:val="18"/>
                <w:szCs w:val="18"/>
              </w:rPr>
              <w:t xml:space="preserve">Complementary — LangSmith for dev debugging, Vex for production guardrails.</w:t>
            </w:r>
          </w:p>
        </w:tc>
      </w:tr>
      <w:tr>
        <w:tc>
          <w:tcPr>
            <w:tcW w:type="dxa" w:w="1600"/>
            <w:tcBorders>
              <w:top w:val="single" w:color="CCCCCC" w:sz="1"/>
              <w:left w:val="single" w:color="CCCCCC" w:sz="1"/>
              <w:bottom w:val="single" w:color="CCCCCC" w:sz="1"/>
              <w:right w:val="single" w:color="CCCCCC" w:sz="1"/>
            </w:tcBorders>
            <w:shd w:fill="2E75B6" w:val="clear"/>
          </w:tcPr>
          <w:p>
            <w:pPr>
              <w:jc w:val="left"/>
            </w:pPr>
            <w:r>
              <w:rPr>
                <w:rFonts w:ascii="Arial" w:cs="Arial" w:eastAsia="Arial" w:hAnsi="Arial"/>
                <w:b/>
                <w:bCs/>
                <w:i w:val="false"/>
                <w:iCs w:val="false"/>
                <w:color w:val="FFFFFF"/>
                <w:sz w:val="18"/>
                <w:szCs w:val="18"/>
              </w:rPr>
              <w:t xml:space="preserve">Langfuse</w:t>
            </w:r>
          </w:p>
        </w:tc>
        <w:tc>
          <w:tcPr>
            <w:tcW w:type="dxa" w:w="2480"/>
            <w:tcBorders>
              <w:top w:val="single" w:color="CCCCCC" w:sz="1"/>
              <w:left w:val="single" w:color="CCCCCC" w:sz="1"/>
              <w:bottom w:val="single" w:color="CCCCCC" w:sz="1"/>
              <w:right w:val="single" w:color="CCCCCC" w:sz="1"/>
            </w:tcBorders>
            <w:shd w:fill="F2F2F2" w:val="clear"/>
          </w:tcPr>
          <w:p>
            <w:pPr>
              <w:jc w:val="left"/>
            </w:pPr>
            <w:r>
              <w:rPr>
                <w:rFonts w:ascii="Arial" w:cs="Arial" w:eastAsia="Arial" w:hAnsi="Arial"/>
                <w:b w:val="false"/>
                <w:bCs w:val="false"/>
                <w:i w:val="false"/>
                <w:iCs w:val="false"/>
                <w:color w:val="1F1F1F"/>
                <w:sz w:val="18"/>
                <w:szCs w:val="18"/>
              </w:rPr>
              <w:t xml:space="preserve">Runtime auto-correction. Hallucination blocking. 3-line setup. Both OSS + self-hostable.</w:t>
            </w:r>
          </w:p>
        </w:tc>
        <w:tc>
          <w:tcPr>
            <w:tcW w:type="dxa" w:w="2480"/>
            <w:tcBorders>
              <w:top w:val="single" w:color="CCCCCC" w:sz="1"/>
              <w:left w:val="single" w:color="CCCCCC" w:sz="1"/>
              <w:bottom w:val="single" w:color="CCCCCC" w:sz="1"/>
              <w:right w:val="single" w:color="CCCCCC" w:sz="1"/>
            </w:tcBorders>
            <w:shd w:fill="F2F2F2" w:val="clear"/>
          </w:tcPr>
          <w:p>
            <w:pPr>
              <w:jc w:val="left"/>
            </w:pPr>
            <w:r>
              <w:rPr>
                <w:rFonts w:ascii="Arial" w:cs="Arial" w:eastAsia="Arial" w:hAnsi="Arial"/>
                <w:b w:val="false"/>
                <w:bCs w:val="false"/>
                <w:i w:val="false"/>
                <w:iCs w:val="false"/>
                <w:color w:val="1F1F1F"/>
                <w:sz w:val="18"/>
                <w:szCs w:val="18"/>
              </w:rPr>
              <w:t xml:space="preserve">No prompt management. No dataset management. Smaller ecosystem.</w:t>
            </w:r>
          </w:p>
        </w:tc>
        <w:tc>
          <w:tcPr>
            <w:tcW w:type="dxa" w:w="2800"/>
            <w:tcBorders>
              <w:top w:val="single" w:color="CCCCCC" w:sz="1"/>
              <w:left w:val="single" w:color="CCCCCC" w:sz="1"/>
              <w:bottom w:val="single" w:color="CCCCCC" w:sz="1"/>
              <w:right w:val="single" w:color="CCCCCC" w:sz="1"/>
            </w:tcBorders>
            <w:shd w:fill="F2F2F2" w:val="clear"/>
          </w:tcPr>
          <w:p>
            <w:pPr>
              <w:jc w:val="left"/>
            </w:pPr>
            <w:r>
              <w:rPr>
                <w:rFonts w:ascii="Arial" w:cs="Arial" w:eastAsia="Arial" w:hAnsi="Arial"/>
                <w:b w:val="false"/>
                <w:bCs w:val="false"/>
                <w:i w:val="false"/>
                <w:iCs w:val="false"/>
                <w:color w:val="1F1F1F"/>
                <w:sz w:val="18"/>
                <w:szCs w:val="18"/>
              </w:rPr>
              <w:t xml:space="preserve">Complementary — Langfuse for observability + prompt mgmt, Vex for safety.</w:t>
            </w:r>
          </w:p>
        </w:tc>
      </w:tr>
      <w:tr>
        <w:tc>
          <w:tcPr>
            <w:tcW w:type="dxa" w:w="1600"/>
            <w:tcBorders>
              <w:top w:val="single" w:color="CCCCCC" w:sz="1"/>
              <w:left w:val="single" w:color="CCCCCC" w:sz="1"/>
              <w:bottom w:val="single" w:color="CCCCCC" w:sz="1"/>
              <w:right w:val="single" w:color="CCCCCC" w:sz="1"/>
            </w:tcBorders>
            <w:shd w:fill="2E75B6" w:val="clear"/>
          </w:tcPr>
          <w:p>
            <w:pPr>
              <w:jc w:val="left"/>
            </w:pPr>
            <w:r>
              <w:rPr>
                <w:rFonts w:ascii="Arial" w:cs="Arial" w:eastAsia="Arial" w:hAnsi="Arial"/>
                <w:b/>
                <w:bCs/>
                <w:i w:val="false"/>
                <w:iCs w:val="false"/>
                <w:color w:val="FFFFFF"/>
                <w:sz w:val="18"/>
                <w:szCs w:val="18"/>
              </w:rPr>
              <w:t xml:space="preserve">Guardrails AI</w:t>
            </w:r>
          </w:p>
        </w:tc>
        <w:tc>
          <w:tcPr>
            <w:tcW w:type="dxa" w:w="2480"/>
            <w:tcBorders>
              <w:top w:val="single" w:color="CCCCCC" w:sz="1"/>
              <w:left w:val="single" w:color="CCCCCC" w:sz="1"/>
              <w:bottom w:val="single" w:color="CCCCCC" w:sz="1"/>
              <w:right w:val="single" w:color="CCCCCC" w:sz="1"/>
            </w:tcBorders>
            <w:shd w:fill="FFFFFF" w:val="clear"/>
          </w:tcPr>
          <w:p>
            <w:pPr>
              <w:jc w:val="left"/>
            </w:pPr>
            <w:r>
              <w:rPr>
                <w:rFonts w:ascii="Arial" w:cs="Arial" w:eastAsia="Arial" w:hAnsi="Arial"/>
                <w:b w:val="false"/>
                <w:bCs w:val="false"/>
                <w:i w:val="false"/>
                <w:iCs w:val="false"/>
                <w:color w:val="1F1F1F"/>
                <w:sz w:val="18"/>
                <w:szCs w:val="18"/>
              </w:rPr>
              <w:t xml:space="preserve">Detects behavioural/semantic drift (Guardrails only checks structure). Auto-correction. TypeScript SDK.</w:t>
            </w:r>
          </w:p>
        </w:tc>
        <w:tc>
          <w:tcPr>
            <w:tcW w:type="dxa" w:w="2480"/>
            <w:tcBorders>
              <w:top w:val="single" w:color="CCCCCC" w:sz="1"/>
              <w:left w:val="single" w:color="CCCCCC" w:sz="1"/>
              <w:bottom w:val="single" w:color="CCCCCC" w:sz="1"/>
              <w:right w:val="single" w:color="CCCCCC" w:sz="1"/>
            </w:tcBorders>
            <w:shd w:fill="FFFFFF" w:val="clear"/>
          </w:tcPr>
          <w:p>
            <w:pPr>
              <w:jc w:val="left"/>
            </w:pPr>
            <w:r>
              <w:rPr>
                <w:rFonts w:ascii="Arial" w:cs="Arial" w:eastAsia="Arial" w:hAnsi="Arial"/>
                <w:b w:val="false"/>
                <w:bCs w:val="false"/>
                <w:i w:val="false"/>
                <w:iCs w:val="false"/>
                <w:color w:val="1F1F1F"/>
                <w:sz w:val="18"/>
                <w:szCs w:val="18"/>
              </w:rPr>
              <w:t xml:space="preserve">Guardrails has more mature structural validation. Larger community.</w:t>
            </w:r>
          </w:p>
        </w:tc>
        <w:tc>
          <w:tcPr>
            <w:tcW w:type="dxa" w:w="2800"/>
            <w:tcBorders>
              <w:top w:val="single" w:color="CCCCCC" w:sz="1"/>
              <w:left w:val="single" w:color="CCCCCC" w:sz="1"/>
              <w:bottom w:val="single" w:color="CCCCCC" w:sz="1"/>
              <w:right w:val="single" w:color="CCCCCC" w:sz="1"/>
            </w:tcBorders>
            <w:shd w:fill="FFFFFF" w:val="clear"/>
          </w:tcPr>
          <w:p>
            <w:pPr>
              <w:jc w:val="left"/>
            </w:pPr>
            <w:r>
              <w:rPr>
                <w:rFonts w:ascii="Arial" w:cs="Arial" w:eastAsia="Arial" w:hAnsi="Arial"/>
                <w:b w:val="false"/>
                <w:bCs w:val="false"/>
                <w:i w:val="false"/>
                <w:iCs w:val="false"/>
                <w:color w:val="1F1F1F"/>
                <w:sz w:val="18"/>
                <w:szCs w:val="18"/>
              </w:rPr>
              <w:t xml:space="preserve">Complementary — stack them. Guardrails for structure, Vex for behaviour.</w:t>
            </w:r>
          </w:p>
        </w:tc>
      </w:tr>
      <w:tr>
        <w:tc>
          <w:tcPr>
            <w:tcW w:type="dxa" w:w="1600"/>
            <w:tcBorders>
              <w:top w:val="single" w:color="CCCCCC" w:sz="1"/>
              <w:left w:val="single" w:color="CCCCCC" w:sz="1"/>
              <w:bottom w:val="single" w:color="CCCCCC" w:sz="1"/>
              <w:right w:val="single" w:color="CCCCCC" w:sz="1"/>
            </w:tcBorders>
            <w:shd w:fill="2E75B6" w:val="clear"/>
          </w:tcPr>
          <w:p>
            <w:pPr>
              <w:jc w:val="left"/>
            </w:pPr>
            <w:r>
              <w:rPr>
                <w:rFonts w:ascii="Arial" w:cs="Arial" w:eastAsia="Arial" w:hAnsi="Arial"/>
                <w:b/>
                <w:bCs/>
                <w:i w:val="false"/>
                <w:iCs w:val="false"/>
                <w:color w:val="FFFFFF"/>
                <w:sz w:val="18"/>
                <w:szCs w:val="18"/>
              </w:rPr>
              <w:t xml:space="preserve">Galileo</w:t>
            </w:r>
          </w:p>
        </w:tc>
        <w:tc>
          <w:tcPr>
            <w:tcW w:type="dxa" w:w="2480"/>
            <w:tcBorders>
              <w:top w:val="single" w:color="CCCCCC" w:sz="1"/>
              <w:left w:val="single" w:color="CCCCCC" w:sz="1"/>
              <w:bottom w:val="single" w:color="CCCCCC" w:sz="1"/>
              <w:right w:val="single" w:color="CCCCCC" w:sz="1"/>
            </w:tcBorders>
            <w:shd w:fill="F2F2F2" w:val="clear"/>
          </w:tcPr>
          <w:p>
            <w:pPr>
              <w:jc w:val="left"/>
            </w:pPr>
            <w:r>
              <w:rPr>
                <w:rFonts w:ascii="Arial" w:cs="Arial" w:eastAsia="Arial" w:hAnsi="Arial"/>
                <w:b w:val="false"/>
                <w:bCs w:val="false"/>
                <w:i w:val="false"/>
                <w:iCs w:val="false"/>
                <w:color w:val="1F1F1F"/>
                <w:sz w:val="18"/>
                <w:szCs w:val="18"/>
              </w:rPr>
              <w:t xml:space="preserve">Simpler setup (3 lines vs complex). Auto-correction cascade (Galileo has none). OSS + self-hostable.</w:t>
            </w:r>
          </w:p>
        </w:tc>
        <w:tc>
          <w:tcPr>
            <w:tcW w:type="dxa" w:w="2480"/>
            <w:tcBorders>
              <w:top w:val="single" w:color="CCCCCC" w:sz="1"/>
              <w:left w:val="single" w:color="CCCCCC" w:sz="1"/>
              <w:bottom w:val="single" w:color="CCCCCC" w:sz="1"/>
              <w:right w:val="single" w:color="CCCCCC" w:sz="1"/>
            </w:tcBorders>
            <w:shd w:fill="F2F2F2" w:val="clear"/>
          </w:tcPr>
          <w:p>
            <w:pPr>
              <w:jc w:val="left"/>
            </w:pPr>
            <w:r>
              <w:rPr>
                <w:rFonts w:ascii="Arial" w:cs="Arial" w:eastAsia="Arial" w:hAnsi="Arial"/>
                <w:b w:val="false"/>
                <w:bCs w:val="false"/>
                <w:i w:val="false"/>
                <w:iCs w:val="false"/>
                <w:color w:val="1F1F1F"/>
                <w:sz w:val="18"/>
                <w:szCs w:val="18"/>
              </w:rPr>
              <w:t xml:space="preserve">Galileo has $68M, SOC2, Luna-2 custom evals, HIPAA, eval-to-guardrail pipeline. Enterprise ready.</w:t>
            </w:r>
          </w:p>
        </w:tc>
        <w:tc>
          <w:tcPr>
            <w:tcW w:type="dxa" w:w="2800"/>
            <w:tcBorders>
              <w:top w:val="single" w:color="CCCCCC" w:sz="1"/>
              <w:left w:val="single" w:color="CCCCCC" w:sz="1"/>
              <w:bottom w:val="single" w:color="CCCCCC" w:sz="1"/>
              <w:right w:val="single" w:color="CCCCCC" w:sz="1"/>
            </w:tcBorders>
            <w:shd w:fill="F2F2F2" w:val="clear"/>
          </w:tcPr>
          <w:p>
            <w:pPr>
              <w:jc w:val="left"/>
            </w:pPr>
            <w:r>
              <w:rPr>
                <w:rFonts w:ascii="Arial" w:cs="Arial" w:eastAsia="Arial" w:hAnsi="Arial"/>
                <w:b w:val="false"/>
                <w:bCs w:val="false"/>
                <w:i w:val="false"/>
                <w:iCs w:val="false"/>
                <w:color w:val="1F1F1F"/>
                <w:sz w:val="18"/>
                <w:szCs w:val="18"/>
              </w:rPr>
              <w:t xml:space="preserve">Direct competitor in runtime safety; Galileo wins on enterprise compliance.</w:t>
            </w:r>
          </w:p>
        </w:tc>
      </w:tr>
      <w:tr>
        <w:tc>
          <w:tcPr>
            <w:tcW w:type="dxa" w:w="1600"/>
            <w:tcBorders>
              <w:top w:val="single" w:color="CCCCCC" w:sz="1"/>
              <w:left w:val="single" w:color="CCCCCC" w:sz="1"/>
              <w:bottom w:val="single" w:color="CCCCCC" w:sz="1"/>
              <w:right w:val="single" w:color="CCCCCC" w:sz="1"/>
            </w:tcBorders>
            <w:shd w:fill="2E75B6" w:val="clear"/>
          </w:tcPr>
          <w:p>
            <w:pPr>
              <w:jc w:val="left"/>
            </w:pPr>
            <w:r>
              <w:rPr>
                <w:rFonts w:ascii="Arial" w:cs="Arial" w:eastAsia="Arial" w:hAnsi="Arial"/>
                <w:b/>
                <w:bCs/>
                <w:i w:val="false"/>
                <w:iCs w:val="false"/>
                <w:color w:val="FFFFFF"/>
                <w:sz w:val="18"/>
                <w:szCs w:val="18"/>
              </w:rPr>
              <w:t xml:space="preserve">Braintrust</w:t>
            </w:r>
          </w:p>
        </w:tc>
        <w:tc>
          <w:tcPr>
            <w:tcW w:type="dxa" w:w="2480"/>
            <w:tcBorders>
              <w:top w:val="single" w:color="CCCCCC" w:sz="1"/>
              <w:left w:val="single" w:color="CCCCCC" w:sz="1"/>
              <w:bottom w:val="single" w:color="CCCCCC" w:sz="1"/>
              <w:right w:val="single" w:color="CCCCCC" w:sz="1"/>
            </w:tcBorders>
            <w:shd w:fill="FFFFFF" w:val="clear"/>
          </w:tcPr>
          <w:p>
            <w:pPr>
              <w:jc w:val="left"/>
            </w:pPr>
            <w:r>
              <w:rPr>
                <w:rFonts w:ascii="Arial" w:cs="Arial" w:eastAsia="Arial" w:hAnsi="Arial"/>
                <w:b w:val="false"/>
                <w:bCs w:val="false"/>
                <w:i w:val="false"/>
                <w:iCs w:val="false"/>
                <w:color w:val="1F1F1F"/>
                <w:sz w:val="18"/>
                <w:szCs w:val="18"/>
              </w:rPr>
              <w:t xml:space="preserve">Real-time blocking + correction. Drift + hallucination + coherence detection. 3x cheaper (Pro $99 vs $249).</w:t>
            </w:r>
          </w:p>
        </w:tc>
        <w:tc>
          <w:tcPr>
            <w:tcW w:type="dxa" w:w="2480"/>
            <w:tcBorders>
              <w:top w:val="single" w:color="CCCCCC" w:sz="1"/>
              <w:left w:val="single" w:color="CCCCCC" w:sz="1"/>
              <w:bottom w:val="single" w:color="CCCCCC" w:sz="1"/>
              <w:right w:val="single" w:color="CCCCCC" w:sz="1"/>
            </w:tcBorders>
            <w:shd w:fill="FFFFFF" w:val="clear"/>
          </w:tcPr>
          <w:p>
            <w:pPr>
              <w:jc w:val="left"/>
            </w:pPr>
            <w:r>
              <w:rPr>
                <w:rFonts w:ascii="Arial" w:cs="Arial" w:eastAsia="Arial" w:hAnsi="Arial"/>
                <w:b w:val="false"/>
                <w:bCs w:val="false"/>
                <w:i w:val="false"/>
                <w:iCs w:val="false"/>
                <w:color w:val="1F1F1F"/>
                <w:sz w:val="18"/>
                <w:szCs w:val="18"/>
              </w:rPr>
              <w:t xml:space="preserve">Braintrust has prompt playground, datasets, regression testing. $800M valuation / more resources.</w:t>
            </w:r>
          </w:p>
        </w:tc>
        <w:tc>
          <w:tcPr>
            <w:tcW w:type="dxa" w:w="2800"/>
            <w:tcBorders>
              <w:top w:val="single" w:color="CCCCCC" w:sz="1"/>
              <w:left w:val="single" w:color="CCCCCC" w:sz="1"/>
              <w:bottom w:val="single" w:color="CCCCCC" w:sz="1"/>
              <w:right w:val="single" w:color="CCCCCC" w:sz="1"/>
            </w:tcBorders>
            <w:shd w:fill="FFFFFF" w:val="clear"/>
          </w:tcPr>
          <w:p>
            <w:pPr>
              <w:jc w:val="left"/>
            </w:pPr>
            <w:r>
              <w:rPr>
                <w:rFonts w:ascii="Arial" w:cs="Arial" w:eastAsia="Arial" w:hAnsi="Arial"/>
                <w:b w:val="false"/>
                <w:bCs w:val="false"/>
                <w:i w:val="false"/>
                <w:iCs w:val="false"/>
                <w:color w:val="1F1F1F"/>
                <w:sz w:val="18"/>
                <w:szCs w:val="18"/>
              </w:rPr>
              <w:t xml:space="preserve">Partially complementary — different timing (pre-delivery vs post-hoc).</w:t>
            </w:r>
          </w:p>
        </w:tc>
      </w:tr>
      <w:tr>
        <w:tc>
          <w:tcPr>
            <w:tcW w:type="dxa" w:w="1600"/>
            <w:tcBorders>
              <w:top w:val="single" w:color="CCCCCC" w:sz="1"/>
              <w:left w:val="single" w:color="CCCCCC" w:sz="1"/>
              <w:bottom w:val="single" w:color="CCCCCC" w:sz="1"/>
              <w:right w:val="single" w:color="CCCCCC" w:sz="1"/>
            </w:tcBorders>
            <w:shd w:fill="2E75B6" w:val="clear"/>
          </w:tcPr>
          <w:p>
            <w:pPr>
              <w:jc w:val="left"/>
            </w:pPr>
            <w:r>
              <w:rPr>
                <w:rFonts w:ascii="Arial" w:cs="Arial" w:eastAsia="Arial" w:hAnsi="Arial"/>
                <w:b/>
                <w:bCs/>
                <w:i w:val="false"/>
                <w:iCs w:val="false"/>
                <w:color w:val="FFFFFF"/>
                <w:sz w:val="18"/>
                <w:szCs w:val="18"/>
              </w:rPr>
              <w:t xml:space="preserve">Arize / Phoenix</w:t>
            </w:r>
          </w:p>
        </w:tc>
        <w:tc>
          <w:tcPr>
            <w:tcW w:type="dxa" w:w="2480"/>
            <w:tcBorders>
              <w:top w:val="single" w:color="CCCCCC" w:sz="1"/>
              <w:left w:val="single" w:color="CCCCCC" w:sz="1"/>
              <w:bottom w:val="single" w:color="CCCCCC" w:sz="1"/>
              <w:right w:val="single" w:color="CCCCCC" w:sz="1"/>
            </w:tcBorders>
            <w:shd w:fill="F2F2F2" w:val="clear"/>
          </w:tcPr>
          <w:p>
            <w:pPr>
              <w:jc w:val="left"/>
            </w:pPr>
            <w:r>
              <w:rPr>
                <w:rFonts w:ascii="Arial" w:cs="Arial" w:eastAsia="Arial" w:hAnsi="Arial"/>
                <w:b w:val="false"/>
                <w:bCs w:val="false"/>
                <w:i w:val="false"/>
                <w:iCs w:val="false"/>
                <w:color w:val="1F1F1F"/>
                <w:sz w:val="18"/>
                <w:szCs w:val="18"/>
              </w:rPr>
              <w:t xml:space="preserve">Auto-correction. More complete runtime safety. 3-line setup.</w:t>
            </w:r>
          </w:p>
        </w:tc>
        <w:tc>
          <w:tcPr>
            <w:tcW w:type="dxa" w:w="2480"/>
            <w:tcBorders>
              <w:top w:val="single" w:color="CCCCCC" w:sz="1"/>
              <w:left w:val="single" w:color="CCCCCC" w:sz="1"/>
              <w:bottom w:val="single" w:color="CCCCCC" w:sz="1"/>
              <w:right w:val="single" w:color="CCCCCC" w:sz="1"/>
            </w:tcBorders>
            <w:shd w:fill="F2F2F2" w:val="clear"/>
          </w:tcPr>
          <w:p>
            <w:pPr>
              <w:jc w:val="left"/>
            </w:pPr>
            <w:r>
              <w:rPr>
                <w:rFonts w:ascii="Arial" w:cs="Arial" w:eastAsia="Arial" w:hAnsi="Arial"/>
                <w:b w:val="false"/>
                <w:bCs w:val="false"/>
                <w:i w:val="false"/>
                <w:iCs w:val="false"/>
                <w:color w:val="1F1F1F"/>
                <w:sz w:val="18"/>
                <w:szCs w:val="18"/>
              </w:rPr>
              <w:t xml:space="preserve">Arize has OpenInference standard, HIPAA, SOC2, Alyx co-pilot, massive enterprise footprint.</w:t>
            </w:r>
          </w:p>
        </w:tc>
        <w:tc>
          <w:tcPr>
            <w:tcW w:type="dxa" w:w="2800"/>
            <w:tcBorders>
              <w:top w:val="single" w:color="CCCCCC" w:sz="1"/>
              <w:left w:val="single" w:color="CCCCCC" w:sz="1"/>
              <w:bottom w:val="single" w:color="CCCCCC" w:sz="1"/>
              <w:right w:val="single" w:color="CCCCCC" w:sz="1"/>
            </w:tcBorders>
            <w:shd w:fill="F2F2F2" w:val="clear"/>
          </w:tcPr>
          <w:p>
            <w:pPr>
              <w:jc w:val="left"/>
            </w:pPr>
            <w:r>
              <w:rPr>
                <w:rFonts w:ascii="Arial" w:cs="Arial" w:eastAsia="Arial" w:hAnsi="Arial"/>
                <w:b w:val="false"/>
                <w:bCs w:val="false"/>
                <w:i w:val="false"/>
                <w:iCs w:val="false"/>
                <w:color w:val="1F1F1F"/>
                <w:sz w:val="18"/>
                <w:szCs w:val="18"/>
              </w:rPr>
              <w:t xml:space="preserve">Complementary — Arize/Phoenix for observability, Vex for runtime correction.</w:t>
            </w:r>
          </w:p>
        </w:tc>
      </w:tr>
    </w:tbl>
    <w:p>
      <w:pPr>
        <w:spacing w:before="80" w:after="80"/>
      </w:pPr>
      <w:r>
        <w:t xml:space="preserve"/>
      </w:r>
    </w:p>
    <w:p>
      <w:pPr>
        <w:pBdr>
          <w:bottom w:val="single" w:color="2E75B6" w:sz="6" w:space="1"/>
        </w:pBdr>
        <w:spacing w:before="280" w:after="100"/>
      </w:pPr>
      <w:r>
        <w:rPr>
          <w:rFonts w:ascii="Arial" w:cs="Arial" w:eastAsia="Arial" w:hAnsi="Arial"/>
          <w:b/>
          <w:bCs/>
          <w:color w:val="1F3864"/>
          <w:sz w:val="28"/>
          <w:szCs w:val="28"/>
        </w:rPr>
        <w:t xml:space="preserve">7. Vex's Strategic Advantages</w:t>
      </w:r>
    </w:p>
    <w:p>
      <w:pPr>
        <w:pStyle w:val="ListParagraph"/>
        <w:numPr>
          <w:ilvl w:val="0"/>
          <w:numId w:val="2"/>
        </w:numPr>
      </w:pPr>
      <w:r>
        <w:rPr>
          <w:rFonts w:ascii="Arial" w:cs="Arial" w:eastAsia="Arial" w:hAnsi="Arial"/>
          <w:sz w:val="20"/>
          <w:szCs w:val="20"/>
        </w:rPr>
        <w:t xml:space="preserve">Unique technical moat: Trajectory-based min(IR, TD) drift scoring is genuinely novel. No competitor implements this.</w:t>
      </w:r>
    </w:p>
    <w:p>
      <w:pPr>
        <w:pStyle w:val="ListParagraph"/>
        <w:numPr>
          <w:ilvl w:val="0"/>
          <w:numId w:val="2"/>
        </w:numPr>
      </w:pPr>
      <w:r>
        <w:rPr>
          <w:rFonts w:ascii="Arial" w:cs="Arial" w:eastAsia="Arial" w:hAnsi="Arial"/>
          <w:sz w:val="20"/>
          <w:szCs w:val="20"/>
        </w:rPr>
        <w:t xml:space="preserve">Auto-correction: The 3-layer cascade (repair → constrained regen → full re-prompt) is the only automated correction pipeline in the market. Galileo blocks but does not correct. Others only observe.</w:t>
      </w:r>
    </w:p>
    <w:p>
      <w:pPr>
        <w:pStyle w:val="ListParagraph"/>
        <w:numPr>
          <w:ilvl w:val="0"/>
          <w:numId w:val="2"/>
        </w:numPr>
      </w:pPr>
      <w:r>
        <w:rPr>
          <w:rFonts w:ascii="Arial" w:cs="Arial" w:eastAsia="Arial" w:hAnsi="Arial"/>
          <w:sz w:val="20"/>
          <w:szCs w:val="20"/>
        </w:rPr>
        <w:t xml:space="preserve">Complementary by design: Vex does not replace LangSmith, Langfuse, or Guardrails AI — it fills the production safety gap those tools leave. This reduces sales friction.</w:t>
      </w:r>
    </w:p>
    <w:p>
      <w:pPr>
        <w:pStyle w:val="ListParagraph"/>
        <w:numPr>
          <w:ilvl w:val="0"/>
          <w:numId w:val="2"/>
        </w:numPr>
      </w:pPr>
      <w:r>
        <w:rPr>
          <w:rFonts w:ascii="Arial" w:cs="Arial" w:eastAsia="Arial" w:hAnsi="Arial"/>
          <w:sz w:val="20"/>
          <w:szCs w:val="20"/>
        </w:rPr>
        <w:t xml:space="preserve">Open-core model: Apache 2.0 SDK drives adoption; AGPLv3 dashboard creates enterprise revenue opportunity. Matches Langfuse's successful open-source playbook.</w:t>
      </w:r>
    </w:p>
    <w:p>
      <w:pPr>
        <w:pStyle w:val="ListParagraph"/>
        <w:numPr>
          <w:ilvl w:val="0"/>
          <w:numId w:val="2"/>
        </w:numPr>
      </w:pPr>
      <w:r>
        <w:rPr>
          <w:rFonts w:ascii="Arial" w:cs="Arial" w:eastAsia="Arial" w:hAnsi="Arial"/>
          <w:sz w:val="20"/>
          <w:szCs w:val="20"/>
        </w:rPr>
        <w:t xml:space="preserve">Developer-first onboarding: 3-line integration vs 'moderate' complexity for all competitors. Lower barrier = higher top-of-funnel conversion.</w:t>
      </w:r>
    </w:p>
    <w:p>
      <w:pPr>
        <w:pStyle w:val="ListParagraph"/>
        <w:numPr>
          <w:ilvl w:val="0"/>
          <w:numId w:val="2"/>
        </w:numPr>
      </w:pPr>
      <w:r>
        <w:rPr>
          <w:rFonts w:ascii="Arial" w:cs="Arial" w:eastAsia="Arial" w:hAnsi="Arial"/>
          <w:sz w:val="20"/>
          <w:szCs w:val="20"/>
        </w:rPr>
        <w:t xml:space="preserve">Market timing: EU AI Act enforcement (Aug 2024) + rising enterprise agentic deployment = urgency. Vex is early.</w:t>
      </w:r>
    </w:p>
    <w:p>
      <w:pPr>
        <w:spacing w:before="80" w:after="80"/>
      </w:pPr>
      <w:r>
        <w:t xml:space="preserve"/>
      </w:r>
    </w:p>
    <w:p>
      <w:pPr>
        <w:pBdr>
          <w:bottom w:val="single" w:color="2E75B6" w:sz="6" w:space="1"/>
        </w:pBdr>
        <w:spacing w:before="280" w:after="100"/>
      </w:pPr>
      <w:r>
        <w:rPr>
          <w:rFonts w:ascii="Arial" w:cs="Arial" w:eastAsia="Arial" w:hAnsi="Arial"/>
          <w:b/>
          <w:bCs/>
          <w:color w:val="1F3864"/>
          <w:sz w:val="28"/>
          <w:szCs w:val="28"/>
        </w:rPr>
        <w:t xml:space="preserve">8. Competitive Gaps, Risks &amp; Threats</w:t>
      </w:r>
    </w:p>
    <w:p>
      <w:pPr>
        <w:spacing w:before="40" w:after="40"/>
      </w:pPr>
      <w:r>
        <w:rPr>
          <w:rFonts w:ascii="Arial" w:cs="Arial" w:eastAsia="Arial" w:hAnsi="Arial"/>
          <w:b w:val="false"/>
          <w:bCs w:val="false"/>
          <w:i w:val="false"/>
          <w:iCs w:val="false"/>
          <w:color w:val="1F1F1F"/>
          <w:sz w:val="20"/>
          <w:szCs w:val="20"/>
        </w:rPr>
        <w:t xml:space="preserve">The following gaps represent the areas most likely to be exploited by competitors or cited in sales cycles:</w:t>
      </w: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560"/>
        <w:gridCol w:w="3600"/>
      </w:tblGrid>
      <w:tr>
        <w:tc>
          <w:tcPr>
            <w:tcW w:type="dxa" w:w="2200"/>
            <w:tcBorders>
              <w:top w:val="single" w:color="CCCCCC" w:sz="1"/>
              <w:left w:val="single" w:color="CCCCCC" w:sz="1"/>
              <w:bottom w:val="single" w:color="CCCCCC" w:sz="1"/>
              <w:right w:val="single" w:color="CCCCCC" w:sz="1"/>
            </w:tcBorders>
            <w:shd w:fill="1F3864" w:val="clear"/>
          </w:tcPr>
          <w:p>
            <w:pPr>
              <w:jc w:val="center"/>
            </w:pPr>
            <w:r>
              <w:rPr>
                <w:rFonts w:ascii="Arial" w:cs="Arial" w:eastAsia="Arial" w:hAnsi="Arial"/>
                <w:b/>
                <w:bCs/>
                <w:i w:val="false"/>
                <w:iCs w:val="false"/>
                <w:color w:val="FFFFFF"/>
                <w:sz w:val="18"/>
                <w:szCs w:val="18"/>
              </w:rPr>
              <w:t xml:space="preserve">Gap / Risk</w:t>
            </w:r>
          </w:p>
        </w:tc>
        <w:tc>
          <w:tcPr>
            <w:tcW w:type="dxa" w:w="3560"/>
            <w:tcBorders>
              <w:top w:val="single" w:color="CCCCCC" w:sz="1"/>
              <w:left w:val="single" w:color="CCCCCC" w:sz="1"/>
              <w:bottom w:val="single" w:color="CCCCCC" w:sz="1"/>
              <w:right w:val="single" w:color="CCCCCC" w:sz="1"/>
            </w:tcBorders>
            <w:shd w:fill="1F3864" w:val="clear"/>
          </w:tcPr>
          <w:p>
            <w:pPr>
              <w:jc w:val="center"/>
            </w:pPr>
            <w:r>
              <w:rPr>
                <w:rFonts w:ascii="Arial" w:cs="Arial" w:eastAsia="Arial" w:hAnsi="Arial"/>
                <w:b/>
                <w:bCs/>
                <w:i w:val="false"/>
                <w:iCs w:val="false"/>
                <w:color w:val="FFFFFF"/>
                <w:sz w:val="18"/>
                <w:szCs w:val="18"/>
              </w:rPr>
              <w:t xml:space="preserve">Detail</w:t>
            </w:r>
          </w:p>
        </w:tc>
        <w:tc>
          <w:tcPr>
            <w:tcW w:type="dxa" w:w="3600"/>
            <w:tcBorders>
              <w:top w:val="single" w:color="CCCCCC" w:sz="1"/>
              <w:left w:val="single" w:color="CCCCCC" w:sz="1"/>
              <w:bottom w:val="single" w:color="CCCCCC" w:sz="1"/>
              <w:right w:val="single" w:color="CCCCCC" w:sz="1"/>
            </w:tcBorders>
            <w:shd w:fill="1F3864" w:val="clear"/>
          </w:tcPr>
          <w:p>
            <w:pPr>
              <w:jc w:val="center"/>
            </w:pPr>
            <w:r>
              <w:rPr>
                <w:rFonts w:ascii="Arial" w:cs="Arial" w:eastAsia="Arial" w:hAnsi="Arial"/>
                <w:b/>
                <w:bCs/>
                <w:i w:val="false"/>
                <w:iCs w:val="false"/>
                <w:color w:val="FFFFFF"/>
                <w:sz w:val="18"/>
                <w:szCs w:val="18"/>
              </w:rPr>
              <w:t xml:space="preserve">Who Has It</w:t>
            </w:r>
          </w:p>
        </w:tc>
      </w:tr>
      <w:tr>
        <w:tc>
          <w:tcPr>
            <w:tcW w:type="dxa" w:w="2200"/>
            <w:tcBorders>
              <w:top w:val="single" w:color="CCCCCC" w:sz="1"/>
              <w:left w:val="single" w:color="CCCCCC" w:sz="1"/>
              <w:bottom w:val="single" w:color="CCCCCC" w:sz="1"/>
              <w:right w:val="single" w:color="CCCCCC" w:sz="1"/>
            </w:tcBorders>
            <w:shd w:fill="FFFFFF" w:val="clear"/>
          </w:tcPr>
          <w:p>
            <w:pPr>
              <w:jc w:val="left"/>
            </w:pPr>
            <w:r>
              <w:rPr>
                <w:rFonts w:ascii="Arial" w:cs="Arial" w:eastAsia="Arial" w:hAnsi="Arial"/>
                <w:b/>
                <w:bCs/>
                <w:i w:val="false"/>
                <w:iCs w:val="false"/>
                <w:color w:val="1F3864"/>
                <w:sz w:val="18"/>
                <w:szCs w:val="18"/>
              </w:rPr>
              <w:t xml:space="preserve">No prompt management</w:t>
            </w:r>
          </w:p>
        </w:tc>
        <w:tc>
          <w:tcPr>
            <w:tcW w:type="dxa" w:w="3560"/>
            <w:tcBorders>
              <w:top w:val="single" w:color="CCCCCC" w:sz="1"/>
              <w:left w:val="single" w:color="CCCCCC" w:sz="1"/>
              <w:bottom w:val="single" w:color="CCCCCC" w:sz="1"/>
              <w:right w:val="single" w:color="CCCCCC" w:sz="1"/>
            </w:tcBorders>
            <w:shd w:fill="FFFFFF" w:val="clear"/>
          </w:tcPr>
          <w:p>
            <w:pPr>
              <w:jc w:val="left"/>
            </w:pPr>
            <w:r>
              <w:rPr>
                <w:rFonts w:ascii="Arial" w:cs="Arial" w:eastAsia="Arial" w:hAnsi="Arial"/>
                <w:b w:val="false"/>
                <w:bCs w:val="false"/>
                <w:i w:val="false"/>
                <w:iCs w:val="false"/>
                <w:color w:val="1F1F1F"/>
                <w:sz w:val="18"/>
                <w:szCs w:val="18"/>
              </w:rPr>
              <w:t xml:space="preserve">Cannot version, A/B test, or manage prompts. Significant gap for teams iterating on agent prompts.</w:t>
            </w:r>
          </w:p>
        </w:tc>
        <w:tc>
          <w:tcPr>
            <w:tcW w:type="dxa" w:w="3600"/>
            <w:tcBorders>
              <w:top w:val="single" w:color="CCCCCC" w:sz="1"/>
              <w:left w:val="single" w:color="CCCCCC" w:sz="1"/>
              <w:bottom w:val="single" w:color="CCCCCC" w:sz="1"/>
              <w:right w:val="single" w:color="CCCCCC" w:sz="1"/>
            </w:tcBorders>
            <w:shd w:fill="FFFFFF" w:val="clear"/>
          </w:tcPr>
          <w:p>
            <w:pPr>
              <w:jc w:val="left"/>
            </w:pPr>
            <w:r>
              <w:rPr>
                <w:rFonts w:ascii="Arial" w:cs="Arial" w:eastAsia="Arial" w:hAnsi="Arial"/>
                <w:b w:val="false"/>
                <w:bCs w:val="false"/>
                <w:i/>
                <w:iCs/>
                <w:color w:val="1F1F1F"/>
                <w:sz w:val="17"/>
                <w:szCs w:val="17"/>
              </w:rPr>
              <w:t xml:space="preserve">Langfuse, Braintrust, Galileo</w:t>
            </w:r>
          </w:p>
        </w:tc>
      </w:tr>
      <w:tr>
        <w:tc>
          <w:tcPr>
            <w:tcW w:type="dxa" w:w="2200"/>
            <w:tcBorders>
              <w:top w:val="single" w:color="CCCCCC" w:sz="1"/>
              <w:left w:val="single" w:color="CCCCCC" w:sz="1"/>
              <w:bottom w:val="single" w:color="CCCCCC" w:sz="1"/>
              <w:right w:val="single" w:color="CCCCCC" w:sz="1"/>
            </w:tcBorders>
            <w:shd w:fill="F2F2F2" w:val="clear"/>
          </w:tcPr>
          <w:p>
            <w:pPr>
              <w:jc w:val="left"/>
            </w:pPr>
            <w:r>
              <w:rPr>
                <w:rFonts w:ascii="Arial" w:cs="Arial" w:eastAsia="Arial" w:hAnsi="Arial"/>
                <w:b/>
                <w:bCs/>
                <w:i w:val="false"/>
                <w:iCs w:val="false"/>
                <w:color w:val="1F3864"/>
                <w:sz w:val="18"/>
                <w:szCs w:val="18"/>
              </w:rPr>
              <w:t xml:space="preserve">No dataset management</w:t>
            </w:r>
          </w:p>
        </w:tc>
        <w:tc>
          <w:tcPr>
            <w:tcW w:type="dxa" w:w="3560"/>
            <w:tcBorders>
              <w:top w:val="single" w:color="CCCCCC" w:sz="1"/>
              <w:left w:val="single" w:color="CCCCCC" w:sz="1"/>
              <w:bottom w:val="single" w:color="CCCCCC" w:sz="1"/>
              <w:right w:val="single" w:color="CCCCCC" w:sz="1"/>
            </w:tcBorders>
            <w:shd w:fill="F2F2F2" w:val="clear"/>
          </w:tcPr>
          <w:p>
            <w:pPr>
              <w:jc w:val="left"/>
            </w:pPr>
            <w:r>
              <w:rPr>
                <w:rFonts w:ascii="Arial" w:cs="Arial" w:eastAsia="Arial" w:hAnsi="Arial"/>
                <w:b w:val="false"/>
                <w:bCs w:val="false"/>
                <w:i w:val="false"/>
                <w:iCs w:val="false"/>
                <w:color w:val="1F1F1F"/>
                <w:sz w:val="18"/>
                <w:szCs w:val="18"/>
              </w:rPr>
              <w:t xml:space="preserve">Cannot store curated test cases or turn traces into regression datasets.</w:t>
            </w:r>
          </w:p>
        </w:tc>
        <w:tc>
          <w:tcPr>
            <w:tcW w:type="dxa" w:w="3600"/>
            <w:tcBorders>
              <w:top w:val="single" w:color="CCCCCC" w:sz="1"/>
              <w:left w:val="single" w:color="CCCCCC" w:sz="1"/>
              <w:bottom w:val="single" w:color="CCCCCC" w:sz="1"/>
              <w:right w:val="single" w:color="CCCCCC" w:sz="1"/>
            </w:tcBorders>
            <w:shd w:fill="F2F2F2" w:val="clear"/>
          </w:tcPr>
          <w:p>
            <w:pPr>
              <w:jc w:val="left"/>
            </w:pPr>
            <w:r>
              <w:rPr>
                <w:rFonts w:ascii="Arial" w:cs="Arial" w:eastAsia="Arial" w:hAnsi="Arial"/>
                <w:b w:val="false"/>
                <w:bCs w:val="false"/>
                <w:i/>
                <w:iCs/>
                <w:color w:val="1F1F1F"/>
                <w:sz w:val="17"/>
                <w:szCs w:val="17"/>
              </w:rPr>
              <w:t xml:space="preserve">Langfuse, Braintrust, LangSmith</w:t>
            </w:r>
          </w:p>
        </w:tc>
      </w:tr>
      <w:tr>
        <w:tc>
          <w:tcPr>
            <w:tcW w:type="dxa" w:w="2200"/>
            <w:tcBorders>
              <w:top w:val="single" w:color="CCCCCC" w:sz="1"/>
              <w:left w:val="single" w:color="CCCCCC" w:sz="1"/>
              <w:bottom w:val="single" w:color="CCCCCC" w:sz="1"/>
              <w:right w:val="single" w:color="CCCCCC" w:sz="1"/>
            </w:tcBorders>
            <w:shd w:fill="FFFFFF" w:val="clear"/>
          </w:tcPr>
          <w:p>
            <w:pPr>
              <w:jc w:val="left"/>
            </w:pPr>
            <w:r>
              <w:rPr>
                <w:rFonts w:ascii="Arial" w:cs="Arial" w:eastAsia="Arial" w:hAnsi="Arial"/>
                <w:b/>
                <w:bCs/>
                <w:i w:val="false"/>
                <w:iCs w:val="false"/>
                <w:color w:val="1F3864"/>
                <w:sz w:val="18"/>
                <w:szCs w:val="18"/>
              </w:rPr>
              <w:t xml:space="preserve">No custom evaluators</w:t>
            </w:r>
          </w:p>
        </w:tc>
        <w:tc>
          <w:tcPr>
            <w:tcW w:type="dxa" w:w="3560"/>
            <w:tcBorders>
              <w:top w:val="single" w:color="CCCCCC" w:sz="1"/>
              <w:left w:val="single" w:color="CCCCCC" w:sz="1"/>
              <w:bottom w:val="single" w:color="CCCCCC" w:sz="1"/>
              <w:right w:val="single" w:color="CCCCCC" w:sz="1"/>
            </w:tcBorders>
            <w:shd w:fill="FFFFFF" w:val="clear"/>
          </w:tcPr>
          <w:p>
            <w:pPr>
              <w:jc w:val="left"/>
            </w:pPr>
            <w:r>
              <w:rPr>
                <w:rFonts w:ascii="Arial" w:cs="Arial" w:eastAsia="Arial" w:hAnsi="Arial"/>
                <w:b w:val="false"/>
                <w:bCs w:val="false"/>
                <w:i w:val="false"/>
                <w:iCs w:val="false"/>
                <w:color w:val="1F1F1F"/>
                <w:sz w:val="18"/>
                <w:szCs w:val="18"/>
              </w:rPr>
              <w:t xml:space="preserve">No Luna-2-style domain-specific evaluation. Vex uses general-purpose checks only.</w:t>
            </w:r>
          </w:p>
        </w:tc>
        <w:tc>
          <w:tcPr>
            <w:tcW w:type="dxa" w:w="3600"/>
            <w:tcBorders>
              <w:top w:val="single" w:color="CCCCCC" w:sz="1"/>
              <w:left w:val="single" w:color="CCCCCC" w:sz="1"/>
              <w:bottom w:val="single" w:color="CCCCCC" w:sz="1"/>
              <w:right w:val="single" w:color="CCCCCC" w:sz="1"/>
            </w:tcBorders>
            <w:shd w:fill="FFFFFF" w:val="clear"/>
          </w:tcPr>
          <w:p>
            <w:pPr>
              <w:jc w:val="left"/>
            </w:pPr>
            <w:r>
              <w:rPr>
                <w:rFonts w:ascii="Arial" w:cs="Arial" w:eastAsia="Arial" w:hAnsi="Arial"/>
                <w:b w:val="false"/>
                <w:bCs w:val="false"/>
                <w:i/>
                <w:iCs/>
                <w:color w:val="1F1F1F"/>
                <w:sz w:val="17"/>
                <w:szCs w:val="17"/>
              </w:rPr>
              <w:t xml:space="preserve">Galileo (Luna-2), LangSmith (LLM-as-judge)</w:t>
            </w:r>
          </w:p>
        </w:tc>
      </w:tr>
      <w:tr>
        <w:tc>
          <w:tcPr>
            <w:tcW w:type="dxa" w:w="2200"/>
            <w:tcBorders>
              <w:top w:val="single" w:color="CCCCCC" w:sz="1"/>
              <w:left w:val="single" w:color="CCCCCC" w:sz="1"/>
              <w:bottom w:val="single" w:color="CCCCCC" w:sz="1"/>
              <w:right w:val="single" w:color="CCCCCC" w:sz="1"/>
            </w:tcBorders>
            <w:shd w:fill="F2F2F2" w:val="clear"/>
          </w:tcPr>
          <w:p>
            <w:pPr>
              <w:jc w:val="left"/>
            </w:pPr>
            <w:r>
              <w:rPr>
                <w:rFonts w:ascii="Arial" w:cs="Arial" w:eastAsia="Arial" w:hAnsi="Arial"/>
                <w:b/>
                <w:bCs/>
                <w:i w:val="false"/>
                <w:iCs w:val="false"/>
                <w:color w:val="1F3864"/>
                <w:sz w:val="18"/>
                <w:szCs w:val="18"/>
              </w:rPr>
              <w:t xml:space="preserve">No SOC 2 / HIPAA</w:t>
            </w:r>
          </w:p>
        </w:tc>
        <w:tc>
          <w:tcPr>
            <w:tcW w:type="dxa" w:w="3560"/>
            <w:tcBorders>
              <w:top w:val="single" w:color="CCCCCC" w:sz="1"/>
              <w:left w:val="single" w:color="CCCCCC" w:sz="1"/>
              <w:bottom w:val="single" w:color="CCCCCC" w:sz="1"/>
              <w:right w:val="single" w:color="CCCCCC" w:sz="1"/>
            </w:tcBorders>
            <w:shd w:fill="F2F2F2" w:val="clear"/>
          </w:tcPr>
          <w:p>
            <w:pPr>
              <w:jc w:val="left"/>
            </w:pPr>
            <w:r>
              <w:rPr>
                <w:rFonts w:ascii="Arial" w:cs="Arial" w:eastAsia="Arial" w:hAnsi="Arial"/>
                <w:b w:val="false"/>
                <w:bCs w:val="false"/>
                <w:i w:val="false"/>
                <w:iCs w:val="false"/>
                <w:color w:val="1F1F1F"/>
                <w:sz w:val="18"/>
                <w:szCs w:val="18"/>
              </w:rPr>
              <w:t xml:space="preserve">No published compliance certifications. Blocks enterprise procurement in regulated industries.</w:t>
            </w:r>
          </w:p>
        </w:tc>
        <w:tc>
          <w:tcPr>
            <w:tcW w:type="dxa" w:w="3600"/>
            <w:tcBorders>
              <w:top w:val="single" w:color="CCCCCC" w:sz="1"/>
              <w:left w:val="single" w:color="CCCCCC" w:sz="1"/>
              <w:bottom w:val="single" w:color="CCCCCC" w:sz="1"/>
              <w:right w:val="single" w:color="CCCCCC" w:sz="1"/>
            </w:tcBorders>
            <w:shd w:fill="F2F2F2" w:val="clear"/>
          </w:tcPr>
          <w:p>
            <w:pPr>
              <w:jc w:val="left"/>
            </w:pPr>
            <w:r>
              <w:rPr>
                <w:rFonts w:ascii="Arial" w:cs="Arial" w:eastAsia="Arial" w:hAnsi="Arial"/>
                <w:b w:val="false"/>
                <w:bCs w:val="false"/>
                <w:i/>
                <w:iCs/>
                <w:color w:val="1F1F1F"/>
                <w:sz w:val="17"/>
                <w:szCs w:val="17"/>
              </w:rPr>
              <w:t xml:space="preserve">LangSmith (SOC2, HIPAA), Galileo (SOC2), Arize (SOC2, HIPAA)</w:t>
            </w:r>
          </w:p>
        </w:tc>
      </w:tr>
      <w:tr>
        <w:tc>
          <w:tcPr>
            <w:tcW w:type="dxa" w:w="2200"/>
            <w:tcBorders>
              <w:top w:val="single" w:color="CCCCCC" w:sz="1"/>
              <w:left w:val="single" w:color="CCCCCC" w:sz="1"/>
              <w:bottom w:val="single" w:color="CCCCCC" w:sz="1"/>
              <w:right w:val="single" w:color="CCCCCC" w:sz="1"/>
            </w:tcBorders>
            <w:shd w:fill="FFFFFF" w:val="clear"/>
          </w:tcPr>
          <w:p>
            <w:pPr>
              <w:jc w:val="left"/>
            </w:pPr>
            <w:r>
              <w:rPr>
                <w:rFonts w:ascii="Arial" w:cs="Arial" w:eastAsia="Arial" w:hAnsi="Arial"/>
                <w:b/>
                <w:bCs/>
                <w:i w:val="false"/>
                <w:iCs w:val="false"/>
                <w:color w:val="1F3864"/>
                <w:sz w:val="18"/>
                <w:szCs w:val="18"/>
              </w:rPr>
              <w:t xml:space="preserve">No eval-to-guardrail pipeline</w:t>
            </w:r>
          </w:p>
        </w:tc>
        <w:tc>
          <w:tcPr>
            <w:tcW w:type="dxa" w:w="3560"/>
            <w:tcBorders>
              <w:top w:val="single" w:color="CCCCCC" w:sz="1"/>
              <w:left w:val="single" w:color="CCCCCC" w:sz="1"/>
              <w:bottom w:val="single" w:color="CCCCCC" w:sz="1"/>
              <w:right w:val="single" w:color="CCCCCC" w:sz="1"/>
            </w:tcBorders>
            <w:shd w:fill="FFFFFF" w:val="clear"/>
          </w:tcPr>
          <w:p>
            <w:pPr>
              <w:jc w:val="left"/>
            </w:pPr>
            <w:r>
              <w:rPr>
                <w:rFonts w:ascii="Arial" w:cs="Arial" w:eastAsia="Arial" w:hAnsi="Arial"/>
                <w:b w:val="false"/>
                <w:bCs w:val="false"/>
                <w:i w:val="false"/>
                <w:iCs w:val="false"/>
                <w:color w:val="1F1F1F"/>
                <w:sz w:val="18"/>
                <w:szCs w:val="18"/>
              </w:rPr>
              <w:t xml:space="preserve">Cannot automatically promote pre-deploy evals into production guardrails.</w:t>
            </w:r>
          </w:p>
        </w:tc>
        <w:tc>
          <w:tcPr>
            <w:tcW w:type="dxa" w:w="3600"/>
            <w:tcBorders>
              <w:top w:val="single" w:color="CCCCCC" w:sz="1"/>
              <w:left w:val="single" w:color="CCCCCC" w:sz="1"/>
              <w:bottom w:val="single" w:color="CCCCCC" w:sz="1"/>
              <w:right w:val="single" w:color="CCCCCC" w:sz="1"/>
            </w:tcBorders>
            <w:shd w:fill="FFFFFF" w:val="clear"/>
          </w:tcPr>
          <w:p>
            <w:pPr>
              <w:jc w:val="left"/>
            </w:pPr>
            <w:r>
              <w:rPr>
                <w:rFonts w:ascii="Arial" w:cs="Arial" w:eastAsia="Arial" w:hAnsi="Arial"/>
                <w:b w:val="false"/>
                <w:bCs w:val="false"/>
                <w:i/>
                <w:iCs/>
                <w:color w:val="1F1F1F"/>
                <w:sz w:val="17"/>
                <w:szCs w:val="17"/>
              </w:rPr>
              <w:t xml:space="preserve">Galileo</w:t>
            </w:r>
          </w:p>
        </w:tc>
      </w:tr>
      <w:tr>
        <w:tc>
          <w:tcPr>
            <w:tcW w:type="dxa" w:w="2200"/>
            <w:tcBorders>
              <w:top w:val="single" w:color="CCCCCC" w:sz="1"/>
              <w:left w:val="single" w:color="CCCCCC" w:sz="1"/>
              <w:bottom w:val="single" w:color="CCCCCC" w:sz="1"/>
              <w:right w:val="single" w:color="CCCCCC" w:sz="1"/>
            </w:tcBorders>
            <w:shd w:fill="F2F2F2" w:val="clear"/>
          </w:tcPr>
          <w:p>
            <w:pPr>
              <w:jc w:val="left"/>
            </w:pPr>
            <w:r>
              <w:rPr>
                <w:rFonts w:ascii="Arial" w:cs="Arial" w:eastAsia="Arial" w:hAnsi="Arial"/>
                <w:b/>
                <w:bCs/>
                <w:i w:val="false"/>
                <w:iCs w:val="false"/>
                <w:color w:val="1F3864"/>
                <w:sz w:val="18"/>
                <w:szCs w:val="18"/>
              </w:rPr>
              <w:t xml:space="preserve">Undisclosed funding</w:t>
            </w:r>
          </w:p>
        </w:tc>
        <w:tc>
          <w:tcPr>
            <w:tcW w:type="dxa" w:w="3560"/>
            <w:tcBorders>
              <w:top w:val="single" w:color="CCCCCC" w:sz="1"/>
              <w:left w:val="single" w:color="CCCCCC" w:sz="1"/>
              <w:bottom w:val="single" w:color="CCCCCC" w:sz="1"/>
              <w:right w:val="single" w:color="CCCCCC" w:sz="1"/>
            </w:tcBorders>
            <w:shd w:fill="F2F2F2" w:val="clear"/>
          </w:tcPr>
          <w:p>
            <w:pPr>
              <w:jc w:val="left"/>
            </w:pPr>
            <w:r>
              <w:rPr>
                <w:rFonts w:ascii="Arial" w:cs="Arial" w:eastAsia="Arial" w:hAnsi="Arial"/>
                <w:b w:val="false"/>
                <w:bCs w:val="false"/>
                <w:i w:val="false"/>
                <w:iCs w:val="false"/>
                <w:color w:val="1F1F1F"/>
                <w:sz w:val="18"/>
                <w:szCs w:val="18"/>
              </w:rPr>
              <w:t xml:space="preserve">No announced funding round. Competitors have $4.5M–$260M raised. Limits scale and sales.</w:t>
            </w:r>
          </w:p>
        </w:tc>
        <w:tc>
          <w:tcPr>
            <w:tcW w:type="dxa" w:w="3600"/>
            <w:tcBorders>
              <w:top w:val="single" w:color="CCCCCC" w:sz="1"/>
              <w:left w:val="single" w:color="CCCCCC" w:sz="1"/>
              <w:bottom w:val="single" w:color="CCCCCC" w:sz="1"/>
              <w:right w:val="single" w:color="CCCCCC" w:sz="1"/>
            </w:tcBorders>
            <w:shd w:fill="F2F2F2" w:val="clear"/>
          </w:tcPr>
          <w:p>
            <w:pPr>
              <w:jc w:val="left"/>
            </w:pPr>
            <w:r>
              <w:rPr>
                <w:rFonts w:ascii="Arial" w:cs="Arial" w:eastAsia="Arial" w:hAnsi="Arial"/>
                <w:b w:val="false"/>
                <w:bCs w:val="false"/>
                <w:i/>
                <w:iCs/>
                <w:color w:val="1F1F1F"/>
                <w:sz w:val="17"/>
                <w:szCs w:val="17"/>
              </w:rPr>
              <w:t xml:space="preserve">All named competitors</w:t>
            </w:r>
          </w:p>
        </w:tc>
      </w:tr>
      <w:tr>
        <w:tc>
          <w:tcPr>
            <w:tcW w:type="dxa" w:w="2200"/>
            <w:tcBorders>
              <w:top w:val="single" w:color="CCCCCC" w:sz="1"/>
              <w:left w:val="single" w:color="CCCCCC" w:sz="1"/>
              <w:bottom w:val="single" w:color="CCCCCC" w:sz="1"/>
              <w:right w:val="single" w:color="CCCCCC" w:sz="1"/>
            </w:tcBorders>
            <w:shd w:fill="FFFFFF" w:val="clear"/>
          </w:tcPr>
          <w:p>
            <w:pPr>
              <w:jc w:val="left"/>
            </w:pPr>
            <w:r>
              <w:rPr>
                <w:rFonts w:ascii="Arial" w:cs="Arial" w:eastAsia="Arial" w:hAnsi="Arial"/>
                <w:b/>
                <w:bCs/>
                <w:i w:val="false"/>
                <w:iCs w:val="false"/>
                <w:color w:val="1F3864"/>
                <w:sz w:val="18"/>
                <w:szCs w:val="18"/>
              </w:rPr>
              <w:t xml:space="preserve">Early-stage brand</w:t>
            </w:r>
          </w:p>
        </w:tc>
        <w:tc>
          <w:tcPr>
            <w:tcW w:type="dxa" w:w="3560"/>
            <w:tcBorders>
              <w:top w:val="single" w:color="CCCCCC" w:sz="1"/>
              <w:left w:val="single" w:color="CCCCCC" w:sz="1"/>
              <w:bottom w:val="single" w:color="CCCCCC" w:sz="1"/>
              <w:right w:val="single" w:color="CCCCCC" w:sz="1"/>
            </w:tcBorders>
            <w:shd w:fill="FFFFFF" w:val="clear"/>
          </w:tcPr>
          <w:p>
            <w:pPr>
              <w:jc w:val="left"/>
            </w:pPr>
            <w:r>
              <w:rPr>
                <w:rFonts w:ascii="Arial" w:cs="Arial" w:eastAsia="Arial" w:hAnsi="Arial"/>
                <w:b w:val="false"/>
                <w:bCs w:val="false"/>
                <w:i w:val="false"/>
                <w:iCs w:val="false"/>
                <w:color w:val="1F1F1F"/>
                <w:sz w:val="18"/>
                <w:szCs w:val="18"/>
              </w:rPr>
              <w:t xml:space="preserve">No case studies, logos, or customer proof points published. Harder enterprise sell.</w:t>
            </w:r>
          </w:p>
        </w:tc>
        <w:tc>
          <w:tcPr>
            <w:tcW w:type="dxa" w:w="3600"/>
            <w:tcBorders>
              <w:top w:val="single" w:color="CCCCCC" w:sz="1"/>
              <w:left w:val="single" w:color="CCCCCC" w:sz="1"/>
              <w:bottom w:val="single" w:color="CCCCCC" w:sz="1"/>
              <w:right w:val="single" w:color="CCCCCC" w:sz="1"/>
            </w:tcBorders>
            <w:shd w:fill="FFFFFF" w:val="clear"/>
          </w:tcPr>
          <w:p>
            <w:pPr>
              <w:jc w:val="left"/>
            </w:pPr>
            <w:r>
              <w:rPr>
                <w:rFonts w:ascii="Arial" w:cs="Arial" w:eastAsia="Arial" w:hAnsi="Arial"/>
                <w:b w:val="false"/>
                <w:bCs w:val="false"/>
                <w:i/>
                <w:iCs/>
                <w:color w:val="1F1F1F"/>
                <w:sz w:val="17"/>
                <w:szCs w:val="17"/>
              </w:rPr>
              <w:t xml:space="preserve">All named competitors</w:t>
            </w:r>
          </w:p>
        </w:tc>
      </w:tr>
      <w:tr>
        <w:tc>
          <w:tcPr>
            <w:tcW w:type="dxa" w:w="2200"/>
            <w:tcBorders>
              <w:top w:val="single" w:color="CCCCCC" w:sz="1"/>
              <w:left w:val="single" w:color="CCCCCC" w:sz="1"/>
              <w:bottom w:val="single" w:color="CCCCCC" w:sz="1"/>
              <w:right w:val="single" w:color="CCCCCC" w:sz="1"/>
            </w:tcBorders>
            <w:shd w:fill="F2F2F2" w:val="clear"/>
          </w:tcPr>
          <w:p>
            <w:pPr>
              <w:jc w:val="left"/>
            </w:pPr>
            <w:r>
              <w:rPr>
                <w:rFonts w:ascii="Arial" w:cs="Arial" w:eastAsia="Arial" w:hAnsi="Arial"/>
                <w:b/>
                <w:bCs/>
                <w:i w:val="false"/>
                <w:iCs w:val="false"/>
                <w:color w:val="1F3864"/>
                <w:sz w:val="18"/>
                <w:szCs w:val="18"/>
              </w:rPr>
              <w:t xml:space="preserve">Capital risk</w:t>
            </w:r>
          </w:p>
        </w:tc>
        <w:tc>
          <w:tcPr>
            <w:tcW w:type="dxa" w:w="3560"/>
            <w:tcBorders>
              <w:top w:val="single" w:color="CCCCCC" w:sz="1"/>
              <w:left w:val="single" w:color="CCCCCC" w:sz="1"/>
              <w:bottom w:val="single" w:color="CCCCCC" w:sz="1"/>
              <w:right w:val="single" w:color="CCCCCC" w:sz="1"/>
            </w:tcBorders>
            <w:shd w:fill="F2F2F2" w:val="clear"/>
          </w:tcPr>
          <w:p>
            <w:pPr>
              <w:jc w:val="left"/>
            </w:pPr>
            <w:r>
              <w:rPr>
                <w:rFonts w:ascii="Arial" w:cs="Arial" w:eastAsia="Arial" w:hAnsi="Arial"/>
                <w:b w:val="false"/>
                <w:bCs w:val="false"/>
                <w:i w:val="false"/>
                <w:iCs w:val="false"/>
                <w:color w:val="1F1F1F"/>
                <w:sz w:val="18"/>
                <w:szCs w:val="18"/>
              </w:rPr>
              <w:t xml:space="preserve">Galileo ($68M), Braintrust ($80M / $800M), LangChain ($260M / $1.25B) could all add auto-correction as a feature with existing resources.</w:t>
            </w:r>
          </w:p>
        </w:tc>
        <w:tc>
          <w:tcPr>
            <w:tcW w:type="dxa" w:w="3600"/>
            <w:tcBorders>
              <w:top w:val="single" w:color="CCCCCC" w:sz="1"/>
              <w:left w:val="single" w:color="CCCCCC" w:sz="1"/>
              <w:bottom w:val="single" w:color="CCCCCC" w:sz="1"/>
              <w:right w:val="single" w:color="CCCCCC" w:sz="1"/>
            </w:tcBorders>
            <w:shd w:fill="F2F2F2" w:val="clear"/>
          </w:tcPr>
          <w:p>
            <w:pPr>
              <w:jc w:val="left"/>
            </w:pPr>
            <w:r>
              <w:rPr>
                <w:rFonts w:ascii="Arial" w:cs="Arial" w:eastAsia="Arial" w:hAnsi="Arial"/>
                <w:b w:val="false"/>
                <w:bCs w:val="false"/>
                <w:i/>
                <w:iCs/>
                <w:color w:val="1F1F1F"/>
                <w:sz w:val="17"/>
                <w:szCs w:val="17"/>
              </w:rPr>
              <w:t xml:space="preserve">Galileo, Braintrust, LangChain</w:t>
            </w:r>
          </w:p>
        </w:tc>
      </w:tr>
    </w:tbl>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2E75B6" w:sz="12"/>
              <w:bottom w:val="single" w:color="CCCCCC" w:sz="1"/>
              <w:right w:val="single" w:color="CCCCCC" w:sz="1"/>
            </w:tcBorders>
            <w:shd w:fill="FDEDEC" w:val="clear"/>
          </w:tcPr>
          <w:p>
            <w:r>
              <w:rPr>
                <w:rFonts w:ascii="Arial" w:cs="Arial" w:eastAsia="Arial" w:hAnsi="Arial"/>
                <w:i/>
                <w:iCs/>
                <w:color w:val="1F3864"/>
                <w:sz w:val="18"/>
                <w:szCs w:val="18"/>
              </w:rPr>
              <w:t xml:space="preserve">Most critical near-term risk: Galileo ($68M raised) or LangChain ($260M raised, $1.25B valuation) adding an auto-correction feature to their existing platform would neutralise Vex's primary differentiator. Vex's window of technical uniqueness is likely 12–24 months before replication.</w:t>
            </w:r>
          </w:p>
        </w:tc>
      </w:tr>
    </w:tbl>
    <w:p>
      <w:pPr>
        <w:spacing w:before="80" w:after="80"/>
      </w:pPr>
      <w:r>
        <w:t xml:space="preserve"/>
      </w:r>
    </w:p>
    <w:p>
      <w:pPr>
        <w:pBdr>
          <w:bottom w:val="single" w:color="2E75B6" w:sz="6" w:space="1"/>
        </w:pBdr>
        <w:spacing w:before="280" w:after="100"/>
      </w:pPr>
      <w:r>
        <w:rPr>
          <w:rFonts w:ascii="Arial" w:cs="Arial" w:eastAsia="Arial" w:hAnsi="Arial"/>
          <w:b/>
          <w:bCs/>
          <w:color w:val="1F3864"/>
          <w:sz w:val="28"/>
          <w:szCs w:val="28"/>
        </w:rPr>
        <w:t xml:space="preserve">9. Strategic Observations</w:t>
      </w:r>
    </w:p>
    <w:p>
      <w:pPr>
        <w:pStyle w:val="ListParagraph"/>
        <w:numPr>
          <w:ilvl w:val="0"/>
          <w:numId w:val="2"/>
        </w:numPr>
      </w:pPr>
      <w:r>
        <w:rPr>
          <w:rFonts w:ascii="Arial" w:cs="Arial" w:eastAsia="Arial" w:hAnsi="Arial"/>
          <w:sz w:val="20"/>
          <w:szCs w:val="20"/>
        </w:rPr>
        <w:t xml:space="preserve">Vex should prioritise SOC 2 certification to unblock enterprise procurement — this is a hard gate for regulated industries.</w:t>
      </w:r>
    </w:p>
    <w:p>
      <w:pPr>
        <w:pStyle w:val="ListParagraph"/>
        <w:numPr>
          <w:ilvl w:val="0"/>
          <w:numId w:val="2"/>
        </w:numPr>
      </w:pPr>
      <w:r>
        <w:rPr>
          <w:rFonts w:ascii="Arial" w:cs="Arial" w:eastAsia="Arial" w:hAnsi="Arial"/>
          <w:sz w:val="20"/>
          <w:szCs w:val="20"/>
        </w:rPr>
        <w:t xml:space="preserve">Adding basic prompt management (even lightweight versioning) would close the most-cited gap vs. Langfuse and Braintrust.</w:t>
      </w:r>
    </w:p>
    <w:p>
      <w:pPr>
        <w:pStyle w:val="ListParagraph"/>
        <w:numPr>
          <w:ilvl w:val="0"/>
          <w:numId w:val="2"/>
        </w:numPr>
      </w:pPr>
      <w:r>
        <w:rPr>
          <w:rFonts w:ascii="Arial" w:cs="Arial" w:eastAsia="Arial" w:hAnsi="Arial"/>
          <w:sz w:val="20"/>
          <w:szCs w:val="20"/>
        </w:rPr>
        <w:t xml:space="preserve">Publishing customer case studies and logos (even anonymised) is the fastest way to build credibility against well-funded competitors.</w:t>
      </w:r>
    </w:p>
    <w:p>
      <w:pPr>
        <w:pStyle w:val="ListParagraph"/>
        <w:numPr>
          <w:ilvl w:val="0"/>
          <w:numId w:val="2"/>
        </w:numPr>
      </w:pPr>
      <w:r>
        <w:rPr>
          <w:rFonts w:ascii="Arial" w:cs="Arial" w:eastAsia="Arial" w:hAnsi="Arial"/>
          <w:sz w:val="20"/>
          <w:szCs w:val="20"/>
        </w:rPr>
        <w:t xml:space="preserve">Fundraising: The competitive set has $4.5M–$260M raised. Vex needs capital to keep pace with product velocity and go-to-market reach.</w:t>
      </w:r>
    </w:p>
    <w:p>
      <w:pPr>
        <w:pStyle w:val="ListParagraph"/>
        <w:numPr>
          <w:ilvl w:val="0"/>
          <w:numId w:val="2"/>
        </w:numPr>
      </w:pPr>
      <w:r>
        <w:rPr>
          <w:rFonts w:ascii="Arial" w:cs="Arial" w:eastAsia="Arial" w:hAnsi="Arial"/>
          <w:sz w:val="20"/>
          <w:szCs w:val="20"/>
        </w:rPr>
        <w:t xml:space="preserve">The positioning as complementary (not competitive) to LangSmith / Langfuse is smart — it enables co-sell and avoids head-on conflict with $1.25B+ incumbents.</w:t>
      </w:r>
    </w:p>
    <w:p>
      <w:pPr>
        <w:spacing w:before="80" w:after="80"/>
      </w:pPr>
      <w:r>
        <w:t xml:space="preserve"/>
      </w:r>
    </w:p>
    <w:p>
      <w:pPr>
        <w:pBdr>
          <w:top w:val="single" w:color="CCCCCC" w:sz="4" w:space="1"/>
        </w:pBdr>
        <w:spacing w:before="400"/>
      </w:pPr>
      <w:r>
        <w:rPr>
          <w:rFonts w:ascii="Arial" w:cs="Arial" w:eastAsia="Arial" w:hAnsi="Arial"/>
          <w:i/>
          <w:iCs/>
          <w:color w:val="888888"/>
          <w:sz w:val="16"/>
          <w:szCs w:val="16"/>
        </w:rPr>
        <w:t xml:space="preserve">Disclaimer: This report is based on publicly available information from tryvex.dev, docs.tryvex.dev, Vex blog posts, competitor websites, and third-party analyst reports (Mordor Intelligence, ResearchNester, CMI, Tracxn, Sacra, TechCrunch). Competitive comparisons may reflect Vex's own positioning. Market sizing figures are estimates. SAM/SOM are author estimates derived from published market data. This document is for informational purposes only.</w:t>
      </w:r>
    </w:p>
    <w:p>
      <w:pPr>
        <w:spacing w:before="280" w:after="100"/>
      </w:pPr>
      <w:r>
        <w:rPr>
          <w:rFonts w:ascii="Arial" w:cs="Arial" w:eastAsia="Arial" w:hAnsi="Arial"/>
          <w:b/>
          <w:bCs/>
          <w:color w:val="1F3864"/>
          <w:sz w:val="28"/>
          <w:szCs w:val="28"/>
        </w:rPr>
        <w:t>10. Competitor Size, Offerings &amp; Target Market (March 2026 Update)</w:t>
      </w:r>
    </w:p>
    <w:p>
      <w:pPr>
        <w:spacing w:before="40" w:after="40"/>
      </w:pPr>
      <w:r>
        <w:rPr>
          <w:rFonts w:ascii="Arial" w:cs="Arial" w:eastAsia="Arial" w:hAnsi="Arial"/>
          <w:sz w:val="20"/>
          <w:szCs w:val="20"/>
        </w:rPr>
        <w:t>This section synthesises the latest research (March 2026) on each competitor’s company size, product offerings, and addressable market. Data sourced from Tracxn, Sacra, LinkedIn, TechCrunch, and company announcements.</w:t>
      </w:r>
    </w:p>
    <w:tbl>
      <w:tblPr>
        <w:tblW w:w="9360" w:type="dxa"/>
        <w:tblBorders>
          <w:top w:val="single" w:sz="1" w:color="CCCCCC"/>
          <w:left w:val="single" w:sz="1" w:color="CCCCCC"/>
          <w:bottom w:val="single" w:sz="1" w:color="CCCCCC"/>
          <w:right w:val="single" w:sz="1" w:color="CCCCCC"/>
          <w:insideH w:val="single" w:sz="1" w:color="CCCCCC"/>
          <w:insideV w:val="single" w:sz="1" w:color="CCCCCC"/>
        </w:tblBorders>
      </w:tblPr>
      <w:tblGrid>
        <w:gridCol w:w="1700"/>
        <w:gridCol w:w="1000"/>
        <w:gridCol w:w="1100"/>
        <w:gridCol w:w="1200"/>
        <w:gridCol w:w="2260"/>
        <w:gridCol w:w="2100"/>
      </w:tblGrid>
      <w:tr>
        <w:tc>
          <w:tcPr>
            <w:tcW w:w="1700" w:type="dxa"/>
            <w:shd w:fill="1F3864" w:val="clear"/>
          </w:tcPr>
          <w:p>
            <w:pPr>
              <w:jc w:val="center"/>
            </w:pPr>
            <w:r>
              <w:rPr>
                <w:rFonts w:ascii="Arial" w:cs="Arial" w:hAnsi="Arial"/>
                <w:b/>
                <w:color w:val="FFFFFF"/>
                <w:sz w:val="18"/>
              </w:rPr>
              <w:t>Company</w:t>
            </w:r>
          </w:p>
        </w:tc>
        <w:tc>
          <w:tcPr>
            <w:tcW w:w="1000" w:type="dxa"/>
            <w:shd w:fill="1F3864" w:val="clear"/>
          </w:tcPr>
          <w:p>
            <w:pPr>
              <w:jc w:val="center"/>
            </w:pPr>
            <w:r>
              <w:rPr>
                <w:rFonts w:ascii="Arial" w:cs="Arial" w:hAnsi="Arial"/>
                <w:b/>
                <w:color w:val="FFFFFF"/>
                <w:sz w:val="18"/>
              </w:rPr>
              <w:t>Employees</w:t>
            </w:r>
          </w:p>
        </w:tc>
        <w:tc>
          <w:tcPr>
            <w:tcW w:w="1100" w:type="dxa"/>
            <w:shd w:fill="1F3864" w:val="clear"/>
          </w:tcPr>
          <w:p>
            <w:pPr>
              <w:jc w:val="center"/>
            </w:pPr>
            <w:r>
              <w:rPr>
                <w:rFonts w:ascii="Arial" w:cs="Arial" w:hAnsi="Arial"/>
                <w:b/>
                <w:color w:val="FFFFFF"/>
                <w:sz w:val="18"/>
              </w:rPr>
              <w:t>Funding</w:t>
            </w:r>
          </w:p>
        </w:tc>
        <w:tc>
          <w:tcPr>
            <w:tcW w:w="1200" w:type="dxa"/>
            <w:shd w:fill="1F3864" w:val="clear"/>
          </w:tcPr>
          <w:p>
            <w:pPr>
              <w:jc w:val="center"/>
            </w:pPr>
            <w:r>
              <w:rPr>
                <w:rFonts w:ascii="Arial" w:cs="Arial" w:hAnsi="Arial"/>
                <w:b/>
                <w:color w:val="FFFFFF"/>
                <w:sz w:val="18"/>
              </w:rPr>
              <w:t>Revenue/ARR</w:t>
            </w:r>
          </w:p>
        </w:tc>
        <w:tc>
          <w:tcPr>
            <w:tcW w:w="2260" w:type="dxa"/>
            <w:shd w:fill="1F3864" w:val="clear"/>
          </w:tcPr>
          <w:p>
            <w:pPr>
              <w:jc w:val="center"/>
            </w:pPr>
            <w:r>
              <w:rPr>
                <w:rFonts w:ascii="Arial" w:cs="Arial" w:hAnsi="Arial"/>
                <w:b/>
                <w:color w:val="FFFFFF"/>
                <w:sz w:val="18"/>
              </w:rPr>
              <w:t>Primary Offerings</w:t>
            </w:r>
          </w:p>
        </w:tc>
        <w:tc>
          <w:tcPr>
            <w:tcW w:w="2100" w:type="dxa"/>
            <w:shd w:fill="1F3864" w:val="clear"/>
          </w:tcPr>
          <w:p>
            <w:pPr>
              <w:jc w:val="center"/>
            </w:pPr>
            <w:r>
              <w:rPr>
                <w:rFonts w:ascii="Arial" w:cs="Arial" w:hAnsi="Arial"/>
                <w:b/>
                <w:color w:val="FFFFFF"/>
                <w:sz w:val="18"/>
              </w:rPr>
              <w:t>Target Market &amp; TAM</w:t>
            </w:r>
          </w:p>
        </w:tc>
      </w:tr>
      <w:tr>
        <w:tc>
          <w:tcPr>
            <w:tcW w:w="1700" w:type="dxa"/>
            <w:shd w:fill="D5E8F0" w:val="clear"/>
          </w:tcPr>
          <w:p>
            <w:r>
              <w:rPr>
                <w:rFonts w:ascii="Arial" w:cs="Arial" w:hAnsi="Arial"/>
                <w:b/>
                <w:color w:val="1F3864"/>
                <w:sz w:val="18"/>
              </w:rPr>
              <w:t>LangChain / LangSmith</w:t>
            </w:r>
          </w:p>
        </w:tc>
        <w:tc>
          <w:tcPr>
            <w:tcW w:w="1000" w:type="dxa"/>
            <w:shd w:fill="FFFFFF" w:val="clear"/>
          </w:tcPr>
          <w:p>
            <w:pPr>
              <w:jc w:val="center"/>
            </w:pPr>
            <w:r>
              <w:rPr>
                <w:rFonts w:ascii="Arial" w:cs="Arial" w:hAnsi="Arial"/>
                <w:sz w:val="18"/>
              </w:rPr>
              <w:t>~195</w:t>
            </w:r>
          </w:p>
        </w:tc>
        <w:tc>
          <w:tcPr>
            <w:tcW w:w="1100" w:type="dxa"/>
            <w:shd w:fill="FFFFFF" w:val="clear"/>
          </w:tcPr>
          <w:p>
            <w:pPr>
              <w:jc w:val="center"/>
            </w:pPr>
            <w:r>
              <w:rPr>
                <w:rFonts w:ascii="Arial" w:cs="Arial" w:hAnsi="Arial"/>
                <w:sz w:val="18"/>
              </w:rPr>
              <w:t>$260M</w:t>
            </w:r>
          </w:p>
        </w:tc>
        <w:tc>
          <w:tcPr>
            <w:tcW w:w="1200" w:type="dxa"/>
            <w:shd w:fill="FFFFFF" w:val="clear"/>
          </w:tcPr>
          <w:p>
            <w:pPr>
              <w:jc w:val="center"/>
            </w:pPr>
            <w:r>
              <w:rPr>
                <w:rFonts w:ascii="Arial" w:cs="Arial" w:hAnsi="Arial"/>
                <w:sz w:val="18"/>
              </w:rPr>
              <w:t>$16M ARR</w:t>
            </w:r>
          </w:p>
        </w:tc>
        <w:tc>
          <w:tcPr>
            <w:tcW w:w="2260" w:type="dxa"/>
            <w:shd w:fill="FFFFFF" w:val="clear"/>
          </w:tcPr>
          <w:p>
            <w:r>
              <w:rPr>
                <w:rFonts w:ascii="Arial" w:cs="Arial" w:hAnsi="Arial"/>
                <w:sz w:val="17"/>
              </w:rPr>
              <w:t>Agent engineering framework (LangChain OSS), multi-agent orchestration (LangGraph), observability + tracing + evals + prompt mgmt (LangSmith). 25K+ monthly active teams, 1B+ trace logs.</w:t>
            </w:r>
          </w:p>
        </w:tc>
        <w:tc>
          <w:tcPr>
            <w:tcW w:w="2100" w:type="dxa"/>
            <w:shd w:fill="FFFFFF" w:val="clear"/>
          </w:tcPr>
          <w:p>
            <w:r>
              <w:rPr>
                <w:rFonts w:ascii="Arial" w:cs="Arial" w:hAnsi="Arial"/>
                <w:sz w:val="17"/>
              </w:rPr>
              <w:t>Enterprise across financial, legal, medical, tech. Customers: Morningstar, BCG, Microsoft, Klarna. TAM: $1.7B (AI observability, 2025).</w:t>
            </w:r>
          </w:p>
        </w:tc>
      </w:tr>
      <w:tr>
        <w:tc>
          <w:tcPr>
            <w:tcW w:w="1700" w:type="dxa"/>
            <w:shd w:fill="D5E8F0" w:val="clear"/>
          </w:tcPr>
          <w:p>
            <w:r>
              <w:rPr>
                <w:rFonts w:ascii="Arial" w:cs="Arial" w:hAnsi="Arial"/>
                <w:b/>
                <w:color w:val="1F3864"/>
                <w:sz w:val="18"/>
              </w:rPr>
              <w:t>Galileo AI</w:t>
            </w:r>
          </w:p>
        </w:tc>
        <w:tc>
          <w:tcPr>
            <w:tcW w:w="1000" w:type="dxa"/>
            <w:shd w:fill="F2F2F2" w:val="clear"/>
          </w:tcPr>
          <w:p>
            <w:pPr>
              <w:jc w:val="center"/>
            </w:pPr>
            <w:r>
              <w:rPr>
                <w:rFonts w:ascii="Arial" w:cs="Arial" w:hAnsi="Arial"/>
                <w:sz w:val="18"/>
              </w:rPr>
              <w:t>~142</w:t>
            </w:r>
          </w:p>
        </w:tc>
        <w:tc>
          <w:tcPr>
            <w:tcW w:w="1100" w:type="dxa"/>
            <w:shd w:fill="F2F2F2" w:val="clear"/>
          </w:tcPr>
          <w:p>
            <w:pPr>
              <w:jc w:val="center"/>
            </w:pPr>
            <w:r>
              <w:rPr>
                <w:rFonts w:ascii="Arial" w:cs="Arial" w:hAnsi="Arial"/>
                <w:sz w:val="18"/>
              </w:rPr>
              <w:t>$68M</w:t>
            </w:r>
          </w:p>
        </w:tc>
        <w:tc>
          <w:tcPr>
            <w:tcW w:w="1200" w:type="dxa"/>
            <w:shd w:fill="F2F2F2" w:val="clear"/>
          </w:tcPr>
          <w:p>
            <w:pPr>
              <w:jc w:val="center"/>
            </w:pPr>
            <w:r>
              <w:rPr>
                <w:rFonts w:ascii="Arial" w:cs="Arial" w:hAnsi="Arial"/>
                <w:sz w:val="18"/>
              </w:rPr>
              <w:t>N/D (834% growth)</w:t>
            </w:r>
          </w:p>
        </w:tc>
        <w:tc>
          <w:tcPr>
            <w:tcW w:w="2260" w:type="dxa"/>
            <w:shd w:fill="F2F2F2" w:val="clear"/>
          </w:tcPr>
          <w:p>
            <w:r>
              <w:rPr>
                <w:rFonts w:ascii="Arial" w:cs="Arial" w:hAnsi="Arial"/>
                <w:sz w:val="17"/>
              </w:rPr>
              <w:t>Enterprise eval platform. ChainPoll hallucination detection, Luna-2 SLM evaluators (&lt;50ms), eval-to-guardrail pipeline, SOC 2 certified. No auto-correction.</w:t>
            </w:r>
          </w:p>
        </w:tc>
        <w:tc>
          <w:tcPr>
            <w:tcW w:w="2100" w:type="dxa"/>
            <w:shd w:fill="F2F2F2" w:val="clear"/>
          </w:tcPr>
          <w:p>
            <w:r>
              <w:rPr>
                <w:rFonts w:ascii="Arial" w:cs="Arial" w:hAnsi="Arial"/>
                <w:sz w:val="17"/>
              </w:rPr>
              <w:t>Fortune 500 / regulated enterprises. Signed 6 Fortune 50 companies incl. Comcast &amp; Twilio. TAM: $550M (agentic AI monitoring, 2025).</w:t>
            </w:r>
          </w:p>
        </w:tc>
      </w:tr>
      <w:tr>
        <w:tc>
          <w:tcPr>
            <w:tcW w:w="1700" w:type="dxa"/>
            <w:shd w:fill="D5E8F0" w:val="clear"/>
          </w:tcPr>
          <w:p>
            <w:r>
              <w:rPr>
                <w:rFonts w:ascii="Arial" w:cs="Arial" w:hAnsi="Arial"/>
                <w:b/>
                <w:color w:val="1F3864"/>
                <w:sz w:val="18"/>
              </w:rPr>
              <w:t>Braintrust</w:t>
            </w:r>
          </w:p>
        </w:tc>
        <w:tc>
          <w:tcPr>
            <w:tcW w:w="1000" w:type="dxa"/>
            <w:shd w:fill="FFFFFF" w:val="clear"/>
          </w:tcPr>
          <w:p>
            <w:pPr>
              <w:jc w:val="center"/>
            </w:pPr>
            <w:r>
              <w:rPr>
                <w:rFonts w:ascii="Arial" w:cs="Arial" w:hAnsi="Arial"/>
                <w:sz w:val="18"/>
              </w:rPr>
              <w:t>11–50</w:t>
            </w:r>
          </w:p>
        </w:tc>
        <w:tc>
          <w:tcPr>
            <w:tcW w:w="1100" w:type="dxa"/>
            <w:shd w:fill="FFFFFF" w:val="clear"/>
          </w:tcPr>
          <w:p>
            <w:pPr>
              <w:jc w:val="center"/>
            </w:pPr>
            <w:r>
              <w:rPr>
                <w:rFonts w:ascii="Arial" w:cs="Arial" w:hAnsi="Arial"/>
                <w:sz w:val="18"/>
              </w:rPr>
              <w:t>$121M</w:t>
            </w:r>
          </w:p>
        </w:tc>
        <w:tc>
          <w:tcPr>
            <w:tcW w:w="1200" w:type="dxa"/>
            <w:shd w:fill="FFFFFF" w:val="clear"/>
          </w:tcPr>
          <w:p>
            <w:pPr>
              <w:jc w:val="center"/>
            </w:pPr>
            <w:r>
              <w:rPr>
                <w:rFonts w:ascii="Arial" w:cs="Arial" w:hAnsi="Arial"/>
                <w:sz w:val="18"/>
              </w:rPr>
              <w:t>N/D</w:t>
            </w:r>
          </w:p>
        </w:tc>
        <w:tc>
          <w:tcPr>
            <w:tcW w:w="2260" w:type="dxa"/>
            <w:shd w:fill="FFFFFF" w:val="clear"/>
          </w:tcPr>
          <w:p>
            <w:r>
              <w:rPr>
                <w:rFonts w:ascii="Arial" w:cs="Arial" w:hAnsi="Arial"/>
                <w:sz w:val="17"/>
              </w:rPr>
              <w:t>Eval-first observability, prompt playground, dataset mgmt, batch testing, regression detection, real-time trace monitoring. Pro: $249/mo. No runtime correction.</w:t>
            </w:r>
          </w:p>
        </w:tc>
        <w:tc>
          <w:tcPr>
            <w:tcW w:w="2100" w:type="dxa"/>
            <w:shd w:fill="FFFFFF" w:val="clear"/>
          </w:tcPr>
          <w:p>
            <w:r>
              <w:rPr>
                <w:rFonts w:ascii="Arial" w:cs="Arial" w:hAnsi="Arial"/>
                <w:sz w:val="17"/>
              </w:rPr>
              <w:t>Enterprise + mid-market. Customers: Notion, Stripe, Zapier, Instacart, Airtable. HIPAA &amp; financial services. TAM: $550M (agentic AI monitoring, 2025).</w:t>
            </w:r>
          </w:p>
        </w:tc>
      </w:tr>
      <w:tr>
        <w:tc>
          <w:tcPr>
            <w:tcW w:w="1700" w:type="dxa"/>
            <w:shd w:fill="D5E8F0" w:val="clear"/>
          </w:tcPr>
          <w:p>
            <w:r>
              <w:rPr>
                <w:rFonts w:ascii="Arial" w:cs="Arial" w:hAnsi="Arial"/>
                <w:b/>
                <w:color w:val="1F3864"/>
                <w:sz w:val="18"/>
              </w:rPr>
              <w:t>Langfuse</w:t>
            </w:r>
          </w:p>
        </w:tc>
        <w:tc>
          <w:tcPr>
            <w:tcW w:w="1000" w:type="dxa"/>
            <w:shd w:fill="F2F2F2" w:val="clear"/>
          </w:tcPr>
          <w:p>
            <w:pPr>
              <w:jc w:val="center"/>
            </w:pPr>
            <w:r>
              <w:rPr>
                <w:rFonts w:ascii="Arial" w:cs="Arial" w:hAnsi="Arial"/>
                <w:sz w:val="18"/>
              </w:rPr>
              <w:t>~15</w:t>
            </w:r>
          </w:p>
        </w:tc>
        <w:tc>
          <w:tcPr>
            <w:tcW w:w="1100" w:type="dxa"/>
            <w:shd w:fill="F2F2F2" w:val="clear"/>
          </w:tcPr>
          <w:p>
            <w:pPr>
              <w:jc w:val="center"/>
            </w:pPr>
            <w:r>
              <w:rPr>
                <w:rFonts w:ascii="Arial" w:cs="Arial" w:hAnsi="Arial"/>
                <w:sz w:val="18"/>
              </w:rPr>
              <w:t>$4.5M</w:t>
            </w:r>
          </w:p>
        </w:tc>
        <w:tc>
          <w:tcPr>
            <w:tcW w:w="1200" w:type="dxa"/>
            <w:shd w:fill="F2F2F2" w:val="clear"/>
          </w:tcPr>
          <w:p>
            <w:pPr>
              <w:jc w:val="center"/>
            </w:pPr>
            <w:r>
              <w:rPr>
                <w:rFonts w:ascii="Arial" w:cs="Arial" w:hAnsi="Arial"/>
                <w:sz w:val="18"/>
              </w:rPr>
              <w:t>$1.1M ARR</w:t>
            </w:r>
          </w:p>
        </w:tc>
        <w:tc>
          <w:tcPr>
            <w:tcW w:w="2260" w:type="dxa"/>
            <w:shd w:fill="F2F2F2" w:val="clear"/>
          </w:tcPr>
          <w:p>
            <w:r>
              <w:rPr>
                <w:rFonts w:ascii="Arial" w:cs="Arial" w:hAnsi="Arial"/>
                <w:sz w:val="17"/>
              </w:rPr>
              <w:t>OSS LLM observability (MIT), tracing, prompt mgmt, dataset mgmt, LLM-as-judge evals, cost/latency analytics, A/B prompt testing. 22.9K GitHub stars. Now part of ClickHouse.</w:t>
            </w:r>
          </w:p>
        </w:tc>
        <w:tc>
          <w:tcPr>
            <w:tcW w:w="2100" w:type="dxa"/>
            <w:shd w:fill="F2F2F2" w:val="clear"/>
          </w:tcPr>
          <w:p>
            <w:r>
              <w:rPr>
                <w:rFonts w:ascii="Arial" w:cs="Arial" w:hAnsi="Arial"/>
                <w:sz w:val="17"/>
              </w:rPr>
              <w:t>Developers wanting no vendor lock-in. Self-hostable, ISO 27001. TAM: $220M (LLM observability sub-segment, 2025).</w:t>
            </w:r>
          </w:p>
        </w:tc>
      </w:tr>
      <w:tr>
        <w:tc>
          <w:tcPr>
            <w:tcW w:w="1700" w:type="dxa"/>
            <w:shd w:fill="D5E8F0" w:val="clear"/>
          </w:tcPr>
          <w:p>
            <w:r>
              <w:rPr>
                <w:rFonts w:ascii="Arial" w:cs="Arial" w:hAnsi="Arial"/>
                <w:b/>
                <w:color w:val="1F3864"/>
                <w:sz w:val="18"/>
              </w:rPr>
              <w:t>Guardrails AI</w:t>
            </w:r>
          </w:p>
        </w:tc>
        <w:tc>
          <w:tcPr>
            <w:tcW w:w="1000" w:type="dxa"/>
            <w:shd w:fill="FFFFFF" w:val="clear"/>
          </w:tcPr>
          <w:p>
            <w:pPr>
              <w:jc w:val="center"/>
            </w:pPr>
            <w:r>
              <w:rPr>
                <w:rFonts w:ascii="Arial" w:cs="Arial" w:hAnsi="Arial"/>
                <w:sz w:val="18"/>
              </w:rPr>
              <w:t>~10</w:t>
            </w:r>
          </w:p>
        </w:tc>
        <w:tc>
          <w:tcPr>
            <w:tcW w:w="1100" w:type="dxa"/>
            <w:shd w:fill="FFFFFF" w:val="clear"/>
          </w:tcPr>
          <w:p>
            <w:pPr>
              <w:jc w:val="center"/>
            </w:pPr>
            <w:r>
              <w:rPr>
                <w:rFonts w:ascii="Arial" w:cs="Arial" w:hAnsi="Arial"/>
                <w:sz w:val="18"/>
              </w:rPr>
              <w:t>$7.5M</w:t>
            </w:r>
          </w:p>
        </w:tc>
        <w:tc>
          <w:tcPr>
            <w:tcW w:w="1200" w:type="dxa"/>
            <w:shd w:fill="FFFFFF" w:val="clear"/>
          </w:tcPr>
          <w:p>
            <w:pPr>
              <w:jc w:val="center"/>
            </w:pPr>
            <w:r>
              <w:rPr>
                <w:rFonts w:ascii="Arial" w:cs="Arial" w:hAnsi="Arial"/>
                <w:sz w:val="18"/>
              </w:rPr>
              <w:t>~$1.1M ARR</w:t>
            </w:r>
          </w:p>
        </w:tc>
        <w:tc>
          <w:tcPr>
            <w:tcW w:w="2260" w:type="dxa"/>
            <w:shd w:fill="FFFFFF" w:val="clear"/>
          </w:tcPr>
          <w:p>
            <w:r>
              <w:rPr>
                <w:rFonts w:ascii="Arial" w:cs="Arial" w:hAnsi="Arial"/>
                <w:sz w:val="17"/>
              </w:rPr>
              <w:t>OSS schema/structural validation (Apache 2.0), PII filtering, keyword blocking, format enforcement, managed enterprise guardrail control. Complements Vex.</w:t>
            </w:r>
          </w:p>
        </w:tc>
        <w:tc>
          <w:tcPr>
            <w:tcW w:w="2100" w:type="dxa"/>
            <w:shd w:fill="FFFFFF" w:val="clear"/>
          </w:tcPr>
          <w:p>
            <w:r>
              <w:rPr>
                <w:rFonts w:ascii="Arial" w:cs="Arial" w:hAnsi="Arial"/>
                <w:sz w:val="17"/>
              </w:rPr>
              <w:t>Regulated industries needing structural LLM output compliance. TAM: $550M (agentic AI monitoring, 2025).</w:t>
            </w:r>
          </w:p>
        </w:tc>
      </w:tr>
      <w:tr>
        <w:tc>
          <w:tcPr>
            <w:tcW w:w="1700" w:type="dxa"/>
            <w:shd w:fill="D5E8F0" w:val="clear"/>
          </w:tcPr>
          <w:p>
            <w:r>
              <w:rPr>
                <w:rFonts w:ascii="Arial" w:cs="Arial" w:hAnsi="Arial"/>
                <w:b/>
                <w:color w:val="1F3864"/>
                <w:sz w:val="18"/>
              </w:rPr>
              <w:t>Arize / Phoenix</w:t>
            </w:r>
          </w:p>
        </w:tc>
        <w:tc>
          <w:tcPr>
            <w:tcW w:w="1000" w:type="dxa"/>
            <w:shd w:fill="F2F2F2" w:val="clear"/>
          </w:tcPr>
          <w:p>
            <w:pPr>
              <w:jc w:val="center"/>
            </w:pPr>
            <w:r>
              <w:rPr>
                <w:rFonts w:ascii="Arial" w:cs="Arial" w:hAnsi="Arial"/>
                <w:sz w:val="18"/>
              </w:rPr>
              <w:t>51–200</w:t>
            </w:r>
          </w:p>
        </w:tc>
        <w:tc>
          <w:tcPr>
            <w:tcW w:w="1100" w:type="dxa"/>
            <w:shd w:fill="F2F2F2" w:val="clear"/>
          </w:tcPr>
          <w:p>
            <w:pPr>
              <w:jc w:val="center"/>
            </w:pPr>
            <w:r>
              <w:rPr>
                <w:rFonts w:ascii="Arial" w:cs="Arial" w:hAnsi="Arial"/>
                <w:sz w:val="18"/>
              </w:rPr>
              <w:t>~$38M</w:t>
            </w:r>
          </w:p>
        </w:tc>
        <w:tc>
          <w:tcPr>
            <w:tcW w:w="1200" w:type="dxa"/>
            <w:shd w:fill="F2F2F2" w:val="clear"/>
          </w:tcPr>
          <w:p>
            <w:pPr>
              <w:jc w:val="center"/>
            </w:pPr>
            <w:r>
              <w:rPr>
                <w:rFonts w:ascii="Arial" w:cs="Arial" w:hAnsi="Arial"/>
                <w:sz w:val="18"/>
              </w:rPr>
              <w:t>N/D</w:t>
            </w:r>
          </w:p>
        </w:tc>
        <w:tc>
          <w:tcPr>
            <w:tcW w:w="2260" w:type="dxa"/>
            <w:shd w:fill="F2F2F2" w:val="clear"/>
          </w:tcPr>
          <w:p>
            <w:r>
              <w:rPr>
                <w:rFonts w:ascii="Arial" w:cs="Arial" w:hAnsi="Arial"/>
                <w:sz w:val="17"/>
              </w:rPr>
              <w:t>ML + LLM observability (OpenInference standard), embedding drift detection, LLM tracing, Alyx AI co-pilot, SOC2 + HIPAA. Phoenix fully OSS &amp; free.</w:t>
            </w:r>
          </w:p>
        </w:tc>
        <w:tc>
          <w:tcPr>
            <w:tcW w:w="2100" w:type="dxa"/>
            <w:shd w:fill="F2F2F2" w:val="clear"/>
          </w:tcPr>
          <w:p>
            <w:r>
              <w:rPr>
                <w:rFonts w:ascii="Arial" w:cs="Arial" w:hAnsi="Arial"/>
                <w:sz w:val="17"/>
              </w:rPr>
              <w:t>Enterprise ML + LLM teams. Healthcare, financial services. OpenInference adopted by LangSmith, Opik. TAM: $1.7B (AI observability, 2025).</w:t>
            </w:r>
          </w:p>
        </w:tc>
      </w:tr>
    </w:tbl>
    <w:p>
      <w:pPr>
        <w:spacing w:before="80" w:after="40"/>
      </w:pPr>
      <w:r>
        <w:rPr>
          <w:rFonts w:ascii="Arial" w:cs="Arial" w:hAnsi="Arial"/>
          <w:i/>
          <w:color w:val="555555"/>
          <w:sz w:val="16"/>
        </w:rPr>
        <w:t>N/D = Not disclosed. Employee counts sourced from LinkedIn/Tracxn (March 2026). All TAM figures from Mordor Intelligence 2025 unless noted.</w:t>
      </w:r>
    </w:p>
    <w:sectPr>
      <w:headerReference w:type="default" r:id="rId6"/>
      <w:footerReference w:type="default" r:id="rId7"/>
      <w:pgSz w:w="12240" w:h="15840" w:orient="portrait"/>
      <w:pgMar w:top="1440" w:right="1080" w:bottom="144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5B6" w:sz="4" w:space="1"/>
      </w:pBdr>
      <w:jc w:val="right"/>
    </w:pPr>
    <w:r>
      <w:rPr>
        <w:rFonts w:ascii="Arial" w:cs="Arial" w:eastAsia="Arial" w:hAnsi="Arial"/>
        <w:color w:val="888888"/>
        <w:sz w:val="16"/>
        <w:szCs w:val="16"/>
      </w:rPr>
      <w:t xml:space="preserve">Confidential — March 2026  |  Page </w:t>
    </w:r>
    <w:r>
      <w:rPr>
        <w:rFonts w:ascii="Arial" w:cs="Arial" w:eastAsia="Arial" w:hAnsi="Arial"/>
        <w:color w:val="888888"/>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4" w:space="1"/>
      </w:pBdr>
    </w:pPr>
    <w:r>
      <w:rPr>
        <w:rFonts w:ascii="Arial" w:cs="Arial" w:eastAsia="Arial" w:hAnsi="Arial"/>
        <w:b/>
        <w:bCs/>
        <w:color w:val="1F3864"/>
        <w:sz w:val="17"/>
        <w:szCs w:val="17"/>
      </w:rPr>
      <w:t xml:space="preserve">Vex (tryvex.dev) — Competitive Intelligence Report  |  March 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00" w:after="120"/>
      <w:outlineLvl w:val="0"/>
    </w:pPr>
    <w:rPr>
      <w:rFonts w:ascii="Arial" w:cs="Arial" w:eastAsia="Arial" w:hAnsi="Arial"/>
      <w:b/>
      <w:bCs/>
      <w:color w:val="1F3864"/>
      <w:sz w:val="34"/>
      <w:szCs w:val="34"/>
    </w:rPr>
  </w:style>
  <w:style w:type="paragraph" w:styleId="Heading2">
    <w:name w:val="Heading 2"/>
    <w:basedOn w:val="Normal"/>
    <w:next w:val="Normal"/>
    <w:qFormat/>
    <w:pPr>
      <w:spacing w:before="240" w:after="80"/>
      <w:outlineLvl w:val="1"/>
    </w:pPr>
    <w:rPr>
      <w:rFonts w:ascii="Arial" w:cs="Arial" w:eastAsia="Arial" w:hAnsi="Arial"/>
      <w:b/>
      <w:bCs/>
      <w:color w:val="2E75B6"/>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2026-03-12T15:17:32.203Z</dcterms:created>
  <dcterms:modified xsi:type="dcterms:W3CDTF">2026-03-12T15:17:32.204Z</dcterms:modified>
</cp:coreProperties>
</file>

<file path=docProps/custom.xml><?xml version="1.0" encoding="utf-8"?>
<Properties xmlns="http://schemas.openxmlformats.org/officeDocument/2006/custom-properties" xmlns:vt="http://schemas.openxmlformats.org/officeDocument/2006/docPropsVTypes"/>
</file>