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D4ED8"/>
          <w:sz w:val="52"/>
        </w:rPr>
        <w:t>CHEKDOR</w:t>
      </w:r>
    </w:p>
    <w:p>
      <w:pPr>
        <w:jc w:val="center"/>
      </w:pPr>
      <w:r>
        <w:rPr>
          <w:color w:val="555F6D"/>
          <w:sz w:val="22"/>
        </w:rPr>
        <w:t>Chekdor · En su carácter de ENCARGADO del tratamiento</w:t>
      </w:r>
    </w:p>
    <w:p/>
    <w:p>
      <w:pPr>
        <w:jc w:val="center"/>
      </w:pPr>
      <w:r>
        <w:rPr>
          <w:b/>
          <w:color w:val="111111"/>
          <w:sz w:val="34"/>
        </w:rPr>
        <w:t>AVISO DE PRIVACIDAD</w:t>
      </w:r>
    </w:p>
    <w:p/>
    <w:tbl>
      <w:tblPr>
        <w:tblStyle w:val="TableGrid"/>
        <w:tblW w:type="auto" w:w="0"/>
        <w:tblLook w:firstColumn="1" w:firstRow="1" w:lastColumn="0" w:lastRow="0" w:noHBand="0" w:noVBand="1" w:val="04A0"/>
      </w:tblPr>
      <w:tblGrid>
        <w:gridCol w:w="9236"/>
      </w:tblGrid>
      <w:tr>
        <w:tc>
          <w:tcPr>
            <w:tcW w:type="dxa" w:w="9236"/>
            <w:shd w:val="clear" w:color="auto" w:fill="FEF2F2"/>
          </w:tcPr>
          <w:p>
            <w:pPr>
              <w:spacing w:after="40"/>
            </w:pPr>
            <w:r/>
            <w:r>
              <w:rPr>
                <w:b/>
                <w:color w:val="B42318"/>
                <w:sz w:val="20"/>
              </w:rPr>
              <w:t>CAMPO POR COMPLETAR — elimina este recuadro al publicar</w:t>
            </w:r>
          </w:p>
          <w:p>
            <w:pPr>
              <w:jc w:val="both"/>
            </w:pPr>
            <w:r>
              <w:rPr>
                <w:sz w:val="19"/>
              </w:rPr>
              <w:t xml:space="preserve">Sustituye la razón social, el RFC y el domicilio de Chekdor, la fecha de la última actualización y las regiones de los proveedores de nube. La versión que se publica en el sitio web es la que va </w:t>
            </w:r>
            <w:r>
              <w:rPr>
                <w:b/>
                <w:sz w:val="19"/>
              </w:rPr>
              <w:t>sin</w:t>
            </w:r>
            <w:r>
              <w:rPr>
                <w:sz w:val="19"/>
              </w:rPr>
              <w:t xml:space="preserve"> este recuadro y </w:t>
            </w:r>
            <w:r>
              <w:rPr>
                <w:b/>
                <w:sz w:val="19"/>
              </w:rPr>
              <w:t>sin</w:t>
            </w:r>
            <w:r>
              <w:rPr>
                <w:sz w:val="19"/>
              </w:rPr>
              <w:t xml:space="preserve"> las notas internas marcadas como tales.</w:t>
            </w:r>
          </w:p>
        </w:tc>
      </w:tr>
    </w:tbl>
    <w:p/>
    <w:p>
      <w:pPr>
        <w:jc w:val="both"/>
      </w:pPr>
      <w:r>
        <w:rPr>
          <w:b/>
        </w:rPr>
        <w:t>CHEKDOR</w:t>
      </w:r>
      <w:r>
        <w:t xml:space="preserve"> (en adelante, </w:t>
      </w:r>
      <w:r>
        <w:rPr>
          <w:i/>
        </w:rPr>
        <w:t>“Chekdor”</w:t>
      </w:r>
      <w:r>
        <w:t xml:space="preserve"> o el </w:t>
      </w:r>
      <w:r>
        <w:rPr>
          <w:i/>
        </w:rPr>
        <w:t>“Encargado”</w:t>
      </w:r>
      <w:r>
        <w:t xml:space="preserve">), con Registro Federal de Contribuyentes ● y domicilio en ●, es una empresa que presta un servicio de cómputo en la nube para el registro de asistencia laboral, el cálculo de nómina y la generación de archivos de exportación contable (el </w:t>
      </w:r>
      <w:r>
        <w:rPr>
          <w:i/>
        </w:rPr>
        <w:t>“Servicio”</w:t>
      </w:r>
      <w:r>
        <w:t>).</w:t>
      </w:r>
    </w:p>
    <w:p>
      <w:pPr>
        <w:jc w:val="both"/>
      </w:pPr>
      <w:r>
        <w:t xml:space="preserve">El presente aviso de privacidad se pone a disposición de las personas trabajadoras, exempleadas, candidatas y prestadoras de servicios cuyos datos personales son cargados en el Servicio por parte de su empleador o contratante (en adelante, el </w:t>
      </w:r>
      <w:r>
        <w:rPr>
          <w:i/>
        </w:rPr>
        <w:t>“Patrón”</w:t>
      </w:r>
      <w:r>
        <w:t xml:space="preserve"> o el </w:t>
      </w:r>
      <w:r>
        <w:rPr>
          <w:i/>
        </w:rPr>
        <w:t>“Responsable”</w:t>
      </w:r>
      <w:r>
        <w:t xml:space="preserve">), en cumplimiento de los artículos 15, 16 y 17 de la Ley Federal de Protección de Datos Personales en Posesión de los Particulares (la </w:t>
      </w:r>
      <w:r>
        <w:rPr>
          <w:i/>
        </w:rPr>
        <w:t>“Ley”</w:t>
      </w:r>
      <w:r>
        <w:t>) y de los Lineamientos del Aviso de Privacidad.</w:t>
      </w:r>
    </w:p>
    <w:p>
      <w:pPr>
        <w:pStyle w:val="Heading1"/>
        <w:keepNext/>
      </w:pPr>
      <w:r>
        <w:t>1. Lo más importante, en una frase</w:t>
      </w:r>
    </w:p>
    <w:tbl>
      <w:tblPr>
        <w:tblStyle w:val="TableGrid"/>
        <w:tblW w:type="auto" w:w="0"/>
        <w:tblLook w:firstColumn="1" w:firstRow="1" w:lastColumn="0" w:lastRow="0" w:noHBand="0" w:noVBand="1" w:val="04A0"/>
      </w:tblPr>
      <w:tblGrid>
        <w:gridCol w:w="9236"/>
      </w:tblGrid>
      <w:tr>
        <w:tc>
          <w:tcPr>
            <w:tcW w:type="dxa" w:w="9236"/>
            <w:shd w:val="clear" w:color="auto" w:fill="FFFBEB"/>
          </w:tcPr>
          <w:p>
            <w:pPr>
              <w:spacing w:after="40"/>
            </w:pPr>
            <w:r/>
            <w:r>
              <w:rPr>
                <w:b/>
                <w:color w:val="92400E"/>
                <w:sz w:val="20"/>
              </w:rPr>
              <w:t>Chekdor NO es el responsable de tus datos personales: lo es tu patrón.</w:t>
            </w:r>
          </w:p>
          <w:p>
            <w:pPr>
              <w:jc w:val="both"/>
            </w:pPr>
            <w:r>
              <w:rPr>
                <w:sz w:val="19"/>
              </w:rPr>
              <w:t xml:space="preserve">Tu patrón decide qué datos se recaban, para qué se usan y cuánto tiempo se conservan. Chekdor únicamente los guarda y los procesa </w:t>
            </w:r>
            <w:r>
              <w:rPr>
                <w:b/>
                <w:sz w:val="19"/>
              </w:rPr>
              <w:t>siguiendo sus instrucciones</w:t>
            </w:r>
            <w:r>
              <w:rPr>
                <w:sz w:val="19"/>
              </w:rPr>
              <w:t xml:space="preserve">, y no puede usarlos para fines propios ni venderlos. Por eso, </w:t>
            </w:r>
            <w:r>
              <w:rPr>
                <w:b/>
                <w:sz w:val="19"/>
              </w:rPr>
              <w:t>si quieres ejercer tus derechos sobre tus datos, debes dirigirte a tu patrón</w:t>
            </w:r>
            <w:r>
              <w:rPr>
                <w:sz w:val="19"/>
              </w:rPr>
              <w:t>, que es quien puede responderte. En el apartado 8 te explicamos cómo.</w:t>
            </w:r>
          </w:p>
        </w:tc>
      </w:tr>
    </w:tbl>
    <w:p/>
    <w:p>
      <w:pPr>
        <w:pStyle w:val="Heading1"/>
        <w:keepNext/>
      </w:pPr>
      <w:r>
        <w:t>2. Identidad y domicilio del Responsable</w:t>
      </w:r>
    </w:p>
    <w:p>
      <w:pPr>
        <w:jc w:val="both"/>
      </w:pPr>
      <w:r>
        <w:t xml:space="preserve">El </w:t>
      </w:r>
      <w:r>
        <w:rPr>
          <w:b/>
        </w:rPr>
        <w:t>Responsable</w:t>
      </w:r>
      <w:r>
        <w:t xml:space="preserve"> del tratamiento de tus datos personales es la empresa o persona para la que trabajas o prestas tus servicios, es decir, tu Patrón. Los datos de identificación, domicilio y contacto del área encargada de la protección de datos de tu Patrón los puedes consultar directamente con él, o bien en el aviso de privacidad que tu Patrón está obligado a poner a tu disposición.</w:t>
      </w:r>
    </w:p>
    <w:p>
      <w:pPr>
        <w:jc w:val="both"/>
      </w:pPr>
      <w:r>
        <w:t xml:space="preserve">Chekdor interviene </w:t>
      </w:r>
      <w:r>
        <w:rPr>
          <w:b/>
        </w:rPr>
        <w:t>únicamente como Encargado</w:t>
      </w:r>
      <w:r>
        <w:t xml:space="preserve"> del tratamiento, en términos del artículo 3, fracción XIII, de la Ley, y por lo tanto:</w:t>
      </w:r>
    </w:p>
    <w:p>
      <w:pPr>
        <w:pStyle w:val="ListBullet"/>
        <w:spacing w:after="60"/>
      </w:pPr>
      <w:r>
        <w:t>No determina las finalidades del tratamiento ni los datos que se recaban.</w:t>
      </w:r>
    </w:p>
    <w:p>
      <w:pPr>
        <w:pStyle w:val="ListBullet"/>
        <w:spacing w:after="60"/>
      </w:pPr>
      <w:r>
        <w:t>No puede tratar tus datos para finalidades distintas a las que le instruye tu Patrón.</w:t>
      </w:r>
    </w:p>
    <w:p>
      <w:pPr>
        <w:pStyle w:val="ListBullet"/>
        <w:spacing w:after="60"/>
      </w:pPr>
      <w:r>
        <w:t>No puede transferir tus datos a nadie más que a los proveedores de infraestructura tecnológica que se indican en el apartado 7.</w:t>
      </w:r>
    </w:p>
    <w:p>
      <w:pPr>
        <w:pStyle w:val="ListBullet"/>
        <w:spacing w:after="60"/>
      </w:pPr>
      <w:r>
        <w:t>No puede vender, rentar ni ceder tus datos personales.</w:t>
      </w:r>
    </w:p>
    <w:p>
      <w:pPr>
        <w:pStyle w:val="ListBullet"/>
        <w:spacing w:after="60"/>
      </w:pPr>
      <w:r>
        <w:t>No puede usar tus datos para publicidad, prospección comercial ni para entrenar modelos de inteligencia artificial.</w:t>
      </w:r>
    </w:p>
    <w:p>
      <w:pPr>
        <w:pStyle w:val="Heading1"/>
        <w:keepNext/>
      </w:pPr>
      <w:r>
        <w:t>3. ¿Qué datos personales tratamos?</w:t>
      </w:r>
    </w:p>
    <w:p>
      <w:pPr>
        <w:jc w:val="both"/>
      </w:pPr>
      <w:r>
        <w:t>Chekdor trata los datos que tu Patrón captura o carga en el Servicio. Son los siguientes:</w:t>
      </w:r>
    </w:p>
    <w:tbl>
      <w:tblPr>
        <w:tblStyle w:val="TableGrid"/>
        <w:tblW w:type="auto" w:w="0"/>
        <w:jc w:val="center"/>
        <w:tblLayout w:type="fixed"/>
        <w:tblLook w:firstColumn="1" w:firstRow="1" w:lastColumn="0" w:lastRow="0" w:noHBand="0" w:noVBand="1" w:val="04A0"/>
      </w:tblPr>
      <w:tblGrid>
        <w:gridCol w:w="4618"/>
        <w:gridCol w:w="4618"/>
      </w:tblGrid>
      <w:tr>
        <w:tc>
          <w:tcPr>
            <w:tcW w:type="dxa" w:w="2551"/>
            <w:shd w:val="clear" w:color="auto" w:fill="1D4ED8"/>
          </w:tcPr>
          <w:p>
            <w:pPr>
              <w:spacing w:after="0"/>
            </w:pPr>
            <w:r/>
            <w:r>
              <w:rPr>
                <w:b/>
                <w:color w:val="FFFFFF"/>
                <w:sz w:val="19"/>
              </w:rPr>
              <w:t>Categoría</w:t>
            </w:r>
          </w:p>
        </w:tc>
        <w:tc>
          <w:tcPr>
            <w:tcW w:type="dxa" w:w="5953"/>
            <w:shd w:val="clear" w:color="auto" w:fill="1D4ED8"/>
          </w:tcPr>
          <w:p>
            <w:pPr>
              <w:spacing w:after="0"/>
            </w:pPr>
            <w:r/>
            <w:r>
              <w:rPr>
                <w:b/>
                <w:color w:val="FFFFFF"/>
                <w:sz w:val="19"/>
              </w:rPr>
              <w:t>Datos concretos</w:t>
            </w:r>
          </w:p>
        </w:tc>
      </w:tr>
      <w:tr>
        <w:tc>
          <w:tcPr>
            <w:tcW w:type="dxa" w:w="2551"/>
          </w:tcPr>
          <w:p>
            <w:pPr>
              <w:spacing w:after="0"/>
            </w:pPr>
            <w:r>
              <w:rPr>
                <w:sz w:val="19"/>
              </w:rPr>
            </w:r>
            <w:r>
              <w:rPr>
                <w:sz w:val="19"/>
              </w:rPr>
              <w:t>Datos de identificación</w:t>
            </w:r>
          </w:p>
        </w:tc>
        <w:tc>
          <w:tcPr>
            <w:tcW w:type="dxa" w:w="5953"/>
          </w:tcPr>
          <w:p>
            <w:pPr>
              <w:spacing w:after="0"/>
            </w:pPr>
            <w:r>
              <w:rPr>
                <w:sz w:val="19"/>
              </w:rPr>
            </w:r>
            <w:r>
              <w:rPr>
                <w:sz w:val="19"/>
              </w:rPr>
              <w:t>Nombre completo, código de empleado, fotografía (si tu Patrón decide subirla) y el identificador de la tarjeta NFC que se te haya asignado.</w:t>
            </w:r>
          </w:p>
        </w:tc>
      </w:tr>
      <w:tr>
        <w:tc>
          <w:tcPr>
            <w:tcW w:type="dxa" w:w="2551"/>
          </w:tcPr>
          <w:p>
            <w:pPr>
              <w:spacing w:after="0"/>
            </w:pPr>
            <w:r>
              <w:rPr>
                <w:sz w:val="19"/>
              </w:rPr>
            </w:r>
            <w:r>
              <w:rPr>
                <w:sz w:val="19"/>
              </w:rPr>
              <w:t>Datos de identificación oficial</w:t>
            </w:r>
          </w:p>
        </w:tc>
        <w:tc>
          <w:tcPr>
            <w:tcW w:type="dxa" w:w="5953"/>
          </w:tcPr>
          <w:p>
            <w:pPr>
              <w:spacing w:after="0"/>
            </w:pPr>
            <w:r>
              <w:rPr>
                <w:sz w:val="19"/>
              </w:rPr>
            </w:r>
            <w:r>
              <w:rPr>
                <w:sz w:val="19"/>
              </w:rPr>
              <w:t>CURP, Registro Federal de Contribuyentes (RFC) y Número de Seguridad Social (NSS).</w:t>
            </w:r>
          </w:p>
        </w:tc>
      </w:tr>
      <w:tr>
        <w:tc>
          <w:tcPr>
            <w:tcW w:type="dxa" w:w="2551"/>
          </w:tcPr>
          <w:p>
            <w:pPr>
              <w:spacing w:after="0"/>
            </w:pPr>
            <w:r>
              <w:rPr>
                <w:sz w:val="19"/>
              </w:rPr>
            </w:r>
            <w:r>
              <w:rPr>
                <w:sz w:val="19"/>
              </w:rPr>
              <w:t>Datos laborales</w:t>
            </w:r>
          </w:p>
        </w:tc>
        <w:tc>
          <w:tcPr>
            <w:tcW w:type="dxa" w:w="5953"/>
          </w:tcPr>
          <w:p>
            <w:pPr>
              <w:spacing w:after="0"/>
            </w:pPr>
            <w:r>
              <w:rPr>
                <w:sz w:val="19"/>
              </w:rPr>
            </w:r>
            <w:r>
              <w:rPr>
                <w:sz w:val="19"/>
              </w:rPr>
              <w:t>Puesto, departamento, tipo de contrato, fecha de ingreso, jornada semanal contratada y salario diario.</w:t>
            </w:r>
          </w:p>
        </w:tc>
      </w:tr>
      <w:tr>
        <w:tc>
          <w:tcPr>
            <w:tcW w:type="dxa" w:w="2551"/>
          </w:tcPr>
          <w:p>
            <w:pPr>
              <w:spacing w:after="0"/>
            </w:pPr>
            <w:r>
              <w:rPr>
                <w:sz w:val="19"/>
              </w:rPr>
            </w:r>
            <w:r>
              <w:rPr>
                <w:sz w:val="19"/>
              </w:rPr>
              <w:t>Datos de tu jornada de trabajo</w:t>
            </w:r>
          </w:p>
        </w:tc>
        <w:tc>
          <w:tcPr>
            <w:tcW w:type="dxa" w:w="5953"/>
          </w:tcPr>
          <w:p>
            <w:pPr>
              <w:spacing w:after="0"/>
            </w:pPr>
            <w:r>
              <w:rPr>
                <w:sz w:val="19"/>
              </w:rPr>
            </w:r>
            <w:r>
              <w:rPr>
                <w:sz w:val="19"/>
              </w:rPr>
              <w:t>Fecha y hora de cada entrada, salida e interrupción; el punto de marcaje en el que se registró; y datos técnicos del dispositivo que se usó para marcar (dirección IP y tipo de navegador).</w:t>
            </w:r>
          </w:p>
        </w:tc>
      </w:tr>
      <w:tr>
        <w:tc>
          <w:tcPr>
            <w:tcW w:type="dxa" w:w="2551"/>
          </w:tcPr>
          <w:p>
            <w:pPr>
              <w:spacing w:after="0"/>
            </w:pPr>
            <w:r>
              <w:rPr>
                <w:sz w:val="19"/>
              </w:rPr>
            </w:r>
            <w:r>
              <w:rPr>
                <w:sz w:val="19"/>
              </w:rPr>
              <w:t>Datos de nómina y patrimoniales</w:t>
            </w:r>
          </w:p>
        </w:tc>
        <w:tc>
          <w:tcPr>
            <w:tcW w:type="dxa" w:w="5953"/>
          </w:tcPr>
          <w:p>
            <w:pPr>
              <w:spacing w:after="0"/>
            </w:pPr>
            <w:r>
              <w:rPr>
                <w:sz w:val="19"/>
              </w:rPr>
            </w:r>
            <w:r>
              <w:rPr>
                <w:sz w:val="19"/>
              </w:rPr>
              <w:t>Días pagados, percepciones y deducciones, ISR retenido, cuotas del IMSS, aportaciones al SAR e INFONAVIT, neto a pagar, y los datos bancarios (banco, CLABE o número de cuenta) para depositar tu pago.</w:t>
            </w:r>
          </w:p>
        </w:tc>
      </w:tr>
      <w:tr>
        <w:tc>
          <w:tcPr>
            <w:tcW w:type="dxa" w:w="2551"/>
          </w:tcPr>
          <w:p>
            <w:pPr>
              <w:spacing w:after="0"/>
            </w:pPr>
            <w:r>
              <w:rPr>
                <w:sz w:val="19"/>
              </w:rPr>
            </w:r>
            <w:r>
              <w:rPr>
                <w:sz w:val="19"/>
              </w:rPr>
              <w:t>Datos sobre descuentos</w:t>
            </w:r>
          </w:p>
        </w:tc>
        <w:tc>
          <w:tcPr>
            <w:tcW w:type="dxa" w:w="5953"/>
          </w:tcPr>
          <w:p>
            <w:pPr>
              <w:spacing w:after="0"/>
            </w:pPr>
            <w:r>
              <w:rPr>
                <w:sz w:val="19"/>
              </w:rPr>
            </w:r>
            <w:r>
              <w:rPr>
                <w:sz w:val="19"/>
              </w:rPr>
              <w:t>Pensión alimenticia, préstamos o créditos y descuento por crédito INFONAVIT, cuando tu Patrón los haya registrado.</w:t>
            </w:r>
          </w:p>
        </w:tc>
      </w:tr>
      <w:tr>
        <w:tc>
          <w:tcPr>
            <w:tcW w:type="dxa" w:w="2551"/>
          </w:tcPr>
          <w:p>
            <w:pPr>
              <w:spacing w:after="0"/>
            </w:pPr>
            <w:r>
              <w:rPr>
                <w:sz w:val="19"/>
              </w:rPr>
            </w:r>
            <w:r>
              <w:rPr>
                <w:b/>
                <w:color w:val="B42318"/>
                <w:sz w:val="19"/>
              </w:rPr>
              <w:t>Datos personales sensibles</w:t>
            </w:r>
          </w:p>
        </w:tc>
        <w:tc>
          <w:tcPr>
            <w:tcW w:type="dxa" w:w="5953"/>
          </w:tcPr>
          <w:p>
            <w:pPr>
              <w:spacing w:after="0"/>
            </w:pPr>
            <w:r>
              <w:rPr>
                <w:sz w:val="19"/>
              </w:rPr>
            </w:r>
            <w:r>
              <w:rPr>
                <w:b/>
                <w:color w:val="B42318"/>
                <w:sz w:val="19"/>
              </w:rPr>
              <w:t>Únicamente si tu Patrón usa el módulo de la NOM-035: el resultado de tu evaluación de factores de riesgo psicosocial. Este dato requiere tu consentimiento expreso y por escrito, que tu Patrón debe recabar.</w:t>
            </w:r>
          </w:p>
        </w:tc>
      </w:tr>
    </w:tbl>
    <w:p/>
    <w:p>
      <w:pPr>
        <w:jc w:val="both"/>
      </w:pPr>
      <w:r>
        <w:rPr>
          <w:b/>
        </w:rPr>
        <w:t>No recabamos</w:t>
      </w:r>
      <w:r>
        <w:t xml:space="preserve"> datos personales sobre tu origen racial o étnico, estado de salud distinto del señalado, información genética, creencias religiosas, filosóficas o morales, opiniones políticas, preferencia sexual ni datos de niñas, niños o adolescentes. Si detectas que alguno de estos datos fue cargado en el Servicio, te pedimos reportarlo al correo del apartado 10.</w:t>
      </w:r>
    </w:p>
    <w:p>
      <w:pPr>
        <w:pStyle w:val="Heading1"/>
        <w:keepNext/>
      </w:pPr>
      <w:r>
        <w:t>4. ¿Para qué usamos tus datos?</w:t>
      </w:r>
    </w:p>
    <w:p>
      <w:pPr>
        <w:jc w:val="both"/>
      </w:pPr>
      <w:r>
        <w:rPr>
          <w:b/>
        </w:rPr>
        <w:t>Finalidades primarias</w:t>
      </w:r>
      <w:r>
        <w:t xml:space="preserve"> (necesarias para el servicio que tu Patrón contrató):</w:t>
      </w:r>
    </w:p>
    <w:p>
      <w:pPr>
        <w:spacing w:after="60"/>
        <w:ind w:left="510" w:hanging="510"/>
        <w:jc w:val="both"/>
      </w:pPr>
      <w:r>
        <w:rPr>
          <w:b/>
        </w:rPr>
        <w:t xml:space="preserve">1. </w:t>
      </w:r>
      <w:r>
        <w:t>Permitir que tu tarjeta NFC o tu teléfono registren tu entrada, salida e interrupciones de jornada.</w:t>
      </w:r>
    </w:p>
    <w:p>
      <w:pPr>
        <w:spacing w:after="60"/>
        <w:ind w:left="510" w:hanging="510"/>
        <w:jc w:val="both"/>
      </w:pPr>
      <w:r>
        <w:rPr>
          <w:b/>
        </w:rPr>
        <w:t xml:space="preserve">2. </w:t>
      </w:r>
      <w:r>
        <w:t>Calcular tus horas de trabajo y tu tiempo extraordinario conforme a la Ley Federal del Trabajo.</w:t>
      </w:r>
    </w:p>
    <w:p>
      <w:pPr>
        <w:spacing w:after="60"/>
        <w:ind w:left="510" w:hanging="510"/>
        <w:jc w:val="both"/>
      </w:pPr>
      <w:r>
        <w:rPr>
          <w:b/>
        </w:rPr>
        <w:t xml:space="preserve">3. </w:t>
      </w:r>
      <w:r>
        <w:t>Calcular tu nómina del periodo, incluyendo percepciones, deducciones y las retenciones y cuotas que correspondan.</w:t>
      </w:r>
    </w:p>
    <w:p>
      <w:pPr>
        <w:spacing w:after="60"/>
        <w:ind w:left="510" w:hanging="510"/>
        <w:jc w:val="both"/>
      </w:pPr>
      <w:r>
        <w:rPr>
          <w:b/>
        </w:rPr>
        <w:t xml:space="preserve">4. </w:t>
      </w:r>
      <w:r>
        <w:t>Generar los archivos y reportes que tu Patrón necesita para su contabilidad y para cumplir con sus obligaciones ante el IMSS, el SAT y el INFONAVIT.</w:t>
      </w:r>
    </w:p>
    <w:p>
      <w:pPr>
        <w:spacing w:after="60"/>
        <w:ind w:left="510" w:hanging="510"/>
        <w:jc w:val="both"/>
      </w:pPr>
      <w:r>
        <w:rPr>
          <w:b/>
        </w:rPr>
        <w:t xml:space="preserve">5. </w:t>
      </w:r>
      <w:r>
        <w:t>Atender los reportes de asistencia y jornada que solicite tu Patrón o que requiera una autoridad laboral.</w:t>
      </w:r>
    </w:p>
    <w:p>
      <w:pPr>
        <w:spacing w:after="60"/>
        <w:ind w:left="510" w:hanging="510"/>
        <w:jc w:val="both"/>
      </w:pPr>
      <w:r>
        <w:rPr>
          <w:b/>
        </w:rPr>
        <w:t xml:space="preserve">6. </w:t>
      </w:r>
      <w:r>
        <w:t>Registrar la evidencia de que recibiste el aviso de privacidad de tu Patrón y, en su caso, de que otorgaste tu consentimiento.</w:t>
      </w:r>
    </w:p>
    <w:p>
      <w:pPr>
        <w:spacing w:after="60"/>
        <w:ind w:left="510" w:hanging="510"/>
        <w:jc w:val="both"/>
      </w:pPr>
      <w:r>
        <w:rPr>
          <w:b/>
        </w:rPr>
        <w:t xml:space="preserve">7. </w:t>
      </w:r>
      <w:r>
        <w:t>Dar seguimiento a las solicitudes de derechos que presentes ante tu Patrón, cuando él use los módulos correspondientes del Servicio.</w:t>
      </w:r>
    </w:p>
    <w:p>
      <w:pPr>
        <w:jc w:val="both"/>
      </w:pPr>
      <w:r>
        <w:rPr>
          <w:b/>
        </w:rPr>
        <w:t>Finalidades secundarias</w:t>
      </w:r>
      <w:r>
        <w:t xml:space="preserve"> (no necesarias para el servicio):</w:t>
      </w:r>
    </w:p>
    <w:p>
      <w:pPr>
        <w:jc w:val="both"/>
      </w:pPr>
      <w:r>
        <w:rPr>
          <w:b/>
          <w:color w:val="B42318"/>
        </w:rPr>
        <w:t>Ninguna. Chekdor no utiliza tus datos personales para finalidades de mercadotecnia, publicidad, prospección comercial ni elaboración de perfiles con fines comerciales.</w:t>
      </w:r>
      <w:r>
        <w:t xml:space="preserve"> Por lo tanto, no se requiere que otorgues consentimiento alguno para finalidades secundarias.</w:t>
      </w:r>
    </w:p>
    <w:p>
      <w:pPr>
        <w:jc w:val="both"/>
      </w:pPr>
      <w:r>
        <w:rPr>
          <w:b/>
        </w:rPr>
        <w:t>Chekdor tampoco utiliza tus datos para entrenar modelos de inteligencia artificial</w:t>
      </w:r>
      <w:r>
        <w:t xml:space="preserve"> ni para generar análisis agregados que comercialice con terceros.</w:t>
      </w:r>
    </w:p>
    <w:p>
      <w:pPr>
        <w:pStyle w:val="Heading1"/>
        <w:keepNext/>
      </w:pPr>
      <w:r>
        <w:t>5. Transferencias de datos</w:t>
      </w:r>
    </w:p>
    <w:p>
      <w:pPr>
        <w:jc w:val="both"/>
      </w:pPr>
      <w:r>
        <w:t xml:space="preserve">Tus datos </w:t>
      </w:r>
      <w:r>
        <w:rPr>
          <w:b/>
        </w:rPr>
        <w:t>no se venden, rentan ni ceden</w:t>
      </w:r>
      <w:r>
        <w:t xml:space="preserve"> a terceros. Únicamente se comunican a los proveedores de infraestructura tecnológica que se describen en el apartado 7, que actúan como encargados adicionales y están obligados contractualmente a las mismas obligaciones de protección que Chekdor.</w:t>
      </w:r>
    </w:p>
    <w:p>
      <w:pPr>
        <w:jc w:val="both"/>
      </w:pPr>
      <w:r>
        <w:t>Cuando tu Patrón descarga los archivos de nómina o los reportes y los incorpora a su sistema contable (por ejemplo, CONTPAQi o Aspel) o los entrega a su contador, esa comunicación ocurre fuera del Servicio y es responsabilidad exclusiva de tu Patrón. Chekdor no controla ni responde por el tratamiento que esos terceros realicen.</w:t>
      </w:r>
    </w:p>
    <w:p>
      <w:pPr>
        <w:pStyle w:val="Heading1"/>
        <w:keepNext/>
      </w:pPr>
      <w:r>
        <w:t>6. Tus derechos sobre tus datos personales</w:t>
      </w:r>
    </w:p>
    <w:p>
      <w:pPr>
        <w:jc w:val="both"/>
      </w:pPr>
      <w:r>
        <w:t>Como titular de datos personales, tienes derecho a:</w:t>
      </w:r>
    </w:p>
    <w:tbl>
      <w:tblPr>
        <w:tblStyle w:val="TableGrid"/>
        <w:tblW w:type="auto" w:w="0"/>
        <w:jc w:val="center"/>
        <w:tblLayout w:type="fixed"/>
        <w:tblLook w:firstColumn="1" w:firstRow="1" w:lastColumn="0" w:lastRow="0" w:noHBand="0" w:noVBand="1" w:val="04A0"/>
      </w:tblPr>
      <w:tblGrid>
        <w:gridCol w:w="4618"/>
        <w:gridCol w:w="4618"/>
      </w:tblGrid>
      <w:tr>
        <w:tc>
          <w:tcPr>
            <w:tcW w:type="dxa" w:w="2381"/>
            <w:shd w:val="clear" w:color="auto" w:fill="1D4ED8"/>
          </w:tcPr>
          <w:p>
            <w:pPr>
              <w:spacing w:after="0"/>
            </w:pPr>
            <w:r/>
            <w:r>
              <w:rPr>
                <w:b/>
                <w:color w:val="FFFFFF"/>
                <w:sz w:val="19"/>
              </w:rPr>
              <w:t>Derecho</w:t>
            </w:r>
          </w:p>
        </w:tc>
        <w:tc>
          <w:tcPr>
            <w:tcW w:type="dxa" w:w="6123"/>
            <w:shd w:val="clear" w:color="auto" w:fill="1D4ED8"/>
          </w:tcPr>
          <w:p>
            <w:pPr>
              <w:spacing w:after="0"/>
            </w:pPr>
            <w:r/>
            <w:r>
              <w:rPr>
                <w:b/>
                <w:color w:val="FFFFFF"/>
                <w:sz w:val="19"/>
              </w:rPr>
              <w:t>En qué consiste</w:t>
            </w:r>
          </w:p>
        </w:tc>
      </w:tr>
      <w:tr>
        <w:tc>
          <w:tcPr>
            <w:tcW w:type="dxa" w:w="2381"/>
          </w:tcPr>
          <w:p>
            <w:pPr>
              <w:spacing w:after="0"/>
            </w:pPr>
            <w:r>
              <w:rPr>
                <w:sz w:val="19"/>
              </w:rPr>
            </w:r>
            <w:r>
              <w:rPr>
                <w:sz w:val="19"/>
              </w:rPr>
              <w:t>Acceso</w:t>
            </w:r>
          </w:p>
        </w:tc>
        <w:tc>
          <w:tcPr>
            <w:tcW w:type="dxa" w:w="6123"/>
          </w:tcPr>
          <w:p>
            <w:pPr>
              <w:spacing w:after="0"/>
            </w:pPr>
            <w:r>
              <w:rPr>
                <w:sz w:val="19"/>
              </w:rPr>
            </w:r>
            <w:r>
              <w:rPr>
                <w:sz w:val="19"/>
              </w:rPr>
              <w:t>Conocer qué datos personales tenemos de ti y las condiciones de su uso. Incluye tu derecho a obtener una copia de tus datos.</w:t>
            </w:r>
          </w:p>
        </w:tc>
      </w:tr>
      <w:tr>
        <w:tc>
          <w:tcPr>
            <w:tcW w:type="dxa" w:w="2381"/>
          </w:tcPr>
          <w:p>
            <w:pPr>
              <w:spacing w:after="0"/>
            </w:pPr>
            <w:r>
              <w:rPr>
                <w:sz w:val="19"/>
              </w:rPr>
            </w:r>
            <w:r>
              <w:rPr>
                <w:sz w:val="19"/>
              </w:rPr>
              <w:t>Rectificación</w:t>
            </w:r>
          </w:p>
        </w:tc>
        <w:tc>
          <w:tcPr>
            <w:tcW w:type="dxa" w:w="6123"/>
          </w:tcPr>
          <w:p>
            <w:pPr>
              <w:spacing w:after="0"/>
            </w:pPr>
            <w:r>
              <w:rPr>
                <w:sz w:val="19"/>
              </w:rPr>
            </w:r>
            <w:r>
              <w:rPr>
                <w:sz w:val="19"/>
              </w:rPr>
              <w:t>Solicitar que se corrijan tus datos cuando sean inexactos, incompletos o no correspondan a la realidad. Por ejemplo, un NSS mal capturado o un nombre mal escrito.</w:t>
            </w:r>
          </w:p>
        </w:tc>
      </w:tr>
      <w:tr>
        <w:tc>
          <w:tcPr>
            <w:tcW w:type="dxa" w:w="2381"/>
          </w:tcPr>
          <w:p>
            <w:pPr>
              <w:spacing w:after="0"/>
            </w:pPr>
            <w:r>
              <w:rPr>
                <w:sz w:val="19"/>
              </w:rPr>
            </w:r>
            <w:r>
              <w:rPr>
                <w:sz w:val="19"/>
              </w:rPr>
              <w:t>Cancelación</w:t>
            </w:r>
          </w:p>
        </w:tc>
        <w:tc>
          <w:tcPr>
            <w:tcW w:type="dxa" w:w="6123"/>
          </w:tcPr>
          <w:p>
            <w:pPr>
              <w:spacing w:after="0"/>
            </w:pPr>
            <w:r>
              <w:rPr>
                <w:sz w:val="19"/>
              </w:rPr>
            </w:r>
            <w:r>
              <w:rPr>
                <w:sz w:val="19"/>
              </w:rPr>
              <w:t>Solicitar que se supriman tus datos cuando consideres que no están siendo tratados conforme a los principios y deberes de la Ley.</w:t>
            </w:r>
          </w:p>
        </w:tc>
      </w:tr>
      <w:tr>
        <w:tc>
          <w:tcPr>
            <w:tcW w:type="dxa" w:w="2381"/>
          </w:tcPr>
          <w:p>
            <w:pPr>
              <w:spacing w:after="0"/>
            </w:pPr>
            <w:r>
              <w:rPr>
                <w:sz w:val="19"/>
              </w:rPr>
            </w:r>
            <w:r>
              <w:rPr>
                <w:sz w:val="19"/>
              </w:rPr>
              <w:t>Oposición</w:t>
            </w:r>
          </w:p>
        </w:tc>
        <w:tc>
          <w:tcPr>
            <w:tcW w:type="dxa" w:w="6123"/>
          </w:tcPr>
          <w:p>
            <w:pPr>
              <w:spacing w:after="0"/>
            </w:pPr>
            <w:r>
              <w:rPr>
                <w:sz w:val="19"/>
              </w:rPr>
            </w:r>
            <w:r>
              <w:rPr>
                <w:sz w:val="19"/>
              </w:rPr>
              <w:t>Oponerte al tratamiento de tus datos para una finalidad determinada.</w:t>
            </w:r>
          </w:p>
        </w:tc>
      </w:tr>
      <w:tr>
        <w:tc>
          <w:tcPr>
            <w:tcW w:type="dxa" w:w="2381"/>
          </w:tcPr>
          <w:p>
            <w:pPr>
              <w:spacing w:after="0"/>
            </w:pPr>
            <w:r>
              <w:rPr>
                <w:sz w:val="19"/>
              </w:rPr>
            </w:r>
            <w:r>
              <w:rPr>
                <w:sz w:val="19"/>
              </w:rPr>
              <w:t>Revocación del consentimiento</w:t>
            </w:r>
          </w:p>
        </w:tc>
        <w:tc>
          <w:tcPr>
            <w:tcW w:type="dxa" w:w="6123"/>
          </w:tcPr>
          <w:p>
            <w:pPr>
              <w:spacing w:after="0"/>
            </w:pPr>
            <w:r>
              <w:rPr>
                <w:sz w:val="19"/>
              </w:rPr>
            </w:r>
            <w:r>
              <w:rPr>
                <w:sz w:val="19"/>
              </w:rPr>
              <w:t xml:space="preserve">Retirar el consentimiento que hayas otorgado, cuando el tratamiento se base en él. </w:t>
            </w:r>
            <w:r>
              <w:rPr>
                <w:b/>
                <w:color w:val="B42318"/>
                <w:sz w:val="19"/>
              </w:rPr>
              <w:t>Es el caso de la evaluación de riesgos psicosociales.</w:t>
            </w:r>
          </w:p>
        </w:tc>
      </w:tr>
      <w:tr>
        <w:tc>
          <w:tcPr>
            <w:tcW w:type="dxa" w:w="2381"/>
          </w:tcPr>
          <w:p>
            <w:pPr>
              <w:spacing w:after="0"/>
            </w:pPr>
            <w:r>
              <w:rPr>
                <w:sz w:val="19"/>
              </w:rPr>
            </w:r>
            <w:r>
              <w:rPr>
                <w:sz w:val="19"/>
              </w:rPr>
              <w:t>Limitar el uso o divulgación</w:t>
            </w:r>
          </w:p>
        </w:tc>
        <w:tc>
          <w:tcPr>
            <w:tcW w:type="dxa" w:w="6123"/>
          </w:tcPr>
          <w:p>
            <w:pPr>
              <w:spacing w:after="0"/>
            </w:pPr>
            <w:r>
              <w:rPr>
                <w:sz w:val="19"/>
              </w:rPr>
            </w:r>
            <w:r>
              <w:rPr>
                <w:sz w:val="19"/>
              </w:rPr>
              <w:t>Solicitar que se restrinja el uso o la divulgación de tus datos.</w:t>
            </w:r>
          </w:p>
        </w:tc>
      </w:tr>
    </w:tbl>
    <w:p/>
    <w:tbl>
      <w:tblPr>
        <w:tblStyle w:val="TableGrid"/>
        <w:tblW w:type="auto" w:w="0"/>
        <w:tblLook w:firstColumn="1" w:firstRow="1" w:lastColumn="0" w:lastRow="0" w:noHBand="0" w:noVBand="1" w:val="04A0"/>
      </w:tblPr>
      <w:tblGrid>
        <w:gridCol w:w="9236"/>
      </w:tblGrid>
      <w:tr>
        <w:tc>
          <w:tcPr>
            <w:tcW w:type="dxa" w:w="9236"/>
            <w:shd w:val="clear" w:color="auto" w:fill="FFFBEB"/>
          </w:tcPr>
          <w:p>
            <w:pPr>
              <w:spacing w:after="40"/>
            </w:pPr>
            <w:r/>
            <w:r>
              <w:rPr>
                <w:b/>
                <w:color w:val="92400E"/>
                <w:sz w:val="20"/>
              </w:rPr>
              <w:t>IMPORTANTE: tus derechos se ejercen ante tu PATRÓN, no ante Chekdor</w:t>
            </w:r>
          </w:p>
          <w:p>
            <w:pPr>
              <w:jc w:val="both"/>
            </w:pPr>
            <w:r>
              <w:rPr>
                <w:sz w:val="19"/>
              </w:rPr>
              <w:t xml:space="preserve">Chekdor </w:t>
            </w:r>
            <w:r>
              <w:rPr>
                <w:b/>
                <w:sz w:val="19"/>
              </w:rPr>
              <w:t>no puede atender</w:t>
            </w:r>
            <w:r>
              <w:rPr>
                <w:sz w:val="19"/>
              </w:rPr>
              <w:t xml:space="preserve"> directamente tu solicitud, porque no es el responsable del tratamiento y no está facultado para acreditar tu identidad ni para determinar si tu solicitud es procedente. </w:t>
            </w:r>
            <w:r>
              <w:rPr>
                <w:b/>
                <w:sz w:val="19"/>
              </w:rPr>
              <w:t>Dirige tu solicitud al área de recursos humanos, al área administrativa o al oficial de privacidad de la empresa para la que trabajas.</w:t>
            </w:r>
          </w:p>
        </w:tc>
      </w:tr>
    </w:tbl>
    <w:p/>
    <w:p>
      <w:pPr>
        <w:jc w:val="both"/>
      </w:pPr>
      <w:r>
        <w:t xml:space="preserve">Si por cualquier motivo presentas tu solicitud directamente a Chekdor, la </w:t>
      </w:r>
      <w:r>
        <w:rPr>
          <w:b/>
        </w:rPr>
        <w:t>canalizaremos a tu Patrón dentro de los tres (3) días hábiles</w:t>
      </w:r>
      <w:r>
        <w:t xml:space="preserve"> siguientes, te informaremos de ello y no emitiremos una respuesta por nuestra cuenta. Tu Patrón es quien debe responderte dentro de los </w:t>
      </w:r>
      <w:r>
        <w:rPr>
          <w:b/>
        </w:rPr>
        <w:t>veinte (20) días hábiles</w:t>
      </w:r>
      <w:r>
        <w:t xml:space="preserve"> que establece la Ley.</w:t>
      </w:r>
    </w:p>
    <w:p>
      <w:pPr>
        <w:pStyle w:val="Heading1"/>
        <w:keepNext/>
      </w:pPr>
      <w:r>
        <w:t>7. Proveedores tecnológicos y transferencia internacional de datos</w:t>
      </w:r>
    </w:p>
    <w:p>
      <w:pPr>
        <w:jc w:val="both"/>
      </w:pPr>
      <w:r>
        <w:t xml:space="preserve">Para poder operar el Servicio, Chekdor se apoya en proveedores de infraestructura de cómputo en la nube. </w:t>
      </w:r>
      <w:r>
        <w:rPr>
          <w:b/>
        </w:rPr>
        <w:t>Esto implica que tus datos se almacenan y se procesan en servidores ubicados fuera de México</w:t>
      </w:r>
      <w:r>
        <w:t>, lo que constituye una transferencia internacional en los términos del artículo 34 de la Ley. Tu Patrón ha autorizado esta transferencia al contratar el Servicio.</w:t>
      </w:r>
    </w:p>
    <w:tbl>
      <w:tblPr>
        <w:tblStyle w:val="TableGrid"/>
        <w:tblW w:type="auto" w:w="0"/>
        <w:tblLook w:firstColumn="1" w:firstRow="1" w:lastColumn="0" w:lastRow="0" w:noHBand="0" w:noVBand="1" w:val="04A0"/>
      </w:tblPr>
      <w:tblGrid>
        <w:gridCol w:w="9236"/>
      </w:tblGrid>
      <w:tr>
        <w:tc>
          <w:tcPr>
            <w:tcW w:type="dxa" w:w="9236"/>
            <w:shd w:val="clear" w:color="auto" w:fill="FEF2F2"/>
          </w:tcPr>
          <w:p>
            <w:pPr>
              <w:spacing w:after="40"/>
            </w:pPr>
            <w:r/>
            <w:r>
              <w:rPr>
                <w:b/>
                <w:color w:val="B42318"/>
                <w:sz w:val="20"/>
              </w:rPr>
              <w:t>CAMPO POR COMPLETAR — verifica la región real de tu proyecto</w:t>
            </w:r>
          </w:p>
          <w:p>
            <w:pPr>
              <w:jc w:val="both"/>
            </w:pPr>
            <w:r>
              <w:rPr>
                <w:sz w:val="19"/>
              </w:rPr>
              <w:t xml:space="preserve">Los nombres y las ubicaciones deben corresponder a lo que está </w:t>
            </w:r>
            <w:r>
              <w:rPr>
                <w:b/>
                <w:sz w:val="19"/>
              </w:rPr>
              <w:t>realmente</w:t>
            </w:r>
            <w:r>
              <w:rPr>
                <w:sz w:val="19"/>
              </w:rPr>
              <w:t xml:space="preserve"> contratado. Consulta la región en el panel de cada proveedor antes de publicar este aviso. Si declaras una región distinta de la real, el aviso es inexacto.</w:t>
            </w:r>
          </w:p>
        </w:tc>
      </w:tr>
    </w:tbl>
    <w:p/>
    <w:tbl>
      <w:tblPr>
        <w:tblStyle w:val="TableGrid"/>
        <w:tblW w:type="auto" w:w="0"/>
        <w:jc w:val="center"/>
        <w:tblLayout w:type="fixed"/>
        <w:tblLook w:firstColumn="1" w:firstRow="1" w:lastColumn="0" w:lastRow="0" w:noHBand="0" w:noVBand="1" w:val="04A0"/>
      </w:tblPr>
      <w:tblGrid>
        <w:gridCol w:w="3079"/>
        <w:gridCol w:w="3079"/>
        <w:gridCol w:w="3079"/>
      </w:tblGrid>
      <w:tr>
        <w:tc>
          <w:tcPr>
            <w:tcW w:type="dxa" w:w="2154"/>
            <w:shd w:val="clear" w:color="auto" w:fill="1D4ED8"/>
          </w:tcPr>
          <w:p>
            <w:pPr>
              <w:spacing w:after="0"/>
            </w:pPr>
            <w:r/>
            <w:r>
              <w:rPr>
                <w:b/>
                <w:color w:val="FFFFFF"/>
                <w:sz w:val="19"/>
              </w:rPr>
              <w:t>Proveedor</w:t>
            </w:r>
          </w:p>
        </w:tc>
        <w:tc>
          <w:tcPr>
            <w:tcW w:type="dxa" w:w="4082"/>
            <w:shd w:val="clear" w:color="auto" w:fill="1D4ED8"/>
          </w:tcPr>
          <w:p>
            <w:pPr>
              <w:spacing w:after="0"/>
            </w:pPr>
            <w:r/>
            <w:r>
              <w:rPr>
                <w:b/>
                <w:color w:val="FFFFFF"/>
                <w:sz w:val="19"/>
              </w:rPr>
              <w:t>Para qué se usa</w:t>
            </w:r>
          </w:p>
        </w:tc>
        <w:tc>
          <w:tcPr>
            <w:tcW w:type="dxa" w:w="2268"/>
            <w:shd w:val="clear" w:color="auto" w:fill="1D4ED8"/>
          </w:tcPr>
          <w:p>
            <w:pPr>
              <w:spacing w:after="0"/>
            </w:pPr>
            <w:r/>
            <w:r>
              <w:rPr>
                <w:b/>
                <w:color w:val="FFFFFF"/>
                <w:sz w:val="19"/>
              </w:rPr>
              <w:t>Dónde están los servidores</w:t>
            </w:r>
          </w:p>
        </w:tc>
      </w:tr>
      <w:tr>
        <w:tc>
          <w:tcPr>
            <w:tcW w:type="dxa" w:w="2154"/>
          </w:tcPr>
          <w:p>
            <w:pPr>
              <w:spacing w:after="0"/>
            </w:pPr>
            <w:r>
              <w:rPr>
                <w:sz w:val="19"/>
              </w:rPr>
            </w:r>
            <w:r>
              <w:rPr>
                <w:sz w:val="19"/>
              </w:rPr>
              <w:t>Supabase, Inc.</w:t>
            </w:r>
          </w:p>
        </w:tc>
        <w:tc>
          <w:tcPr>
            <w:tcW w:type="dxa" w:w="4082"/>
          </w:tcPr>
          <w:p>
            <w:pPr>
              <w:spacing w:after="0"/>
            </w:pPr>
            <w:r>
              <w:rPr>
                <w:sz w:val="19"/>
              </w:rPr>
            </w:r>
            <w:r>
              <w:rPr>
                <w:sz w:val="19"/>
              </w:rPr>
              <w:t>Alojamiento de la base de datos donde se guardan tus datos y servicio de autenticación de usuarios.</w:t>
            </w:r>
          </w:p>
        </w:tc>
        <w:tc>
          <w:tcPr>
            <w:tcW w:type="dxa" w:w="2268"/>
          </w:tcPr>
          <w:p>
            <w:pPr>
              <w:spacing w:after="0"/>
            </w:pPr>
            <w:r>
              <w:rPr>
                <w:sz w:val="19"/>
              </w:rPr>
            </w:r>
            <w:r>
              <w:rPr>
                <w:sz w:val="19"/>
              </w:rPr>
              <w:t>● (verificar la región del proyecto).</w:t>
            </w:r>
          </w:p>
        </w:tc>
      </w:tr>
      <w:tr>
        <w:tc>
          <w:tcPr>
            <w:tcW w:type="dxa" w:w="2154"/>
          </w:tcPr>
          <w:p>
            <w:pPr>
              <w:spacing w:after="0"/>
            </w:pPr>
            <w:r>
              <w:rPr>
                <w:sz w:val="19"/>
              </w:rPr>
            </w:r>
            <w:r>
              <w:rPr>
                <w:sz w:val="19"/>
              </w:rPr>
              <w:t>Vercel Inc.</w:t>
            </w:r>
          </w:p>
        </w:tc>
        <w:tc>
          <w:tcPr>
            <w:tcW w:type="dxa" w:w="4082"/>
          </w:tcPr>
          <w:p>
            <w:pPr>
              <w:spacing w:after="0"/>
            </w:pPr>
            <w:r>
              <w:rPr>
                <w:sz w:val="19"/>
              </w:rPr>
            </w:r>
            <w:r>
              <w:rPr>
                <w:sz w:val="19"/>
              </w:rPr>
              <w:t>Alojamiento de la aplicación web que tu Patrón y tú utilizan, y ejecución del servidor de aplicaciones.</w:t>
            </w:r>
          </w:p>
        </w:tc>
        <w:tc>
          <w:tcPr>
            <w:tcW w:type="dxa" w:w="2268"/>
          </w:tcPr>
          <w:p>
            <w:pPr>
              <w:spacing w:after="0"/>
            </w:pPr>
            <w:r>
              <w:rPr>
                <w:sz w:val="19"/>
              </w:rPr>
            </w:r>
            <w:r>
              <w:rPr>
                <w:sz w:val="19"/>
              </w:rPr>
              <w:t>● (verificar la región del proyecto).</w:t>
            </w:r>
          </w:p>
        </w:tc>
      </w:tr>
      <w:tr>
        <w:tc>
          <w:tcPr>
            <w:tcW w:type="dxa" w:w="2154"/>
          </w:tcPr>
          <w:p>
            <w:pPr>
              <w:spacing w:after="0"/>
            </w:pPr>
            <w:r>
              <w:rPr>
                <w:sz w:val="19"/>
              </w:rPr>
            </w:r>
            <w:r>
              <w:rPr>
                <w:sz w:val="19"/>
              </w:rPr>
              <w:t>● (proveedor de correo transaccional)</w:t>
            </w:r>
          </w:p>
        </w:tc>
        <w:tc>
          <w:tcPr>
            <w:tcW w:type="dxa" w:w="4082"/>
          </w:tcPr>
          <w:p>
            <w:pPr>
              <w:spacing w:after="0"/>
            </w:pPr>
            <w:r>
              <w:rPr>
                <w:sz w:val="19"/>
              </w:rPr>
            </w:r>
            <w:r>
              <w:rPr>
                <w:sz w:val="19"/>
              </w:rPr>
              <w:t>Envío de los correos de confirmación de cuenta y de notificaciones del Servicio. Recibe el nombre y el correo electrónico de los usuarios administrativos de tu Patrón.</w:t>
            </w:r>
          </w:p>
        </w:tc>
        <w:tc>
          <w:tcPr>
            <w:tcW w:type="dxa" w:w="2268"/>
          </w:tcPr>
          <w:p>
            <w:pPr>
              <w:spacing w:after="0"/>
            </w:pPr>
            <w:r>
              <w:rPr>
                <w:sz w:val="19"/>
              </w:rPr>
            </w:r>
            <w:r>
              <w:rPr>
                <w:sz w:val="19"/>
              </w:rPr>
              <w:t>●</w:t>
            </w:r>
          </w:p>
        </w:tc>
      </w:tr>
    </w:tbl>
    <w:p/>
    <w:p>
      <w:pPr>
        <w:jc w:val="both"/>
      </w:pPr>
      <w:r>
        <w:t xml:space="preserve">Todos estos proveedores están obligados por contrato a </w:t>
      </w:r>
      <w:r>
        <w:rPr>
          <w:b/>
        </w:rPr>
        <w:t>no usar tus datos para fines propios</w:t>
      </w:r>
      <w:r>
        <w:t>, a mantener medidas de seguridad equivalentes a las de Chekdor y a guardar confidencialidad sobre la información.</w:t>
      </w:r>
    </w:p>
    <w:p>
      <w:pPr>
        <w:pStyle w:val="Heading1"/>
        <w:keepNext/>
      </w:pPr>
      <w:r>
        <w:t>8. Medidas de seguridad</w:t>
      </w:r>
    </w:p>
    <w:p>
      <w:pPr>
        <w:jc w:val="both"/>
      </w:pPr>
      <w:r>
        <w:t>Chekdor ha implementado medidas administrativas, técnicas y físicas para proteger tus datos personales. Entre ellas:</w:t>
      </w:r>
    </w:p>
    <w:p>
      <w:pPr>
        <w:pStyle w:val="ListBullet"/>
        <w:spacing w:after="60"/>
      </w:pPr>
      <w:r>
        <w:rPr>
          <w:b/>
        </w:rPr>
        <w:t>Cifrado en tránsito:</w:t>
      </w:r>
      <w:r>
        <w:t xml:space="preserve"> toda la información viaja cifrada mediante HTTPS/TLS entre tu dispositivo, el Servicio y la base de datos.</w:t>
      </w:r>
    </w:p>
    <w:p>
      <w:pPr>
        <w:pStyle w:val="ListBullet"/>
        <w:spacing w:after="60"/>
      </w:pPr>
      <w:r>
        <w:rPr>
          <w:b/>
        </w:rPr>
        <w:t>Aislamiento por empresa:</w:t>
      </w:r>
      <w:r>
        <w:t xml:space="preserve"> la base de datos aplica reglas de seguridad a nivel de fila que impiden que una empresa pueda consultar la información de otra. Cada consulta se restringe automáticamente a la empresa de la persona que inició sesión.</w:t>
      </w:r>
    </w:p>
    <w:p>
      <w:pPr>
        <w:pStyle w:val="ListBullet"/>
        <w:spacing w:after="60"/>
      </w:pPr>
      <w:r>
        <w:rPr>
          <w:b/>
        </w:rPr>
        <w:t>Control de acceso por roles:</w:t>
      </w:r>
      <w:r>
        <w:t xml:space="preserve"> únicamente el personal administrativo de tu Patrón puede consultar la nómina. Un compañero de trabajo </w:t>
      </w:r>
      <w:r>
        <w:rPr>
          <w:b/>
        </w:rPr>
        <w:t>no puede ver</w:t>
      </w:r>
      <w:r>
        <w:t xml:space="preserve"> tu recibo, tu salario ni tu jornada.</w:t>
      </w:r>
    </w:p>
    <w:p>
      <w:pPr>
        <w:pStyle w:val="ListBullet"/>
        <w:spacing w:after="60"/>
      </w:pPr>
      <w:r>
        <w:rPr>
          <w:b/>
        </w:rPr>
        <w:t>Confidencialidad de los resultados de la NOM-035:</w:t>
      </w:r>
      <w:r>
        <w:t xml:space="preserve"> los resultados de la evaluación de riesgo psicosocial solo son visibles para ti y para el personal administrativo autorizado. Tus compañeros no pueden consultarlos.</w:t>
      </w:r>
    </w:p>
    <w:p>
      <w:pPr>
        <w:pStyle w:val="ListBullet"/>
        <w:spacing w:after="60"/>
      </w:pPr>
      <w:r>
        <w:rPr>
          <w:b/>
        </w:rPr>
        <w:t>Bitácora de auditoría:</w:t>
      </w:r>
      <w:r>
        <w:t xml:space="preserve"> las acciones relevantes sobre los datos quedan registradas, indicando quién las hizo y cuándo.</w:t>
      </w:r>
    </w:p>
    <w:p>
      <w:pPr>
        <w:pStyle w:val="ListBullet"/>
        <w:spacing w:after="60"/>
      </w:pPr>
      <w:r>
        <w:rPr>
          <w:b/>
        </w:rPr>
        <w:t>Respaldo diario</w:t>
      </w:r>
      <w:r>
        <w:t xml:space="preserve"> de la base de datos.</w:t>
      </w:r>
    </w:p>
    <w:p>
      <w:pPr>
        <w:pStyle w:val="ListBullet"/>
        <w:spacing w:after="60"/>
      </w:pPr>
      <w:r>
        <w:rPr>
          <w:b/>
        </w:rPr>
        <w:t>Confidencialidad del personal de Chekdor:</w:t>
      </w:r>
      <w:r>
        <w:t xml:space="preserve"> todo el personal que interviene en el tratamiento está obligado por contrato a guardar confidencialidad, obligación que subsiste aun después de terminar su relación laboral.</w:t>
      </w:r>
    </w:p>
    <w:tbl>
      <w:tblPr>
        <w:tblStyle w:val="TableGrid"/>
        <w:tblW w:type="auto" w:w="0"/>
        <w:tblLook w:firstColumn="1" w:firstRow="1" w:lastColumn="0" w:lastRow="0" w:noHBand="0" w:noVBand="1" w:val="04A0"/>
      </w:tblPr>
      <w:tblGrid>
        <w:gridCol w:w="9236"/>
      </w:tblGrid>
      <w:tr>
        <w:tc>
          <w:tcPr>
            <w:tcW w:type="dxa" w:w="9236"/>
            <w:shd w:val="clear" w:color="auto" w:fill="FFFBEB"/>
          </w:tcPr>
          <w:p>
            <w:pPr>
              <w:spacing w:after="40"/>
            </w:pPr>
            <w:r/>
            <w:r>
              <w:rPr>
                <w:b/>
                <w:color w:val="92400E"/>
                <w:sz w:val="20"/>
              </w:rPr>
              <w:t>Nota de transparencia</w:t>
            </w:r>
          </w:p>
          <w:p>
            <w:pPr>
              <w:jc w:val="both"/>
            </w:pPr>
            <w:r>
              <w:rPr>
                <w:sz w:val="19"/>
              </w:rPr>
              <w:t xml:space="preserve">Chekdor se encuentra en etapa de crecimiento y </w:t>
            </w:r>
            <w:r>
              <w:rPr>
                <w:b/>
                <w:sz w:val="19"/>
              </w:rPr>
              <w:t>no cuenta todavía con certificación ISO 27001 ni con el Distintivo de Confianza del INAI</w:t>
            </w:r>
            <w:r>
              <w:rPr>
                <w:sz w:val="19"/>
              </w:rPr>
              <w:t>. Tampoco ha realizado una prueba de penetración por un tercero independiente. Las medidas enlistadas son las que están efectivamente implementadas al día de hoy. Si necesitas conocer el detalle completo y las medidas en proceso de implementación, puedes consultar el Anexo B del Contrato de Encargo de Tratamiento o escribirnos al correo del apartado 10.</w:t>
            </w:r>
          </w:p>
        </w:tc>
      </w:tr>
    </w:tbl>
    <w:p/>
    <w:p>
      <w:pPr>
        <w:pStyle w:val="Heading1"/>
        <w:keepNext/>
      </w:pPr>
      <w:r>
        <w:t>9. ¿Cuánto tiempo conservamos tus datos?</w:t>
      </w:r>
    </w:p>
    <w:p>
      <w:pPr>
        <w:jc w:val="both"/>
      </w:pPr>
      <w:r>
        <w:rPr>
          <w:b/>
        </w:rPr>
        <w:t>El plazo lo define tu Patrón</w:t>
      </w:r>
      <w:r>
        <w:t>, porque es él quien es el responsable del tratamiento y quien conoce las obligaciones legales que le aplican. Chekdor conserva tus datos mientras la cuenta de tu Patrón esté activa y, una vez que el Patrón termina la relación con Chekdor:</w:t>
      </w:r>
    </w:p>
    <w:p>
      <w:pPr>
        <w:spacing w:after="60"/>
        <w:ind w:left="510" w:hanging="510"/>
        <w:jc w:val="both"/>
      </w:pPr>
      <w:r>
        <w:rPr>
          <w:b/>
        </w:rPr>
        <w:t xml:space="preserve">1. </w:t>
      </w:r>
      <w:r>
        <w:t xml:space="preserve">Tus datos permanecen disponibles para que el Patrón los descargue durante </w:t>
      </w:r>
      <w:r>
        <w:rPr>
          <w:b/>
        </w:rPr>
        <w:t>treinta (30) días naturales</w:t>
      </w:r>
      <w:r>
        <w:t xml:space="preserve"> contados a partir de la terminación.</w:t>
      </w:r>
    </w:p>
    <w:p>
      <w:pPr>
        <w:spacing w:after="60"/>
        <w:ind w:left="510" w:hanging="510"/>
        <w:jc w:val="both"/>
      </w:pPr>
      <w:r>
        <w:rPr>
          <w:b/>
        </w:rPr>
        <w:t xml:space="preserve">2. </w:t>
      </w:r>
      <w:r>
        <w:t xml:space="preserve">Transcurrido ese plazo, se </w:t>
      </w:r>
      <w:r>
        <w:rPr>
          <w:b/>
        </w:rPr>
        <w:t>suprimen</w:t>
      </w:r>
      <w:r>
        <w:t xml:space="preserve"> de los sistemas de Chekdor dentro de los quince (15) días naturales siguientes, junto con los de todos los demás trabajadores de esa cuenta.</w:t>
      </w:r>
    </w:p>
    <w:p>
      <w:pPr>
        <w:spacing w:after="60"/>
        <w:ind w:left="510" w:hanging="510"/>
        <w:jc w:val="both"/>
      </w:pPr>
      <w:r>
        <w:rPr>
          <w:b/>
        </w:rPr>
        <w:t xml:space="preserve">3. </w:t>
      </w:r>
      <w:r>
        <w:t>La supresión es completa: al eliminar la cuenta se eliminan los empleados, los marcajes, las jornadas y los recibos de nómina asociados.</w:t>
      </w:r>
    </w:p>
    <w:p>
      <w:pPr>
        <w:spacing w:after="60"/>
        <w:ind w:left="510" w:hanging="510"/>
        <w:jc w:val="both"/>
      </w:pPr>
      <w:r>
        <w:rPr>
          <w:b/>
        </w:rPr>
        <w:t xml:space="preserve">4. </w:t>
      </w:r>
      <w:r>
        <w:t>Podrán conservarse los datos que deban mantenerse por mandato legal o para la defensa de un derecho en un procedimiento, en cuyo caso tu Patrón lo sabrá y podrá informártelo.</w:t>
      </w:r>
    </w:p>
    <w:p>
      <w:pPr>
        <w:pStyle w:val="Heading1"/>
        <w:keepNext/>
      </w:pPr>
      <w:r>
        <w:t>10. Contacto y cambios a este aviso</w:t>
      </w:r>
    </w:p>
    <w:p>
      <w:pPr>
        <w:jc w:val="both"/>
      </w:pPr>
      <w:r>
        <w:rPr>
          <w:b/>
        </w:rPr>
        <w:t>Para dudas sobre este aviso o para reportar un uso indebido de tus datos</w:t>
      </w:r>
      <w:r>
        <w:t xml:space="preserve"> puedes escribir a:</w:t>
      </w:r>
    </w:p>
    <w:tbl>
      <w:tblPr>
        <w:tblStyle w:val="TableGrid"/>
        <w:tblW w:type="auto" w:w="0"/>
        <w:jc w:val="center"/>
        <w:tblLayout w:type="fixed"/>
        <w:tblLook w:firstColumn="1" w:firstRow="1" w:lastColumn="0" w:lastRow="0" w:noHBand="0" w:noVBand="1" w:val="04A0"/>
      </w:tblPr>
      <w:tblGrid>
        <w:gridCol w:w="4618"/>
        <w:gridCol w:w="4618"/>
      </w:tblGrid>
      <w:tr>
        <w:tc>
          <w:tcPr>
            <w:tcW w:type="dxa" w:w="2551"/>
            <w:shd w:val="clear" w:color="auto" w:fill="1D4ED8"/>
          </w:tcPr>
          <w:p>
            <w:pPr>
              <w:spacing w:after="0"/>
            </w:pPr>
            <w:r/>
            <w:r>
              <w:rPr>
                <w:b/>
                <w:color w:val="FFFFFF"/>
                <w:sz w:val="19"/>
              </w:rPr>
            </w:r>
          </w:p>
        </w:tc>
        <w:tc>
          <w:tcPr>
            <w:tcW w:type="dxa" w:w="5953"/>
            <w:shd w:val="clear" w:color="auto" w:fill="1D4ED8"/>
          </w:tcPr>
          <w:p>
            <w:pPr>
              <w:spacing w:after="0"/>
            </w:pPr>
            <w:r/>
            <w:r>
              <w:rPr>
                <w:b/>
                <w:color w:val="FFFFFF"/>
                <w:sz w:val="19"/>
              </w:rPr>
              <w:t>Datos de contacto</w:t>
            </w:r>
          </w:p>
        </w:tc>
      </w:tr>
      <w:tr>
        <w:tc>
          <w:tcPr>
            <w:tcW w:type="dxa" w:w="2551"/>
          </w:tcPr>
          <w:p>
            <w:pPr>
              <w:spacing w:after="0"/>
            </w:pPr>
            <w:r>
              <w:rPr>
                <w:sz w:val="19"/>
              </w:rPr>
            </w:r>
            <w:r>
              <w:rPr>
                <w:sz w:val="19"/>
              </w:rPr>
              <w:t>Correo electrónico</w:t>
            </w:r>
          </w:p>
        </w:tc>
        <w:tc>
          <w:tcPr>
            <w:tcW w:type="dxa" w:w="5953"/>
          </w:tcPr>
          <w:p>
            <w:pPr>
              <w:spacing w:after="0"/>
            </w:pPr>
            <w:r>
              <w:rPr>
                <w:sz w:val="19"/>
              </w:rPr>
            </w:r>
            <w:r>
              <w:rPr>
                <w:sz w:val="19"/>
              </w:rPr>
              <w:t>privacidad@chekdor.com.mx</w:t>
            </w:r>
          </w:p>
        </w:tc>
      </w:tr>
      <w:tr>
        <w:tc>
          <w:tcPr>
            <w:tcW w:type="dxa" w:w="2551"/>
          </w:tcPr>
          <w:p>
            <w:pPr>
              <w:spacing w:after="0"/>
            </w:pPr>
            <w:r>
              <w:rPr>
                <w:sz w:val="19"/>
              </w:rPr>
            </w:r>
            <w:r>
              <w:rPr>
                <w:sz w:val="19"/>
              </w:rPr>
              <w:t>Domicilio</w:t>
            </w:r>
          </w:p>
        </w:tc>
        <w:tc>
          <w:tcPr>
            <w:tcW w:type="dxa" w:w="5953"/>
          </w:tcPr>
          <w:p>
            <w:pPr>
              <w:spacing w:after="0"/>
            </w:pPr>
            <w:r>
              <w:rPr>
                <w:sz w:val="19"/>
              </w:rPr>
            </w:r>
            <w:r>
              <w:rPr>
                <w:sz w:val="19"/>
              </w:rPr>
              <w:t>●</w:t>
            </w:r>
          </w:p>
        </w:tc>
      </w:tr>
      <w:tr>
        <w:tc>
          <w:tcPr>
            <w:tcW w:type="dxa" w:w="2551"/>
          </w:tcPr>
          <w:p>
            <w:pPr>
              <w:spacing w:after="0"/>
            </w:pPr>
            <w:r>
              <w:rPr>
                <w:sz w:val="19"/>
              </w:rPr>
            </w:r>
            <w:r>
              <w:rPr>
                <w:sz w:val="19"/>
              </w:rPr>
              <w:t>Teléfono</w:t>
            </w:r>
          </w:p>
        </w:tc>
        <w:tc>
          <w:tcPr>
            <w:tcW w:type="dxa" w:w="5953"/>
          </w:tcPr>
          <w:p>
            <w:pPr>
              <w:spacing w:after="0"/>
            </w:pPr>
            <w:r>
              <w:rPr>
                <w:sz w:val="19"/>
              </w:rPr>
            </w:r>
            <w:r>
              <w:rPr>
                <w:sz w:val="19"/>
              </w:rPr>
              <w:t>●</w:t>
            </w:r>
          </w:p>
        </w:tc>
      </w:tr>
    </w:tbl>
    <w:p/>
    <w:p>
      <w:pPr>
        <w:jc w:val="both"/>
      </w:pPr>
      <w:r>
        <w:rPr>
          <w:b/>
        </w:rPr>
        <w:t>Recuerda:</w:t>
      </w:r>
      <w:r>
        <w:t xml:space="preserve"> Chekdor </w:t>
      </w:r>
      <w:r>
        <w:rPr>
          <w:b/>
        </w:rPr>
        <w:t>no puede</w:t>
      </w:r>
      <w:r>
        <w:t xml:space="preserve"> atender tu solicitud de derechos ARCO; esa solicitud corresponde a tu Patrón. El correo anterior es solo para dudas sobre este aviso o para reportar un incidente de seguridad.</w:t>
      </w:r>
    </w:p>
    <w:p>
      <w:pPr>
        <w:jc w:val="both"/>
      </w:pPr>
      <w:r>
        <w:rPr>
          <w:b/>
        </w:rPr>
        <w:t>Cambios a este aviso.</w:t>
      </w:r>
    </w:p>
    <w:p>
      <w:pPr>
        <w:pStyle w:val="ListBullet"/>
        <w:spacing w:after="60"/>
      </w:pPr>
      <w:r>
        <w:t>Este aviso puede actualizarse por cambios en el Servicio, en la legislación aplicable o en nuestras prácticas de privacidad.</w:t>
      </w:r>
    </w:p>
    <w:p>
      <w:pPr>
        <w:pStyle w:val="ListBullet"/>
        <w:spacing w:after="60"/>
      </w:pPr>
      <w:r>
        <w:t>La versión vigente estará siempre publicada en esta misma dirección, con su fecha de última actualización visible.</w:t>
      </w:r>
    </w:p>
    <w:p>
      <w:pPr>
        <w:pStyle w:val="ListBullet"/>
        <w:spacing w:after="60"/>
      </w:pPr>
      <w:r>
        <w:t>Cuando el cambio sea relevante para tus derechos, Chekdor lo comunicará a tu Patrón para que él, como responsable, te lo haga saber por los medios que utilice habitualmente.</w:t>
      </w:r>
    </w:p>
    <w:p>
      <w:pPr>
        <w:pStyle w:val="ListBullet"/>
        <w:spacing w:after="60"/>
      </w:pPr>
      <w:r>
        <w:t>No modificaremos este aviso para ampliar las finalidades del tratamiento sin que medie la autorización de tu Patrón y, cuando la Ley lo exija, tu consentimiento.</w:t>
      </w:r>
    </w:p>
    <w:p>
      <w:r>
        <w:rPr>
          <w:b/>
        </w:rPr>
        <w:t>Fecha de última actualización:</w:t>
      </w:r>
      <w:r>
        <w:t xml:space="preserve"> ● de ● de ●●.</w:t>
      </w:r>
    </w:p>
    <w:p>
      <w:r>
        <w:rPr>
          <w:b/>
        </w:rPr>
        <w:t>Versión:</w:t>
      </w:r>
      <w:r>
        <w:t xml:space="preserve"> 1.0</w:t>
      </w:r>
    </w:p>
    <w:p>
      <w:r>
        <w:br w:type="page"/>
      </w:r>
    </w:p>
    <w:p>
      <w:pPr>
        <w:pStyle w:val="Heading1"/>
        <w:keepNext/>
      </w:pPr>
      <w:r>
        <w:t>NOTAS INTERNAS — no publicar</w:t>
      </w:r>
    </w:p>
    <w:tbl>
      <w:tblPr>
        <w:tblStyle w:val="TableGrid"/>
        <w:tblW w:type="auto" w:w="0"/>
        <w:tblLook w:firstColumn="1" w:firstRow="1" w:lastColumn="0" w:lastRow="0" w:noHBand="0" w:noVBand="1" w:val="04A0"/>
      </w:tblPr>
      <w:tblGrid>
        <w:gridCol w:w="9236"/>
      </w:tblGrid>
      <w:tr>
        <w:tc>
          <w:tcPr>
            <w:tcW w:type="dxa" w:w="9236"/>
            <w:shd w:val="clear" w:color="auto" w:fill="FEF2F2"/>
          </w:tcPr>
          <w:p>
            <w:pPr>
              <w:spacing w:after="40"/>
            </w:pPr>
            <w:r/>
            <w:r>
              <w:rPr>
                <w:b/>
                <w:color w:val="B42318"/>
                <w:sz w:val="20"/>
              </w:rPr>
              <w:t>Este bloque es para el equipo de Chekdor, no forma parte del aviso publicado</w:t>
            </w:r>
          </w:p>
          <w:p>
            <w:pPr>
              <w:jc w:val="both"/>
            </w:pPr>
            <w:r>
              <w:rPr>
                <w:sz w:val="19"/>
              </w:rPr>
              <w:t>Al publicar el aviso en el sitio web, elimina esta página completa. Se incluye aquí porque el mismo archivo sirve como versión revisable y como fuente del texto publicado, y es más fácil mantener un solo documento.</w:t>
            </w:r>
          </w:p>
        </w:tc>
      </w:tr>
    </w:tbl>
    <w:p/>
    <w:p>
      <w:pPr>
        <w:pStyle w:val="Heading1"/>
        <w:keepNext/>
      </w:pPr>
      <w:r>
        <w:t>Por qué este aviso dice lo que dice</w:t>
      </w:r>
    </w:p>
    <w:p>
      <w:pPr>
        <w:spacing w:after="60"/>
        <w:ind w:left="510" w:hanging="510"/>
        <w:jc w:val="both"/>
      </w:pPr>
      <w:r>
        <w:rPr>
          <w:b/>
        </w:rPr>
        <w:t xml:space="preserve">1. </w:t>
      </w:r>
      <w:r>
        <w:rPr>
          <w:b/>
        </w:rPr>
        <w:t>Se declara desde el primer párrafo que Chekdor es encargado y no responsable.</w:t>
      </w:r>
      <w:r>
        <w:t xml:space="preserve"> Es el error más frecuente en avisos de proveedores de software: publicar un aviso como si la empresa fuera responsable de datos que en realidad le fueron confiados. Eso confunde al titular, que termina pidiendo sus derechos al proveedor equivocado.</w:t>
      </w:r>
    </w:p>
    <w:p>
      <w:pPr>
        <w:spacing w:after="60"/>
        <w:ind w:left="510" w:hanging="510"/>
        <w:jc w:val="both"/>
      </w:pPr>
      <w:r>
        <w:rPr>
          <w:b/>
        </w:rPr>
        <w:t xml:space="preserve">2. </w:t>
      </w:r>
      <w:r>
        <w:rPr>
          <w:b/>
        </w:rPr>
        <w:t>El apartado 6 explica cómo ejercer los derechos ARCO, pero remite al patrón.</w:t>
      </w:r>
      <w:r>
        <w:t xml:space="preserve"> El encargado no puede acreditar la identidad del titular ni resolver la procedencia de la solicitud. Decir lo contrario generaría expectativas que no se pueden cumplir y, con ellas, reclamaciones.</w:t>
      </w:r>
    </w:p>
    <w:p>
      <w:pPr>
        <w:spacing w:after="60"/>
        <w:ind w:left="510" w:hanging="510"/>
        <w:jc w:val="both"/>
      </w:pPr>
      <w:r>
        <w:rPr>
          <w:b/>
        </w:rPr>
        <w:t xml:space="preserve">3. </w:t>
      </w:r>
      <w:r>
        <w:rPr>
          <w:b/>
        </w:rPr>
        <w:t>El apartado 7 declara la transferencia internacional.</w:t>
      </w:r>
      <w:r>
        <w:t xml:space="preserve"> Los datos se alojan en servidores fuera de México. Omitirlo convertiría el aviso en inexacto, porque afecta directamente la forma en que se tratan los datos.</w:t>
      </w:r>
    </w:p>
    <w:p>
      <w:pPr>
        <w:spacing w:after="60"/>
        <w:ind w:left="510" w:hanging="510"/>
        <w:jc w:val="both"/>
      </w:pPr>
      <w:r>
        <w:rPr>
          <w:b/>
        </w:rPr>
        <w:t xml:space="preserve">4. </w:t>
      </w:r>
      <w:r>
        <w:rPr>
          <w:b/>
        </w:rPr>
        <w:t>El apartado 8 incluye una nota de transparencia sobre lo que no se tiene.</w:t>
      </w:r>
      <w:r>
        <w:t xml:space="preserve"> Es más defendible decir lo que falta que dejar que un prospecto lo descubra en la negociación. Un aviso que promete controles inexistentes es, en sí mismo, publicidad engañosa.</w:t>
      </w:r>
    </w:p>
    <w:p>
      <w:pPr>
        <w:spacing w:after="60"/>
        <w:ind w:left="510" w:hanging="510"/>
        <w:jc w:val="both"/>
      </w:pPr>
      <w:r>
        <w:rPr>
          <w:b/>
        </w:rPr>
        <w:t xml:space="preserve">5. </w:t>
      </w:r>
      <w:r>
        <w:rPr>
          <w:b/>
        </w:rPr>
        <w:t>No se promete ninguna certificación.</w:t>
      </w:r>
      <w:r>
        <w:t xml:space="preserve"> ISO 27001 y el Distintivo de Confianza del INAI son procesos que no se han iniciado. No deben aparecer ni siquiera como 'en trámite'.</w:t>
      </w:r>
    </w:p>
    <w:p>
      <w:pPr>
        <w:spacing w:after="60"/>
        <w:ind w:left="510" w:hanging="510"/>
        <w:jc w:val="both"/>
      </w:pPr>
      <w:r>
        <w:rPr>
          <w:b/>
        </w:rPr>
        <w:t xml:space="preserve">6. </w:t>
      </w:r>
      <w:r>
        <w:rPr>
          <w:b/>
        </w:rPr>
        <w:t>El apartado 4 declara que no hay finalidades secundarias ni entrenamiento de modelos.</w:t>
      </w:r>
      <w:r>
        <w:t xml:space="preserve"> Esta es una decisión de producto, no solo una frase: obliga a que cualquier funcionalidad futura que quiera usar los datos para otra cosa pase primero por una actualización del aviso.</w:t>
      </w:r>
    </w:p>
    <w:p>
      <w:pPr>
        <w:pStyle w:val="Heading1"/>
        <w:keepNext/>
      </w:pPr>
      <w:r>
        <w:t>Checklist antes de publicar</w:t>
      </w:r>
    </w:p>
    <w:tbl>
      <w:tblPr>
        <w:tblStyle w:val="TableGrid"/>
        <w:tblW w:type="auto" w:w="0"/>
        <w:jc w:val="center"/>
        <w:tblLayout w:type="fixed"/>
        <w:tblLook w:firstColumn="1" w:firstRow="1" w:lastColumn="0" w:lastRow="0" w:noHBand="0" w:noVBand="1" w:val="04A0"/>
      </w:tblPr>
      <w:tblGrid>
        <w:gridCol w:w="3079"/>
        <w:gridCol w:w="3079"/>
        <w:gridCol w:w="3079"/>
      </w:tblGrid>
      <w:tr>
        <w:tc>
          <w:tcPr>
            <w:tcW w:type="dxa" w:w="680"/>
            <w:shd w:val="clear" w:color="auto" w:fill="1D4ED8"/>
          </w:tcPr>
          <w:p>
            <w:pPr>
              <w:spacing w:after="0"/>
            </w:pPr>
            <w:r/>
            <w:r>
              <w:rPr>
                <w:b/>
                <w:color w:val="FFFFFF"/>
                <w:sz w:val="19"/>
              </w:rPr>
              <w:t>#</w:t>
            </w:r>
          </w:p>
        </w:tc>
        <w:tc>
          <w:tcPr>
            <w:tcW w:type="dxa" w:w="6236"/>
            <w:shd w:val="clear" w:color="auto" w:fill="1D4ED8"/>
          </w:tcPr>
          <w:p>
            <w:pPr>
              <w:spacing w:after="0"/>
            </w:pPr>
            <w:r/>
            <w:r>
              <w:rPr>
                <w:b/>
                <w:color w:val="FFFFFF"/>
                <w:sz w:val="19"/>
              </w:rPr>
              <w:t>Punto a verificar</w:t>
            </w:r>
          </w:p>
        </w:tc>
        <w:tc>
          <w:tcPr>
            <w:tcW w:type="dxa" w:w="1587"/>
            <w:shd w:val="clear" w:color="auto" w:fill="1D4ED8"/>
          </w:tcPr>
          <w:p>
            <w:pPr>
              <w:spacing w:after="0"/>
            </w:pPr>
            <w:r/>
            <w:r>
              <w:rPr>
                <w:b/>
                <w:color w:val="FFFFFF"/>
                <w:sz w:val="19"/>
              </w:rPr>
              <w:t>Estado</w:t>
            </w:r>
          </w:p>
        </w:tc>
      </w:tr>
      <w:tr>
        <w:tc>
          <w:tcPr>
            <w:tcW w:type="dxa" w:w="680"/>
          </w:tcPr>
          <w:p>
            <w:pPr>
              <w:spacing w:after="0"/>
            </w:pPr>
            <w:r>
              <w:rPr>
                <w:sz w:val="19"/>
              </w:rPr>
            </w:r>
            <w:r>
              <w:rPr>
                <w:sz w:val="19"/>
              </w:rPr>
              <w:t>1</w:t>
            </w:r>
          </w:p>
        </w:tc>
        <w:tc>
          <w:tcPr>
            <w:tcW w:type="dxa" w:w="6236"/>
          </w:tcPr>
          <w:p>
            <w:pPr>
              <w:spacing w:after="0"/>
            </w:pPr>
            <w:r>
              <w:rPr>
                <w:sz w:val="19"/>
              </w:rPr>
            </w:r>
            <w:r>
              <w:rPr>
                <w:sz w:val="19"/>
              </w:rPr>
              <w:t>Razón social, RFC y domicilio reales de Chekdor.</w:t>
            </w:r>
          </w:p>
        </w:tc>
        <w:tc>
          <w:tcPr>
            <w:tcW w:type="dxa" w:w="1587"/>
          </w:tcPr>
          <w:p>
            <w:pPr>
              <w:spacing w:after="0"/>
            </w:pPr>
            <w:r>
              <w:rPr>
                <w:sz w:val="19"/>
              </w:rPr>
            </w:r>
            <w:r>
              <w:rPr>
                <w:sz w:val="19"/>
              </w:rPr>
              <w:t>Pendiente</w:t>
            </w:r>
          </w:p>
        </w:tc>
      </w:tr>
      <w:tr>
        <w:tc>
          <w:tcPr>
            <w:tcW w:type="dxa" w:w="680"/>
          </w:tcPr>
          <w:p>
            <w:pPr>
              <w:spacing w:after="0"/>
            </w:pPr>
            <w:r>
              <w:rPr>
                <w:sz w:val="19"/>
              </w:rPr>
            </w:r>
            <w:r>
              <w:rPr>
                <w:sz w:val="19"/>
              </w:rPr>
              <w:t>2</w:t>
            </w:r>
          </w:p>
        </w:tc>
        <w:tc>
          <w:tcPr>
            <w:tcW w:type="dxa" w:w="6236"/>
          </w:tcPr>
          <w:p>
            <w:pPr>
              <w:spacing w:after="0"/>
            </w:pPr>
            <w:r>
              <w:rPr>
                <w:sz w:val="19"/>
              </w:rPr>
            </w:r>
            <w:r>
              <w:rPr>
                <w:sz w:val="19"/>
              </w:rPr>
              <w:t>Región real del proyecto de Supabase y de Vercel.</w:t>
            </w:r>
          </w:p>
        </w:tc>
        <w:tc>
          <w:tcPr>
            <w:tcW w:type="dxa" w:w="1587"/>
          </w:tcPr>
          <w:p>
            <w:pPr>
              <w:spacing w:after="0"/>
            </w:pPr>
            <w:r>
              <w:rPr>
                <w:sz w:val="19"/>
              </w:rPr>
            </w:r>
            <w:r>
              <w:rPr>
                <w:sz w:val="19"/>
              </w:rPr>
              <w:t>Pendiente</w:t>
            </w:r>
          </w:p>
        </w:tc>
      </w:tr>
      <w:tr>
        <w:tc>
          <w:tcPr>
            <w:tcW w:type="dxa" w:w="680"/>
          </w:tcPr>
          <w:p>
            <w:pPr>
              <w:spacing w:after="0"/>
            </w:pPr>
            <w:r>
              <w:rPr>
                <w:sz w:val="19"/>
              </w:rPr>
            </w:r>
            <w:r>
              <w:rPr>
                <w:sz w:val="19"/>
              </w:rPr>
              <w:t>3</w:t>
            </w:r>
          </w:p>
        </w:tc>
        <w:tc>
          <w:tcPr>
            <w:tcW w:type="dxa" w:w="6236"/>
          </w:tcPr>
          <w:p>
            <w:pPr>
              <w:spacing w:after="0"/>
            </w:pPr>
            <w:r>
              <w:rPr>
                <w:sz w:val="19"/>
              </w:rPr>
            </w:r>
            <w:r>
              <w:rPr>
                <w:sz w:val="19"/>
              </w:rPr>
              <w:t>Proveedor de correo transaccional confirmado y publicado.</w:t>
            </w:r>
          </w:p>
        </w:tc>
        <w:tc>
          <w:tcPr>
            <w:tcW w:type="dxa" w:w="1587"/>
          </w:tcPr>
          <w:p>
            <w:pPr>
              <w:spacing w:after="0"/>
            </w:pPr>
            <w:r>
              <w:rPr>
                <w:sz w:val="19"/>
              </w:rPr>
            </w:r>
            <w:r>
              <w:rPr>
                <w:sz w:val="19"/>
              </w:rPr>
              <w:t>Pendiente</w:t>
            </w:r>
          </w:p>
        </w:tc>
      </w:tr>
      <w:tr>
        <w:tc>
          <w:tcPr>
            <w:tcW w:type="dxa" w:w="680"/>
          </w:tcPr>
          <w:p>
            <w:pPr>
              <w:spacing w:after="0"/>
            </w:pPr>
            <w:r>
              <w:rPr>
                <w:sz w:val="19"/>
              </w:rPr>
            </w:r>
            <w:r>
              <w:rPr>
                <w:sz w:val="19"/>
              </w:rPr>
              <w:t>4</w:t>
            </w:r>
          </w:p>
        </w:tc>
        <w:tc>
          <w:tcPr>
            <w:tcW w:type="dxa" w:w="6236"/>
          </w:tcPr>
          <w:p>
            <w:pPr>
              <w:spacing w:after="0"/>
            </w:pPr>
            <w:r>
              <w:rPr>
                <w:sz w:val="19"/>
              </w:rPr>
            </w:r>
            <w:r>
              <w:rPr>
                <w:sz w:val="19"/>
              </w:rPr>
              <w:t xml:space="preserve">Correo privacidad@chekdor.com.mx </w:t>
            </w:r>
            <w:r>
              <w:rPr>
                <w:b/>
                <w:sz w:val="19"/>
              </w:rPr>
              <w:t>creado y con alguien que lo lea</w:t>
            </w:r>
            <w:r>
              <w:rPr>
                <w:sz w:val="19"/>
              </w:rPr>
              <w:t>.</w:t>
            </w:r>
          </w:p>
        </w:tc>
        <w:tc>
          <w:tcPr>
            <w:tcW w:type="dxa" w:w="1587"/>
          </w:tcPr>
          <w:p>
            <w:pPr>
              <w:spacing w:after="0"/>
            </w:pPr>
            <w:r>
              <w:rPr>
                <w:sz w:val="19"/>
              </w:rPr>
            </w:r>
            <w:r>
              <w:rPr>
                <w:sz w:val="19"/>
              </w:rPr>
              <w:t>Pendiente</w:t>
            </w:r>
          </w:p>
        </w:tc>
      </w:tr>
      <w:tr>
        <w:tc>
          <w:tcPr>
            <w:tcW w:type="dxa" w:w="680"/>
          </w:tcPr>
          <w:p>
            <w:pPr>
              <w:spacing w:after="0"/>
            </w:pPr>
            <w:r>
              <w:rPr>
                <w:sz w:val="19"/>
              </w:rPr>
            </w:r>
            <w:r>
              <w:rPr>
                <w:sz w:val="19"/>
              </w:rPr>
              <w:t>5</w:t>
            </w:r>
          </w:p>
        </w:tc>
        <w:tc>
          <w:tcPr>
            <w:tcW w:type="dxa" w:w="6236"/>
          </w:tcPr>
          <w:p>
            <w:pPr>
              <w:spacing w:after="0"/>
            </w:pPr>
            <w:r>
              <w:rPr>
                <w:sz w:val="19"/>
              </w:rPr>
            </w:r>
            <w:r>
              <w:rPr>
                <w:sz w:val="19"/>
              </w:rPr>
              <w:t>Fecha de última actualización y versión.</w:t>
            </w:r>
          </w:p>
        </w:tc>
        <w:tc>
          <w:tcPr>
            <w:tcW w:type="dxa" w:w="1587"/>
          </w:tcPr>
          <w:p>
            <w:pPr>
              <w:spacing w:after="0"/>
            </w:pPr>
            <w:r>
              <w:rPr>
                <w:sz w:val="19"/>
              </w:rPr>
            </w:r>
            <w:r>
              <w:rPr>
                <w:sz w:val="19"/>
              </w:rPr>
              <w:t>Pendiente</w:t>
            </w:r>
          </w:p>
        </w:tc>
      </w:tr>
      <w:tr>
        <w:tc>
          <w:tcPr>
            <w:tcW w:type="dxa" w:w="680"/>
          </w:tcPr>
          <w:p>
            <w:pPr>
              <w:spacing w:after="0"/>
            </w:pPr>
            <w:r>
              <w:rPr>
                <w:sz w:val="19"/>
              </w:rPr>
            </w:r>
            <w:r>
              <w:rPr>
                <w:sz w:val="19"/>
              </w:rPr>
              <w:t>6</w:t>
            </w:r>
          </w:p>
        </w:tc>
        <w:tc>
          <w:tcPr>
            <w:tcW w:type="dxa" w:w="6236"/>
          </w:tcPr>
          <w:p>
            <w:pPr>
              <w:spacing w:after="0"/>
            </w:pPr>
            <w:r>
              <w:rPr>
                <w:sz w:val="19"/>
              </w:rPr>
            </w:r>
            <w:r>
              <w:rPr>
                <w:sz w:val="19"/>
              </w:rPr>
              <w:t>Publicado en una URL pública, sin requerir inicio de sesión.</w:t>
            </w:r>
          </w:p>
        </w:tc>
        <w:tc>
          <w:tcPr>
            <w:tcW w:type="dxa" w:w="1587"/>
          </w:tcPr>
          <w:p>
            <w:pPr>
              <w:spacing w:after="0"/>
            </w:pPr>
            <w:r>
              <w:rPr>
                <w:sz w:val="19"/>
              </w:rPr>
            </w:r>
            <w:r>
              <w:rPr>
                <w:sz w:val="19"/>
              </w:rPr>
              <w:t>Pendiente</w:t>
            </w:r>
          </w:p>
        </w:tc>
      </w:tr>
      <w:tr>
        <w:tc>
          <w:tcPr>
            <w:tcW w:type="dxa" w:w="680"/>
          </w:tcPr>
          <w:p>
            <w:pPr>
              <w:spacing w:after="0"/>
            </w:pPr>
            <w:r>
              <w:rPr>
                <w:sz w:val="19"/>
              </w:rPr>
            </w:r>
            <w:r>
              <w:rPr>
                <w:sz w:val="19"/>
              </w:rPr>
              <w:t>7</w:t>
            </w:r>
          </w:p>
        </w:tc>
        <w:tc>
          <w:tcPr>
            <w:tcW w:type="dxa" w:w="6236"/>
          </w:tcPr>
          <w:p>
            <w:pPr>
              <w:spacing w:after="0"/>
            </w:pPr>
            <w:r>
              <w:rPr>
                <w:sz w:val="19"/>
              </w:rPr>
            </w:r>
            <w:r>
              <w:rPr>
                <w:sz w:val="19"/>
              </w:rPr>
              <w:t>Enlazado desde el pie de página de la landing (sustituye el enlace al login de la sección de privacidad y cumplimiento).</w:t>
            </w:r>
          </w:p>
        </w:tc>
        <w:tc>
          <w:tcPr>
            <w:tcW w:type="dxa" w:w="1587"/>
          </w:tcPr>
          <w:p>
            <w:pPr>
              <w:spacing w:after="0"/>
            </w:pPr>
            <w:r>
              <w:rPr>
                <w:sz w:val="19"/>
              </w:rPr>
            </w:r>
            <w:r>
              <w:rPr>
                <w:sz w:val="19"/>
              </w:rPr>
              <w:t>Pendiente</w:t>
            </w:r>
          </w:p>
        </w:tc>
      </w:tr>
      <w:tr>
        <w:tc>
          <w:tcPr>
            <w:tcW w:type="dxa" w:w="680"/>
          </w:tcPr>
          <w:p>
            <w:pPr>
              <w:spacing w:after="0"/>
            </w:pPr>
            <w:r>
              <w:rPr>
                <w:sz w:val="19"/>
              </w:rPr>
            </w:r>
            <w:r>
              <w:rPr>
                <w:sz w:val="19"/>
              </w:rPr>
              <w:t>8</w:t>
            </w:r>
          </w:p>
        </w:tc>
        <w:tc>
          <w:tcPr>
            <w:tcW w:type="dxa" w:w="6236"/>
          </w:tcPr>
          <w:p>
            <w:pPr>
              <w:spacing w:after="0"/>
            </w:pPr>
            <w:r>
              <w:rPr>
                <w:sz w:val="19"/>
              </w:rPr>
            </w:r>
            <w:r>
              <w:rPr>
                <w:sz w:val="19"/>
              </w:rPr>
              <w:t xml:space="preserve">Verificar que el acceso al marcaje NFC </w:t>
            </w:r>
            <w:r>
              <w:rPr>
                <w:b/>
                <w:sz w:val="19"/>
              </w:rPr>
              <w:t>no</w:t>
            </w:r>
            <w:r>
              <w:rPr>
                <w:sz w:val="19"/>
              </w:rPr>
              <w:t xml:space="preserve"> recabe la ubicación del empleado, solo la del punto. Si algún día se recaba la del empleado, este aviso debe actualizarse antes de activarlo.</w:t>
            </w:r>
          </w:p>
        </w:tc>
        <w:tc>
          <w:tcPr>
            <w:tcW w:type="dxa" w:w="1587"/>
          </w:tcPr>
          <w:p>
            <w:pPr>
              <w:spacing w:after="0"/>
            </w:pPr>
            <w:r>
              <w:rPr>
                <w:sz w:val="19"/>
              </w:rPr>
            </w:r>
            <w:r>
              <w:rPr>
                <w:sz w:val="19"/>
              </w:rPr>
              <w:t>Verificado</w:t>
            </w:r>
          </w:p>
        </w:tc>
      </w:tr>
    </w:tbl>
    <w:p/>
    <w:sectPr w:rsidR="00FC693F" w:rsidRPr="0006063C" w:rsidSect="00034616">
      <w:footerReference w:type="default" r:id="rId9"/>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18" w:val="center"/>
        <w:tab w:pos="9236" w:val="right"/>
      </w:tabs>
    </w:pPr>
    <w:r/>
    <w:r>
      <w:rPr>
        <w:color w:val="555F6D"/>
        <w:sz w:val="16"/>
      </w:rPr>
      <w:t>Aviso de Privacidad · Chekdor como Encargado</w:t>
    </w:r>
    <w:r>
      <w:tab/>
      <w:tab/>
    </w:r>
    <w:r>
      <w:rPr>
        <w:color w:val="555F6D"/>
        <w:sz w:val="16"/>
      </w:rPr>
      <w:t xml:space="preserve">Página </w:t>
    </w:r>
    <w:r>
      <w:rPr>
        <w:color w:val="555F6D"/>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D4ED8"/>
      <w:sz w:val="2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11111"/>
      <w:sz w:val="23"/>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555F6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