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D4ED8"/>
          <w:sz w:val="52"/>
        </w:rPr>
        <w:t>CHEKDOR</w:t>
      </w:r>
    </w:p>
    <w:p>
      <w:pPr>
        <w:jc w:val="center"/>
      </w:pPr>
      <w:r>
        <w:rPr>
          <w:color w:val="555F6D"/>
          <w:sz w:val="22"/>
        </w:rPr>
        <w:t>Conforme a los artículos 30 a 34 de la Ley Federal de Protección de Datos Personales en Posesión de los Particulares</w:t>
      </w:r>
    </w:p>
    <w:p/>
    <w:p>
      <w:pPr>
        <w:jc w:val="center"/>
      </w:pPr>
      <w:r>
        <w:rPr>
          <w:b/>
          <w:color w:val="111111"/>
          <w:sz w:val="34"/>
        </w:rPr>
        <w:t>CONTRATO DE ENCARGO DE TRATAMIENTO DE DATOS PERSONALES</w:t>
      </w:r>
    </w:p>
    <w:p/>
    <w:tbl>
      <w:tblPr>
        <w:tblStyle w:val="TableGrid"/>
        <w:tblW w:type="auto" w:w="0"/>
        <w:tblLook w:firstColumn="1" w:firstRow="1" w:lastColumn="0" w:lastRow="0" w:noHBand="0" w:noVBand="1" w:val="04A0"/>
      </w:tblPr>
      <w:tblGrid>
        <w:gridCol w:w="9236"/>
      </w:tblGrid>
      <w:tr>
        <w:tc>
          <w:tcPr>
            <w:tcW w:type="dxa" w:w="9236"/>
            <w:shd w:val="clear" w:color="auto" w:fill="FEF2F2"/>
          </w:tcPr>
          <w:p>
            <w:pPr>
              <w:spacing w:after="40"/>
            </w:pPr>
            <w:r/>
            <w:r>
              <w:rPr>
                <w:b/>
                <w:color w:val="B42318"/>
                <w:sz w:val="20"/>
              </w:rPr>
              <w:t>CAMPO POR COMPLETAR — elimina este recuadro antes de usar el contrato</w:t>
            </w:r>
          </w:p>
          <w:p>
            <w:pPr>
              <w:jc w:val="both"/>
            </w:pPr>
            <w:r>
              <w:rPr>
                <w:sz w:val="19"/>
              </w:rPr>
              <w:t>Los datos entre corchetes y los marcados con ● deben completarse con la información real antes de firmar. En particular: la razón social y el RFC de Chekdor, el domicilio, el representante legal que firma, y los datos del proveedor de nube (anexo de encargados adicionales). El correo y el teléfono de contacto de la cláusula de notificaciones también son un ejemplo si no coinciden con los publicados en el sitio web.</w:t>
            </w:r>
          </w:p>
        </w:tc>
      </w:tr>
    </w:tbl>
    <w:p/>
    <w:p>
      <w:pPr>
        <w:jc w:val="both"/>
      </w:pPr>
      <w:r>
        <w:rPr>
          <w:b/>
        </w:rPr>
        <w:t>CONTRATO DE ENCARGO DE TRATAMIENTO DE DATOS PERSONALES</w:t>
      </w:r>
      <w:r>
        <w:t xml:space="preserve"> que celebran, por una parte, </w:t>
      </w:r>
      <w:r>
        <w:rPr>
          <w:b/>
        </w:rPr>
        <w:t>CHEKDOR</w:t>
      </w:r>
      <w:r>
        <w:t xml:space="preserve"> (en lo sucesivo, el </w:t>
      </w:r>
      <w:r>
        <w:rPr>
          <w:i/>
        </w:rPr>
        <w:t>“Encargado”</w:t>
      </w:r>
      <w:r>
        <w:t xml:space="preserve">) y, por la otra, la persona moral o física identificada en el apartado de Declaraciones como cliente (en lo sucesivo, el </w:t>
      </w:r>
      <w:r>
        <w:rPr>
          <w:i/>
        </w:rPr>
        <w:t>“Responsable”</w:t>
      </w:r>
      <w:r>
        <w:t xml:space="preserve">), a quienes conjuntamente se les denominará las </w:t>
      </w:r>
      <w:r>
        <w:rPr>
          <w:i/>
        </w:rPr>
        <w:t>“Partes”</w:t>
      </w:r>
      <w:r>
        <w:t>, al tenor de las siguientes declaraciones y cláusulas:</w:t>
      </w:r>
    </w:p>
    <w:p>
      <w:pPr>
        <w:pStyle w:val="Heading1"/>
        <w:keepNext/>
      </w:pPr>
      <w:r>
        <w:t>D E C L A R A C I O N E S</w:t>
      </w:r>
    </w:p>
    <w:p>
      <w:pPr>
        <w:jc w:val="both"/>
      </w:pPr>
      <w:r>
        <w:rPr>
          <w:b/>
        </w:rPr>
        <w:t>I. Declara el Encargado</w:t>
      </w:r>
      <w:r>
        <w:t>, por conducto de su representante legal, que:</w:t>
      </w:r>
    </w:p>
    <w:p>
      <w:pPr>
        <w:spacing w:after="60"/>
        <w:ind w:left="510" w:hanging="510"/>
        <w:jc w:val="both"/>
      </w:pPr>
      <w:r>
        <w:rPr>
          <w:b/>
        </w:rPr>
        <w:t xml:space="preserve">1. </w:t>
      </w:r>
      <w:r>
        <w:t>Es una sociedad constituida conforme a las leyes de los Estados Unidos Mexicanos, según consta en la escritura pública número ● de fecha ●, otorgada ante la fe del Notario Público número ● de la ciudad de ●, inscrita en el Registro Público de Comercio bajo el folio mercantil número ●.</w:t>
      </w:r>
    </w:p>
    <w:p>
      <w:pPr>
        <w:spacing w:after="60"/>
        <w:ind w:left="510" w:hanging="510"/>
        <w:jc w:val="both"/>
      </w:pPr>
      <w:r>
        <w:rPr>
          <w:b/>
        </w:rPr>
        <w:t xml:space="preserve">2. </w:t>
      </w:r>
      <w:r>
        <w:t>Su Registro Federal de Contribuyentes es ● y su domicilio fiscal se ubica en ●.</w:t>
      </w:r>
    </w:p>
    <w:p>
      <w:pPr>
        <w:spacing w:after="60"/>
        <w:ind w:left="510" w:hanging="510"/>
        <w:jc w:val="both"/>
      </w:pPr>
      <w:r>
        <w:rPr>
          <w:b/>
        </w:rPr>
        <w:t xml:space="preserve">3. </w:t>
      </w:r>
      <w:r>
        <w:t>Su representante legal cuenta con las facultades suficientes para celebrar el presente Contrato, mismas que acredita con ● y que no le han sido revocadas ni modificadas en forma alguna a la fecha de su firma.</w:t>
      </w:r>
    </w:p>
    <w:p>
      <w:pPr>
        <w:spacing w:after="60"/>
        <w:ind w:left="510" w:hanging="510"/>
        <w:jc w:val="both"/>
      </w:pPr>
      <w:r>
        <w:rPr>
          <w:b/>
        </w:rPr>
        <w:t xml:space="preserve">4. </w:t>
      </w:r>
      <w:r>
        <w:t>Es una empresa que presta servicios de tecnología: un sistema en línea para el registro de asistencia laboral mediante tecnología de comunicación de campo cercano (</w:t>
      </w:r>
      <w:r>
        <w:rPr>
          <w:i/>
        </w:rPr>
        <w:t>NFC</w:t>
      </w:r>
      <w:r>
        <w:t xml:space="preserve">), el cálculo de nómina y la generación de archivos de exportación contable, accesible en el dominio chekdor.com.mx y sus subdominios (el </w:t>
      </w:r>
      <w:r>
        <w:rPr>
          <w:i/>
        </w:rPr>
        <w:t>“Servicio”</w:t>
      </w:r>
      <w:r>
        <w:t>).</w:t>
      </w:r>
    </w:p>
    <w:p>
      <w:pPr>
        <w:spacing w:after="60"/>
        <w:ind w:left="510" w:hanging="510"/>
        <w:jc w:val="both"/>
      </w:pPr>
      <w:r>
        <w:rPr>
          <w:b/>
        </w:rPr>
        <w:t xml:space="preserve">5. </w:t>
      </w:r>
      <w:r>
        <w:t xml:space="preserve">Para la prestación del Servicio, trata por cuenta de terceros datos personales de los que el Responsable es titular, por lo que interviene con el carácter de </w:t>
      </w:r>
      <w:r>
        <w:rPr>
          <w:i/>
        </w:rPr>
        <w:t>Encargado</w:t>
      </w:r>
      <w:r>
        <w:t xml:space="preserve"> en términos del artículo 3, fracción XIII, de la Ley Federal de Protección de Datos Personales en Posesión de los Particulares (la </w:t>
      </w:r>
      <w:r>
        <w:rPr>
          <w:i/>
        </w:rPr>
        <w:t>“Ley”</w:t>
      </w:r>
      <w:r>
        <w:t>).</w:t>
      </w:r>
    </w:p>
    <w:p>
      <w:pPr>
        <w:spacing w:after="60"/>
        <w:ind w:left="510" w:hanging="510"/>
        <w:jc w:val="both"/>
      </w:pPr>
      <w:r>
        <w:rPr>
          <w:b/>
        </w:rPr>
        <w:t xml:space="preserve">6. </w:t>
      </w:r>
      <w:r>
        <w:t>Es su voluntad obligarse en los términos del presente Contrato.</w:t>
      </w:r>
    </w:p>
    <w:p>
      <w:pPr>
        <w:jc w:val="both"/>
      </w:pPr>
      <w:r>
        <w:rPr>
          <w:b/>
        </w:rPr>
        <w:t>II. Declara el Responsable</w:t>
      </w:r>
      <w:r>
        <w:t>, por conducto de su representante legal, que:</w:t>
      </w:r>
    </w:p>
    <w:p>
      <w:pPr>
        <w:spacing w:after="60"/>
        <w:ind w:left="510" w:hanging="510"/>
        <w:jc w:val="both"/>
      </w:pPr>
      <w:r>
        <w:rPr>
          <w:b/>
        </w:rPr>
        <w:t xml:space="preserve">1. </w:t>
      </w:r>
      <w:r>
        <w:t>Es una persona física o moral de nacionalidad mexicana, según se desprende de ●.</w:t>
      </w:r>
    </w:p>
    <w:p>
      <w:pPr>
        <w:spacing w:after="60"/>
        <w:ind w:left="510" w:hanging="510"/>
        <w:jc w:val="both"/>
      </w:pPr>
      <w:r>
        <w:rPr>
          <w:b/>
        </w:rPr>
        <w:t xml:space="preserve">2. </w:t>
      </w:r>
      <w:r>
        <w:t>Su Registro Federal de Contribuyentes es ● y su domicilio se ubica en ●.</w:t>
      </w:r>
    </w:p>
    <w:p>
      <w:pPr>
        <w:spacing w:after="60"/>
        <w:ind w:left="510" w:hanging="510"/>
        <w:jc w:val="both"/>
      </w:pPr>
      <w:r>
        <w:rPr>
          <w:b/>
        </w:rPr>
        <w:t xml:space="preserve">3. </w:t>
      </w:r>
      <w:r>
        <w:t>Su representante legal cuenta con facultades suficientes para obligarlo en los términos del presente Contrato, mismas que no le han sido revocadas ni modificadas a la fecha.</w:t>
      </w:r>
    </w:p>
    <w:p>
      <w:pPr>
        <w:spacing w:after="60"/>
        <w:ind w:left="510" w:hanging="510"/>
        <w:jc w:val="both"/>
      </w:pPr>
      <w:r>
        <w:rPr>
          <w:b/>
        </w:rPr>
        <w:t xml:space="preserve">4. </w:t>
      </w:r>
      <w:r>
        <w:t xml:space="preserve">Es el </w:t>
      </w:r>
      <w:r>
        <w:rPr>
          <w:i/>
        </w:rPr>
        <w:t>Responsable</w:t>
      </w:r>
      <w:r>
        <w:t xml:space="preserve"> del tratamiento de los datos personales de sus trabajadores, exempleados, candidatos y prestadores de servicios que cargará en el Servicio, y ha recabado dichos datos con las formalidades que la Ley exige, incluyendo la entrega del aviso de privacidad correspondiente y, cuando es necesario, la obtención del consentimiento expreso y por escrito.</w:t>
      </w:r>
    </w:p>
    <w:p>
      <w:pPr>
        <w:spacing w:after="60"/>
        <w:ind w:left="510" w:hanging="510"/>
        <w:jc w:val="both"/>
      </w:pPr>
      <w:r>
        <w:rPr>
          <w:b/>
        </w:rPr>
        <w:t xml:space="preserve">5. </w:t>
      </w:r>
      <w:r>
        <w:t>Ha leído y acepta el aviso de privacidad del Encargado, publicado en https://chekdor.com.mx/privacidad-encargado.</w:t>
      </w:r>
    </w:p>
    <w:p>
      <w:pPr>
        <w:spacing w:after="60"/>
        <w:ind w:left="510" w:hanging="510"/>
        <w:jc w:val="both"/>
      </w:pPr>
      <w:r>
        <w:rPr>
          <w:b/>
        </w:rPr>
        <w:t xml:space="preserve">6. </w:t>
      </w:r>
      <w:r>
        <w:t>Es su voluntad obligarse en los términos del presente Contrato.</w:t>
      </w:r>
    </w:p>
    <w:p>
      <w:pPr>
        <w:jc w:val="both"/>
      </w:pPr>
      <w:r>
        <w:rPr>
          <w:b/>
        </w:rPr>
        <w:t>III. Declaran ambas Partes</w:t>
      </w:r>
      <w:r>
        <w:t xml:space="preserve"> que se reconocen mutuamente la personalidad con la que se ostentan y que es su voluntad celebrar el presente Contrato, con base en lo anterior y en las siguientes:</w:t>
      </w:r>
    </w:p>
    <w:p>
      <w:pPr>
        <w:pStyle w:val="Heading1"/>
        <w:keepNext/>
      </w:pPr>
      <w:r>
        <w:t>C L Á U S U L A S</w:t>
      </w:r>
    </w:p>
    <w:p>
      <w:pPr>
        <w:pStyle w:val="Heading1"/>
        <w:keepNext/>
      </w:pPr>
      <w:r>
        <w:t>PRIMERA. Objeto del tratamiento.</w:t>
      </w:r>
    </w:p>
    <w:p>
      <w:pPr>
        <w:jc w:val="both"/>
      </w:pPr>
      <w:r>
        <w:t xml:space="preserve">El Encargado tratará los datos personales que el Responsable le proporcione o cargue en el Servicio, </w:t>
      </w:r>
      <w:r>
        <w:rPr>
          <w:b/>
        </w:rPr>
        <w:t>únicamente con la finalidad</w:t>
      </w:r>
      <w:r>
        <w:t xml:space="preserve"> de prestar los servicios contratados, consistentes en:</w:t>
      </w:r>
    </w:p>
    <w:p>
      <w:pPr>
        <w:spacing w:after="60"/>
        <w:ind w:left="510" w:hanging="510"/>
        <w:jc w:val="both"/>
      </w:pPr>
      <w:r>
        <w:rPr>
          <w:b/>
        </w:rPr>
        <w:t xml:space="preserve">1. </w:t>
      </w:r>
      <w:r>
        <w:t>Registrar y almacenar los marcajes de entrada, salida e interrupciones de jornada de los trabajadores del Responsable.</w:t>
      </w:r>
    </w:p>
    <w:p>
      <w:pPr>
        <w:spacing w:after="60"/>
        <w:ind w:left="510" w:hanging="510"/>
        <w:jc w:val="both"/>
      </w:pPr>
      <w:r>
        <w:rPr>
          <w:b/>
        </w:rPr>
        <w:t xml:space="preserve">2. </w:t>
      </w:r>
      <w:r>
        <w:t>Calcular las jornadas de trabajo y el tiempo extraordinario conforme a la Ley Federal del Trabajo.</w:t>
      </w:r>
    </w:p>
    <w:p>
      <w:pPr>
        <w:spacing w:after="60"/>
        <w:ind w:left="510" w:hanging="510"/>
        <w:jc w:val="both"/>
      </w:pPr>
      <w:r>
        <w:rPr>
          <w:b/>
        </w:rPr>
        <w:t xml:space="preserve">3. </w:t>
      </w:r>
      <w:r>
        <w:t>Calcular la nómina del periodo que el Responsable determine, incluyendo percepciones, deducciones, retención de ISR, cuotas obrero-patronales del IMSS, aportaciones al SAR e INFONAVIT.</w:t>
      </w:r>
    </w:p>
    <w:p>
      <w:pPr>
        <w:spacing w:after="60"/>
        <w:ind w:left="510" w:hanging="510"/>
        <w:jc w:val="both"/>
      </w:pPr>
      <w:r>
        <w:rPr>
          <w:b/>
        </w:rPr>
        <w:t xml:space="preserve">4. </w:t>
      </w:r>
      <w:r>
        <w:t>Generar los archivos de exportación de nómina y las pólizas contables para su importación en los sistemas de contabilidad del Responsable.</w:t>
      </w:r>
    </w:p>
    <w:p>
      <w:pPr>
        <w:spacing w:after="60"/>
        <w:ind w:left="510" w:hanging="510"/>
        <w:jc w:val="both"/>
      </w:pPr>
      <w:r>
        <w:rPr>
          <w:b/>
        </w:rPr>
        <w:t xml:space="preserve">5. </w:t>
      </w:r>
      <w:r>
        <w:t>Emitir los reportes de asistencia, jornadas y nómina que el Responsable solicite.</w:t>
      </w:r>
    </w:p>
    <w:p>
      <w:pPr>
        <w:spacing w:after="60"/>
        <w:ind w:left="510" w:hanging="510"/>
        <w:jc w:val="both"/>
      </w:pPr>
      <w:r>
        <w:rPr>
          <w:b/>
        </w:rPr>
        <w:t xml:space="preserve">6. </w:t>
      </w:r>
      <w:r>
        <w:t>Registrar la evidencia del consentimiento del trabajador respecto del aviso de privacidad del Responsable y dar seguimiento a las solicitudes de derechos ARCO que el Responsable reciba, cuando el Responsable use los módulos correspondientes del Servicio.</w:t>
      </w:r>
    </w:p>
    <w:p>
      <w:pPr>
        <w:spacing w:after="60"/>
        <w:ind w:left="510" w:hanging="510"/>
        <w:jc w:val="both"/>
      </w:pPr>
      <w:r>
        <w:rPr>
          <w:b/>
        </w:rPr>
        <w:t xml:space="preserve">7. </w:t>
      </w:r>
      <w:r>
        <w:t>Aplicar la evaluación de factores de riesgo psicosocial y dar seguimiento a las medidas de control, cuando el Responsable use el módulo correspondiente.</w:t>
      </w:r>
    </w:p>
    <w:p>
      <w:pPr>
        <w:jc w:val="both"/>
      </w:pPr>
      <w:r>
        <w:rPr>
          <w:b/>
        </w:rPr>
        <w:t>El Encargado no podrá tratar los datos personales para finalidades distintas a las aquí previstas</w:t>
      </w:r>
      <w:r>
        <w:t>, ni destinarlos a publicidad, prospección comercial, elaboración de perfiles con fines comerciales, venta o cesión a terceros. Cualquier tratamiento que exceda el objeto del presente Contrato requerirá la instrucción previa y por escrito del Responsable.</w:t>
      </w:r>
    </w:p>
    <w:p>
      <w:pPr>
        <w:pStyle w:val="Heading1"/>
        <w:keepNext/>
      </w:pPr>
      <w:r>
        <w:t>SEGUNDA. Datos personales y titulares comprendidos.</w:t>
      </w:r>
    </w:p>
    <w:p>
      <w:pPr>
        <w:jc w:val="both"/>
      </w:pPr>
      <w:r>
        <w:t xml:space="preserve">El tratamiento comprende las categorías de datos personales y de titulares siguientes. En el </w:t>
      </w:r>
      <w:r>
        <w:rPr>
          <w:b/>
        </w:rPr>
        <w:t>Anexo A</w:t>
      </w:r>
      <w:r>
        <w:t xml:space="preserve"> se detalla el inventario de datos por módulo del Servicio, que forma parte integrante de este Contrato.</w:t>
      </w:r>
    </w:p>
    <w:tbl>
      <w:tblPr>
        <w:tblStyle w:val="TableGrid"/>
        <w:tblW w:type="auto" w:w="0"/>
        <w:jc w:val="center"/>
        <w:tblLayout w:type="fixed"/>
        <w:tblLook w:firstColumn="1" w:firstRow="1" w:lastColumn="0" w:lastRow="0" w:noHBand="0" w:noVBand="1" w:val="04A0"/>
      </w:tblPr>
      <w:tblGrid>
        <w:gridCol w:w="4618"/>
        <w:gridCol w:w="4618"/>
      </w:tblGrid>
      <w:tr>
        <w:tc>
          <w:tcPr>
            <w:tcW w:type="dxa" w:w="2551"/>
            <w:shd w:val="clear" w:color="auto" w:fill="1D4ED8"/>
          </w:tcPr>
          <w:p>
            <w:pPr>
              <w:spacing w:after="0"/>
            </w:pPr>
            <w:r/>
            <w:r>
              <w:rPr>
                <w:b/>
                <w:color w:val="FFFFFF"/>
                <w:sz w:val="19"/>
              </w:rPr>
              <w:t>Categoría de titulares</w:t>
            </w:r>
          </w:p>
        </w:tc>
        <w:tc>
          <w:tcPr>
            <w:tcW w:type="dxa" w:w="5953"/>
            <w:shd w:val="clear" w:color="auto" w:fill="1D4ED8"/>
          </w:tcPr>
          <w:p>
            <w:pPr>
              <w:spacing w:after="0"/>
            </w:pPr>
            <w:r/>
            <w:r>
              <w:rPr>
                <w:b/>
                <w:color w:val="FFFFFF"/>
                <w:sz w:val="19"/>
              </w:rPr>
              <w:t>Categorías de datos personales</w:t>
            </w:r>
          </w:p>
        </w:tc>
      </w:tr>
      <w:tr>
        <w:tc>
          <w:tcPr>
            <w:tcW w:type="dxa" w:w="2551"/>
          </w:tcPr>
          <w:p>
            <w:pPr>
              <w:spacing w:after="0"/>
            </w:pPr>
            <w:r>
              <w:rPr>
                <w:sz w:val="19"/>
              </w:rPr>
            </w:r>
            <w:r>
              <w:rPr>
                <w:sz w:val="19"/>
              </w:rPr>
              <w:t>Trabajadores y exempleados del Responsable</w:t>
            </w:r>
          </w:p>
        </w:tc>
        <w:tc>
          <w:tcPr>
            <w:tcW w:type="dxa" w:w="5953"/>
          </w:tcPr>
          <w:p>
            <w:pPr>
              <w:spacing w:after="0"/>
            </w:pPr>
            <w:r>
              <w:rPr>
                <w:sz w:val="19"/>
              </w:rPr>
            </w:r>
            <w:r>
              <w:rPr>
                <w:b/>
                <w:sz w:val="19"/>
              </w:rPr>
              <w:t>Identificación:</w:t>
            </w:r>
            <w:r>
              <w:rPr>
                <w:sz w:val="19"/>
              </w:rPr>
              <w:t xml:space="preserve"> nombre completo, fotografía (opcional), código de empleado, número de tarjeta NFC asignada.</w:t>
              <w:br/>
            </w:r>
            <w:r>
              <w:rPr>
                <w:b/>
                <w:sz w:val="19"/>
              </w:rPr>
              <w:t>Identificación oficial:</w:t>
            </w:r>
            <w:r>
              <w:rPr>
                <w:sz w:val="19"/>
              </w:rPr>
              <w:t xml:space="preserve"> CURP, RFC, NSS.</w:t>
              <w:br/>
            </w:r>
            <w:r>
              <w:rPr>
                <w:b/>
                <w:sz w:val="19"/>
              </w:rPr>
              <w:t>Laborales:</w:t>
            </w:r>
            <w:r>
              <w:rPr>
                <w:sz w:val="19"/>
              </w:rPr>
              <w:t xml:space="preserve"> puesto, departamento, tipo de contrato, fecha de ingreso, jornada semanal contratada, salario diario.</w:t>
              <w:br/>
            </w:r>
            <w:r>
              <w:rPr>
                <w:b/>
                <w:sz w:val="19"/>
              </w:rPr>
              <w:t>Patrimoniales y financieros:</w:t>
            </w:r>
            <w:r>
              <w:rPr>
                <w:sz w:val="19"/>
              </w:rPr>
              <w:t xml:space="preserve"> importes de nómina, banco, CLABE interbancaria o número de cuenta.</w:t>
              <w:br/>
            </w:r>
            <w:r>
              <w:rPr>
                <w:b/>
                <w:sz w:val="19"/>
              </w:rPr>
              <w:t>De jornada:</w:t>
            </w:r>
            <w:r>
              <w:rPr>
                <w:sz w:val="19"/>
              </w:rPr>
              <w:t xml:space="preserve"> fecha y hora de cada marcaje, dirección IP y agente de usuario del dispositivo empleado, ubicación geográfica del punto de marcaje.</w:t>
              <w:br/>
            </w:r>
            <w:r>
              <w:rPr>
                <w:b/>
                <w:sz w:val="19"/>
              </w:rPr>
              <w:t>De salud:</w:t>
            </w:r>
            <w:r>
              <w:rPr>
                <w:sz w:val="19"/>
              </w:rPr>
              <w:t xml:space="preserve"> resultados de la evaluación de factores de riesgo psicosocial, cuando el Responsable use el módulo NOM-035. </w:t>
            </w:r>
            <w:r>
              <w:rPr>
                <w:b/>
                <w:color w:val="B42318"/>
                <w:sz w:val="19"/>
              </w:rPr>
              <w:t>Esta categoría requiere consentimiento expreso y por escrito del trabajador.</w:t>
            </w:r>
            <w:r>
              <w:rPr>
                <w:sz w:val="19"/>
              </w:rPr>
              <w:br/>
            </w:r>
            <w:r>
              <w:rPr>
                <w:b/>
                <w:sz w:val="19"/>
              </w:rPr>
              <w:t>De cumplimiento:</w:t>
            </w:r>
            <w:r>
              <w:rPr>
                <w:sz w:val="19"/>
              </w:rPr>
              <w:t xml:space="preserve"> constancia de la aceptación del aviso de privacidad y solicitudes de derechos ARCO.</w:t>
            </w:r>
          </w:p>
        </w:tc>
      </w:tr>
      <w:tr>
        <w:tc>
          <w:tcPr>
            <w:tcW w:type="dxa" w:w="2551"/>
          </w:tcPr>
          <w:p>
            <w:pPr>
              <w:spacing w:after="0"/>
            </w:pPr>
            <w:r>
              <w:rPr>
                <w:sz w:val="19"/>
              </w:rPr>
            </w:r>
            <w:r>
              <w:rPr>
                <w:sz w:val="19"/>
              </w:rPr>
              <w:t>Personal administrativo y usuarios del Responsable</w:t>
            </w:r>
          </w:p>
        </w:tc>
        <w:tc>
          <w:tcPr>
            <w:tcW w:type="dxa" w:w="5953"/>
          </w:tcPr>
          <w:p>
            <w:pPr>
              <w:spacing w:after="0"/>
            </w:pPr>
            <w:r>
              <w:rPr>
                <w:sz w:val="19"/>
              </w:rPr>
            </w:r>
            <w:r>
              <w:rPr>
                <w:sz w:val="19"/>
              </w:rPr>
              <w:t>Nombre, correo electrónico, rol asignado en el sistema, registro de último acceso y bitácora de las acciones realizadas en el Servicio.</w:t>
            </w:r>
          </w:p>
        </w:tc>
      </w:tr>
    </w:tbl>
    <w:p/>
    <w:tbl>
      <w:tblPr>
        <w:tblStyle w:val="TableGrid"/>
        <w:tblW w:type="auto" w:w="0"/>
        <w:tblLook w:firstColumn="1" w:firstRow="1" w:lastColumn="0" w:lastRow="0" w:noHBand="0" w:noVBand="1" w:val="04A0"/>
      </w:tblPr>
      <w:tblGrid>
        <w:gridCol w:w="9236"/>
      </w:tblGrid>
      <w:tr>
        <w:tc>
          <w:tcPr>
            <w:tcW w:type="dxa" w:w="9236"/>
            <w:shd w:val="clear" w:color="auto" w:fill="FFFBEB"/>
          </w:tcPr>
          <w:p>
            <w:pPr>
              <w:spacing w:after="40"/>
            </w:pPr>
            <w:r/>
            <w:r>
              <w:rPr>
                <w:b/>
                <w:color w:val="92400E"/>
                <w:sz w:val="20"/>
              </w:rPr>
              <w:t>Datos de salud y datos patrimoniales: atención especial</w:t>
            </w:r>
          </w:p>
          <w:p>
            <w:pPr>
              <w:jc w:val="both"/>
            </w:pPr>
            <w:r>
              <w:rPr>
                <w:sz w:val="19"/>
              </w:rPr>
              <w:t xml:space="preserve">Los resultados de la evaluación de riesgo psicosocial son </w:t>
            </w:r>
            <w:r>
              <w:rPr>
                <w:b/>
                <w:sz w:val="19"/>
              </w:rPr>
              <w:t>datos personales sensibles</w:t>
            </w:r>
            <w:r>
              <w:rPr>
                <w:sz w:val="19"/>
              </w:rPr>
              <w:t xml:space="preserve">. Los datos bancarios y de nómina son </w:t>
            </w:r>
            <w:r>
              <w:rPr>
                <w:b/>
                <w:sz w:val="19"/>
              </w:rPr>
              <w:t>datos personales patrimoniales o financieros</w:t>
            </w:r>
            <w:r>
              <w:rPr>
                <w:sz w:val="19"/>
              </w:rPr>
              <w:t>. El Responsable es quien debe obtener el consentimiento expreso y por escrito para el tratamiento de los primeros, y quien asume la obligación de contar con la base legal para tratar los segundos. El Encargado no recaba estos datos directamente del titular: los recibe del Responsable, que es quien los captura o los carga.</w:t>
            </w:r>
          </w:p>
        </w:tc>
      </w:tr>
    </w:tbl>
    <w:p/>
    <w:p>
      <w:pPr>
        <w:jc w:val="both"/>
      </w:pPr>
      <w:r>
        <w:t xml:space="preserve">El Responsable </w:t>
      </w:r>
      <w:r>
        <w:rPr>
          <w:b/>
        </w:rPr>
        <w:t>no deberá</w:t>
      </w:r>
      <w:r>
        <w:t xml:space="preserve"> cargar en el Servicio datos personales sensibles distintos de los previstos en esta cláusula, en particular datos sobre origen racial o étnico, estado de salud presente o futuro distinto del señalado, información genética, creencias religiosas, filosóficas y morales, opiniones políticas, preferencia sexual o datos de niñas, niños y adolescentes. De hacerlo, asumirá las consecuencias legales que correspondan y responderá de los daños que cause al Encargado o a terceros.</w:t>
      </w:r>
    </w:p>
    <w:p>
      <w:pPr>
        <w:pStyle w:val="Heading1"/>
        <w:keepNext/>
      </w:pPr>
      <w:r>
        <w:t>TERCERA. Carácter de las instrucciones y límites del Encargado.</w:t>
      </w:r>
    </w:p>
    <w:p>
      <w:pPr>
        <w:jc w:val="both"/>
      </w:pPr>
      <w:r>
        <w:t>El Encargado tratará los datos personales conforme a las instrucciones del Responsable, contenidas en el presente Contrato y en las que posteriormente le comunique por escrito a través de los canales de soporte del Servicio. El Encargado no está obligado a cumplir instrucciones que contravengan la Ley o que excedan el objeto del Contrato.</w:t>
      </w:r>
    </w:p>
    <w:p>
      <w:pPr>
        <w:jc w:val="both"/>
      </w:pPr>
      <w:r>
        <w:rPr>
          <w:b/>
        </w:rPr>
        <w:t>Si el Encargado considera que una instrucción del Responsable es contraria a la Ley o puede vulnerar los derechos de los titulares, lo hará saber de inmediato y por escrito al Responsable</w:t>
      </w:r>
      <w:r>
        <w:t>, y podrá suspender su ejecución hasta recibir una instrucción confirmada por escrito, sin que ello se considere un incumplimiento del Contrato.</w:t>
      </w:r>
    </w:p>
    <w:p>
      <w:pPr>
        <w:jc w:val="both"/>
      </w:pPr>
      <w:r>
        <w:t xml:space="preserve">El Encargado queda </w:t>
      </w:r>
      <w:r>
        <w:rPr>
          <w:b/>
        </w:rPr>
        <w:t>prohibido</w:t>
      </w:r>
      <w:r>
        <w:t xml:space="preserve"> de tratar los datos personales por cuenta propia para finalidades distintas a las instruidas; de transferirlos a terceros distintos de los subencargados autorizados en la Cláusula Sexta; de utilizarlos para entrenar modelos, análisis agregados con fines comerciales o campañas propias; y de comercializarlos en cualquier forma.</w:t>
      </w:r>
    </w:p>
    <w:p>
      <w:pPr>
        <w:pStyle w:val="Heading1"/>
        <w:keepNext/>
      </w:pPr>
      <w:r>
        <w:t>CUARTA. Obligaciones del Encargado.</w:t>
      </w:r>
    </w:p>
    <w:p>
      <w:pPr>
        <w:jc w:val="both"/>
      </w:pPr>
      <w:r>
        <w:t>El Encargado se obliga a:</w:t>
      </w:r>
    </w:p>
    <w:p>
      <w:pPr>
        <w:spacing w:after="60"/>
        <w:ind w:left="510" w:hanging="510"/>
        <w:jc w:val="both"/>
      </w:pPr>
      <w:r>
        <w:rPr>
          <w:b/>
        </w:rPr>
        <w:t xml:space="preserve">1. </w:t>
      </w:r>
      <w:r>
        <w:t>Tratar los datos personales únicamente conforme a las instrucciones del Responsable y a lo previsto en este Contrato.</w:t>
      </w:r>
    </w:p>
    <w:p>
      <w:pPr>
        <w:spacing w:after="60"/>
        <w:ind w:left="510" w:hanging="510"/>
        <w:jc w:val="both"/>
      </w:pPr>
      <w:r>
        <w:rPr>
          <w:b/>
        </w:rPr>
        <w:t xml:space="preserve">2. </w:t>
      </w:r>
      <w:r>
        <w:t>No tratar los datos personales para finalidades distintas a las señaladas en la Cláusula Primera.</w:t>
      </w:r>
    </w:p>
    <w:p>
      <w:pPr>
        <w:spacing w:after="60"/>
        <w:ind w:left="510" w:hanging="510"/>
        <w:jc w:val="both"/>
      </w:pPr>
      <w:r>
        <w:rPr>
          <w:b/>
        </w:rPr>
        <w:t xml:space="preserve">3. </w:t>
      </w:r>
      <w:r>
        <w:t xml:space="preserve">Guardar </w:t>
      </w:r>
      <w:r>
        <w:rPr>
          <w:b/>
        </w:rPr>
        <w:t>confidencialidad</w:t>
      </w:r>
      <w:r>
        <w:t xml:space="preserve"> respecto de los datos personales tratados, obligación que subsiste aun después de terminada la relación contractual, sin limitación de tiempo.</w:t>
      </w:r>
    </w:p>
    <w:p>
      <w:pPr>
        <w:spacing w:after="60"/>
        <w:ind w:left="510" w:hanging="510"/>
        <w:jc w:val="both"/>
      </w:pPr>
      <w:r>
        <w:rPr>
          <w:b/>
        </w:rPr>
        <w:t xml:space="preserve">4. </w:t>
      </w:r>
      <w:r>
        <w:t xml:space="preserve">Mantener los datos personales en el entorno controlado del Servicio, sin reproducirlos, distribuirlos, modificarlos ni divulgarlos salvo por instrucción escrita del Responsable o por requerimiento de autoridad competente, en cuyo caso lo notificará al Responsable en un plazo de </w:t>
      </w:r>
      <w:r>
        <w:rPr>
          <w:b/>
        </w:rPr>
        <w:t>tres (3) días hábiles</w:t>
      </w:r>
      <w:r>
        <w:t>, siempre que la ley no le impida hacerlo.</w:t>
      </w:r>
    </w:p>
    <w:p>
      <w:pPr>
        <w:spacing w:after="60"/>
        <w:ind w:left="510" w:hanging="510"/>
        <w:jc w:val="both"/>
      </w:pPr>
      <w:r>
        <w:rPr>
          <w:b/>
        </w:rPr>
        <w:t xml:space="preserve">5. </w:t>
      </w:r>
      <w:r>
        <w:t>Abstenerse de transferir los datos personales a terceros sin la autorización previa del Responsable, salvo lo previsto en la Cláusula Sexta.</w:t>
      </w:r>
    </w:p>
    <w:p>
      <w:pPr>
        <w:spacing w:after="60"/>
        <w:ind w:left="510" w:hanging="510"/>
        <w:jc w:val="both"/>
      </w:pPr>
      <w:r>
        <w:rPr>
          <w:b/>
        </w:rPr>
        <w:t xml:space="preserve">6. </w:t>
      </w:r>
      <w:r>
        <w:t>Atender las solicitudes de derechos ARCO que el Responsable le canalice, en los términos de la Cláusula Séptima.</w:t>
      </w:r>
    </w:p>
    <w:p>
      <w:pPr>
        <w:spacing w:after="60"/>
        <w:ind w:left="510" w:hanging="510"/>
        <w:jc w:val="both"/>
      </w:pPr>
      <w:r>
        <w:rPr>
          <w:b/>
        </w:rPr>
        <w:t xml:space="preserve">7. </w:t>
      </w:r>
      <w:r>
        <w:rPr>
          <w:b/>
        </w:rPr>
        <w:t>Notificar al Responsable, sin dilación y a más tardar dentro de las setenta y dos (72) horas</w:t>
      </w:r>
      <w:r>
        <w:t xml:space="preserve"> siguientes a que tenga conocimiento, cualquier vulneración de seguridad que afecte de forma significativa los derechos patrimoniales o morales de los titulares, conforme al artículo 20 de la Ley y a la Cláusula Novena de este Contrato.</w:t>
      </w:r>
    </w:p>
    <w:p>
      <w:pPr>
        <w:spacing w:after="60"/>
        <w:ind w:left="510" w:hanging="510"/>
        <w:jc w:val="both"/>
      </w:pPr>
      <w:r>
        <w:rPr>
          <w:b/>
        </w:rPr>
        <w:t xml:space="preserve">8. </w:t>
      </w:r>
      <w:r>
        <w:t xml:space="preserve">Adoptar y mantener las medidas de seguridad administrativas, técnicas y físicas descritas en el </w:t>
      </w:r>
      <w:r>
        <w:rPr>
          <w:b/>
        </w:rPr>
        <w:t>Anexo B</w:t>
      </w:r>
      <w:r>
        <w:t>, y no reducirlas sin causa justificada.</w:t>
      </w:r>
    </w:p>
    <w:p>
      <w:pPr>
        <w:spacing w:after="60"/>
        <w:ind w:left="510" w:hanging="510"/>
        <w:jc w:val="both"/>
      </w:pPr>
      <w:r>
        <w:rPr>
          <w:b/>
        </w:rPr>
        <w:t xml:space="preserve">9. </w:t>
      </w:r>
      <w:r>
        <w:t xml:space="preserve">Mantener un </w:t>
      </w:r>
      <w:r>
        <w:rPr>
          <w:b/>
        </w:rPr>
        <w:t>registro de las operaciones de tratamiento</w:t>
      </w:r>
      <w:r>
        <w:t xml:space="preserve"> realizadas sobre los datos personales, disponible para el Responsable a solicitud, conforme al artículo 3, fracción XXXII, de la Ley y su Reglamento.</w:t>
      </w:r>
    </w:p>
    <w:p>
      <w:pPr>
        <w:spacing w:after="60"/>
        <w:ind w:left="510" w:hanging="510"/>
        <w:jc w:val="both"/>
      </w:pPr>
      <w:r>
        <w:rPr>
          <w:b/>
        </w:rPr>
        <w:t xml:space="preserve">10. </w:t>
      </w:r>
      <w:r>
        <w:t>Designar a la persona o área responsable de la seguridad de los datos personales y comunicar sus datos de contacto al Responsable.</w:t>
      </w:r>
    </w:p>
    <w:p>
      <w:pPr>
        <w:spacing w:after="60"/>
        <w:ind w:left="510" w:hanging="510"/>
        <w:jc w:val="both"/>
      </w:pPr>
      <w:r>
        <w:rPr>
          <w:b/>
        </w:rPr>
        <w:t xml:space="preserve">11. </w:t>
      </w:r>
      <w:r>
        <w:t>Capacitar a su personal en materia de protección de datos personales, al menos una vez al año, y dejar constancia de la capacitación.</w:t>
      </w:r>
    </w:p>
    <w:p>
      <w:pPr>
        <w:spacing w:after="60"/>
        <w:ind w:left="510" w:hanging="510"/>
        <w:jc w:val="both"/>
      </w:pPr>
      <w:r>
        <w:rPr>
          <w:b/>
        </w:rPr>
        <w:t xml:space="preserve">12. </w:t>
      </w:r>
      <w:r>
        <w:t>Suscribir con todo el personal que intervenga en el tratamiento un acuerdo de confidencialidad y de uso limitado de la información, en términos del artículo 31 del Reglamento de la Ley.</w:t>
      </w:r>
    </w:p>
    <w:p>
      <w:pPr>
        <w:spacing w:after="60"/>
        <w:ind w:left="510" w:hanging="510"/>
        <w:jc w:val="both"/>
      </w:pPr>
      <w:r>
        <w:rPr>
          <w:b/>
        </w:rPr>
        <w:t xml:space="preserve">13. </w:t>
      </w:r>
      <w:r>
        <w:t>Realizar la verificación y, en su caso, la supresión de los datos personales cuando el Responsable lo solicite y al término del Contrato, conforme a la Cláusula Décima.</w:t>
      </w:r>
    </w:p>
    <w:p>
      <w:pPr>
        <w:spacing w:after="60"/>
        <w:ind w:left="510" w:hanging="510"/>
        <w:jc w:val="both"/>
      </w:pPr>
      <w:r>
        <w:rPr>
          <w:b/>
        </w:rPr>
        <w:t xml:space="preserve">14. </w:t>
      </w:r>
      <w:r>
        <w:t>Permitir y facilitar las labores de verificación y auditoría del Responsable o de un tercero designado por él, en los términos de la Cláusula Duodécima.</w:t>
      </w:r>
    </w:p>
    <w:p>
      <w:pPr>
        <w:pStyle w:val="Heading1"/>
        <w:keepNext/>
      </w:pPr>
      <w:r>
        <w:t>QUINTA. Obligaciones del Responsable.</w:t>
      </w:r>
    </w:p>
    <w:p>
      <w:pPr>
        <w:spacing w:after="60"/>
        <w:ind w:left="510" w:hanging="510"/>
        <w:jc w:val="both"/>
      </w:pPr>
      <w:r>
        <w:rPr>
          <w:b/>
        </w:rPr>
        <w:t xml:space="preserve">1. </w:t>
      </w:r>
      <w:r>
        <w:t xml:space="preserve">Proporcionar al Encargado únicamente los datos personales </w:t>
      </w:r>
      <w:r>
        <w:rPr>
          <w:b/>
        </w:rPr>
        <w:t>necesarios, adecuados y relevantes</w:t>
      </w:r>
      <w:r>
        <w:t xml:space="preserve"> para las finalidades del tratamiento (principio de minimización de datos).</w:t>
      </w:r>
    </w:p>
    <w:p>
      <w:pPr>
        <w:spacing w:after="60"/>
        <w:ind w:left="510" w:hanging="510"/>
        <w:jc w:val="both"/>
      </w:pPr>
      <w:r>
        <w:rPr>
          <w:b/>
        </w:rPr>
        <w:t xml:space="preserve">2. </w:t>
      </w:r>
      <w:r>
        <w:t>Recabar los datos personales con las formalidades de ley, incluyendo la puesta a disposición del aviso de privacidad y, cuando corresponda, la obtención del consentimiento expreso y por escrito del titular.</w:t>
      </w:r>
    </w:p>
    <w:p>
      <w:pPr>
        <w:spacing w:after="60"/>
        <w:ind w:left="510" w:hanging="510"/>
        <w:jc w:val="both"/>
      </w:pPr>
      <w:r>
        <w:rPr>
          <w:b/>
        </w:rPr>
        <w:t xml:space="preserve">3. </w:t>
      </w:r>
      <w:r>
        <w:rPr>
          <w:b/>
        </w:rPr>
        <w:t>Atender las solicitudes de derechos ARCO</w:t>
      </w:r>
      <w:r>
        <w:t xml:space="preserve"> que los titulares presenten directamente, ya que el Encargado no es el responsable del tratamiento y no puede resolverlas por sí mismo.</w:t>
      </w:r>
    </w:p>
    <w:p>
      <w:pPr>
        <w:spacing w:after="60"/>
        <w:ind w:left="510" w:hanging="510"/>
        <w:jc w:val="both"/>
      </w:pPr>
      <w:r>
        <w:rPr>
          <w:b/>
        </w:rPr>
        <w:t xml:space="preserve">4. </w:t>
      </w:r>
      <w:r>
        <w:t>Responder ante los titulares y ante la autoridad por cualquier vulneración de los principios y deberes de la Ley derivada de datos que haya cargado en el Servicio, o de instrucciones que haya dado al Encargado.</w:t>
      </w:r>
    </w:p>
    <w:p>
      <w:pPr>
        <w:spacing w:after="60"/>
        <w:ind w:left="510" w:hanging="510"/>
        <w:jc w:val="both"/>
      </w:pPr>
      <w:r>
        <w:rPr>
          <w:b/>
        </w:rPr>
        <w:t xml:space="preserve">5. </w:t>
      </w:r>
      <w:r>
        <w:t>Designar a un interlocutor con facultades para dar instrucciones al Encargado en materia de datos personales y comunicar sus datos de contacto.</w:t>
      </w:r>
    </w:p>
    <w:p>
      <w:pPr>
        <w:spacing w:after="60"/>
        <w:ind w:left="510" w:hanging="510"/>
        <w:jc w:val="both"/>
      </w:pPr>
      <w:r>
        <w:rPr>
          <w:b/>
        </w:rPr>
        <w:t xml:space="preserve">6. </w:t>
      </w:r>
      <w:r>
        <w:t>Informar de inmediato al Encargado cualquier hecho del que tenga conocimiento que pueda afectar la seguridad de los datos personales.</w:t>
      </w:r>
    </w:p>
    <w:p>
      <w:pPr>
        <w:spacing w:after="60"/>
        <w:ind w:left="510" w:hanging="510"/>
        <w:jc w:val="both"/>
      </w:pPr>
      <w:r>
        <w:rPr>
          <w:b/>
        </w:rPr>
        <w:t xml:space="preserve">7. </w:t>
      </w:r>
      <w:r>
        <w:t>Cubrir la contraprestación pactada en el contrato de servicios, ya que la prestación del Servicio es la causa que da origen a este encargo.</w:t>
      </w:r>
    </w:p>
    <w:p>
      <w:pPr>
        <w:spacing w:after="60"/>
        <w:ind w:left="510" w:hanging="510"/>
        <w:jc w:val="both"/>
      </w:pPr>
      <w:r>
        <w:rPr>
          <w:b/>
        </w:rPr>
        <w:t xml:space="preserve">8. </w:t>
      </w:r>
      <w:r>
        <w:t xml:space="preserve">Revisar y validar los cálculos de nómina, las tarifas fiscales vigentes y los archivos de exportación antes de surtir efectos ante el Servicio de Administración Tributaria o ante cualquier autoridad. </w:t>
      </w:r>
      <w:r>
        <w:rPr>
          <w:b/>
        </w:rPr>
        <w:t>El cálculo de contribuciones y retenciones es responsabilidad del Responsable y de su contador</w:t>
      </w:r>
      <w:r>
        <w:t>, y el Servicio es una herramienta de apoyo que aplica los parámetros que el propio Responsable configura.</w:t>
      </w:r>
    </w:p>
    <w:p>
      <w:pPr>
        <w:pStyle w:val="Heading1"/>
        <w:keepNext/>
      </w:pPr>
      <w:r>
        <w:t>SEXTA. Encargados adicionales (subcontratación).</w:t>
      </w:r>
    </w:p>
    <w:p>
      <w:pPr>
        <w:jc w:val="both"/>
      </w:pPr>
      <w:r>
        <w:t xml:space="preserve">El Responsable </w:t>
      </w:r>
      <w:r>
        <w:rPr>
          <w:b/>
        </w:rPr>
        <w:t>autoriza</w:t>
      </w:r>
      <w:r>
        <w:t xml:space="preserve"> al Encargado para subcontratar el tratamiento con los prestadores de servicios de infraestructura tecnológica y de cómputo en la nube enumerados en el </w:t>
      </w:r>
      <w:r>
        <w:rPr>
          <w:b/>
        </w:rPr>
        <w:t>Anexo C</w:t>
      </w:r>
      <w:r>
        <w:t>, en el entendido de que:</w:t>
      </w:r>
    </w:p>
    <w:p>
      <w:pPr>
        <w:spacing w:after="60"/>
        <w:ind w:left="510" w:hanging="510"/>
        <w:jc w:val="both"/>
      </w:pPr>
      <w:r>
        <w:rPr>
          <w:b/>
        </w:rPr>
        <w:t xml:space="preserve">1. </w:t>
      </w:r>
      <w:r>
        <w:t xml:space="preserve">El Encargado dará aviso al Responsable de cualquier cambio o incorporación de un nuevo subencargado, con </w:t>
      </w:r>
      <w:r>
        <w:rPr>
          <w:b/>
        </w:rPr>
        <w:t>quince (15) días naturales</w:t>
      </w:r>
      <w:r>
        <w:t xml:space="preserve"> de anticipación cuando el cambio implique una modificación al Anexo C. El aviso se dará por correo electrónico a la dirección que el Responsable tenga registrada en el Servicio.</w:t>
      </w:r>
    </w:p>
    <w:p>
      <w:pPr>
        <w:spacing w:after="60"/>
        <w:ind w:left="510" w:hanging="510"/>
        <w:jc w:val="both"/>
      </w:pPr>
      <w:r>
        <w:rPr>
          <w:b/>
        </w:rPr>
        <w:t xml:space="preserve">2. </w:t>
      </w:r>
      <w:r>
        <w:t>Si el Responsable se opone motivadamente al cambio dentro de ese plazo, las Partes negociarán de buena fe una alternativa; de no alcanzarse, el Responsable podrá dar por terminado el Contrato sin penalidad, conforme a la Cláusula Décima.</w:t>
      </w:r>
    </w:p>
    <w:p>
      <w:pPr>
        <w:spacing w:after="60"/>
        <w:ind w:left="510" w:hanging="510"/>
        <w:jc w:val="both"/>
      </w:pPr>
      <w:r>
        <w:rPr>
          <w:b/>
        </w:rPr>
        <w:t xml:space="preserve">3. </w:t>
      </w:r>
      <w:r>
        <w:t xml:space="preserve">El Encargado </w:t>
      </w:r>
      <w:r>
        <w:rPr>
          <w:b/>
        </w:rPr>
        <w:t>impone a sus subencargados, mediante contrato, las mismas obligaciones</w:t>
      </w:r>
      <w:r>
        <w:t xml:space="preserve"> de protección de datos que asume en este Contrato, en términos del artículo 32 del Reglamento de la Ley.</w:t>
      </w:r>
    </w:p>
    <w:p>
      <w:pPr>
        <w:spacing w:after="60"/>
        <w:ind w:left="510" w:hanging="510"/>
        <w:jc w:val="both"/>
      </w:pPr>
      <w:r>
        <w:rPr>
          <w:b/>
        </w:rPr>
        <w:t xml:space="preserve">4. </w:t>
      </w:r>
      <w:r>
        <w:t xml:space="preserve">El Encargado </w:t>
      </w:r>
      <w:r>
        <w:rPr>
          <w:b/>
        </w:rPr>
        <w:t>responde ante el Responsable</w:t>
      </w:r>
      <w:r>
        <w:t xml:space="preserve"> por el tratamiento que realicen sus subencargados, y responderá por los daños que ellos causen cuando hayan actuado sin instrucciones del Encargado o en contra de ellas.</w:t>
      </w:r>
    </w:p>
    <w:p>
      <w:pPr>
        <w:jc w:val="both"/>
      </w:pPr>
      <w:r>
        <w:rPr>
          <w:b/>
        </w:rPr>
        <w:t>No se consideran subencargados</w:t>
      </w:r>
      <w:r>
        <w:t xml:space="preserve"> los asesores profesionales del Responsable, ni los sistemas contables del Responsable (CONTPAQi, Aspel o cualquier otro) en los que este importe los archivos que descargue del Servicio. La descarga y el uso de dichos archivos ocurren bajo la responsabilidad exclusiva del Responsable y en un entorno que él controla.</w:t>
      </w:r>
    </w:p>
    <w:p>
      <w:pPr>
        <w:pStyle w:val="Heading1"/>
        <w:keepNext/>
      </w:pPr>
      <w:r>
        <w:t>SÉPTIMA. Derechos de los titulares (ARCO).</w:t>
      </w:r>
    </w:p>
    <w:p>
      <w:pPr>
        <w:jc w:val="both"/>
      </w:pPr>
      <w:r>
        <w:t xml:space="preserve">El Encargado no es el responsable del tratamiento y </w:t>
      </w:r>
      <w:r>
        <w:rPr>
          <w:b/>
        </w:rPr>
        <w:t>no puede atender directamente</w:t>
      </w:r>
      <w:r>
        <w:t xml:space="preserve"> las solicitudes de acceso, rectificación, cancelación u oposición que los titulares le presenten, ya que no le corresponde acreditar la identidad del titular ni determinar la procedencia de la solicitud.</w:t>
      </w:r>
    </w:p>
    <w:p>
      <w:pPr>
        <w:spacing w:after="60"/>
        <w:ind w:left="510" w:hanging="510"/>
        <w:jc w:val="both"/>
      </w:pPr>
      <w:r>
        <w:rPr>
          <w:b/>
        </w:rPr>
        <w:t xml:space="preserve">1. </w:t>
      </w:r>
      <w:r>
        <w:t xml:space="preserve">Si el Encargado recibe una solicitud de derechos ARCO o una solicitud de revocación del consentimiento, </w:t>
      </w:r>
      <w:r>
        <w:rPr>
          <w:b/>
        </w:rPr>
        <w:t>la remitirá al Responsable dentro de los tres (3) días hábiles siguientes</w:t>
      </w:r>
      <w:r>
        <w:t xml:space="preserve"> a su recepción, por correo electrónico, sin resolverla ni dar respuesta al titular.</w:t>
      </w:r>
    </w:p>
    <w:p>
      <w:pPr>
        <w:spacing w:after="60"/>
        <w:ind w:left="510" w:hanging="510"/>
        <w:jc w:val="both"/>
      </w:pPr>
      <w:r>
        <w:rPr>
          <w:b/>
        </w:rPr>
        <w:t xml:space="preserve">2. </w:t>
      </w:r>
      <w:r>
        <w:t>Cuando el titular presente la solicitud por un canal del Servicio, el Encargado le informará que su solicitud corresponde al Responsable y la canalizará de inmediato.</w:t>
      </w:r>
    </w:p>
    <w:p>
      <w:pPr>
        <w:spacing w:after="60"/>
        <w:ind w:left="510" w:hanging="510"/>
        <w:jc w:val="both"/>
      </w:pPr>
      <w:r>
        <w:rPr>
          <w:b/>
        </w:rPr>
        <w:t xml:space="preserve">3. </w:t>
      </w:r>
      <w:r>
        <w:t xml:space="preserve">A solicitud del Responsable, el Encargado </w:t>
      </w:r>
      <w:r>
        <w:rPr>
          <w:b/>
        </w:rPr>
        <w:t>le asistirá técnicamente</w:t>
      </w:r>
      <w:r>
        <w:t xml:space="preserve"> para localizar, extraer, rectificar, bloquear o suprimir los datos del titular dentro del Servicio, en un plazo máximo de </w:t>
      </w:r>
      <w:r>
        <w:rPr>
          <w:b/>
        </w:rPr>
        <w:t>diez (10) días hábiles</w:t>
      </w:r>
      <w:r>
        <w:t xml:space="preserve"> contados a partir de la instrucción escrita, sin costo adicional.</w:t>
      </w:r>
    </w:p>
    <w:p>
      <w:pPr>
        <w:spacing w:after="60"/>
        <w:ind w:left="510" w:hanging="510"/>
        <w:jc w:val="both"/>
      </w:pPr>
      <w:r>
        <w:rPr>
          <w:b/>
        </w:rPr>
        <w:t xml:space="preserve">4. </w:t>
      </w:r>
      <w:r>
        <w:t>El Encargado documentará cada solicitud y su canalización, para que el Responsable pueda acreditar el plazo de respuesta de veinte (20) días hábiles que establece el artículo 32 de la Ley.</w:t>
      </w:r>
    </w:p>
    <w:p>
      <w:pPr>
        <w:pStyle w:val="Heading1"/>
        <w:keepNext/>
      </w:pPr>
      <w:r>
        <w:t>OCTAVA. Medidas de seguridad.</w:t>
      </w:r>
    </w:p>
    <w:p>
      <w:pPr>
        <w:jc w:val="both"/>
      </w:pPr>
      <w:r>
        <w:t xml:space="preserve">El Encargado implementa las medidas de seguridad administrativas, técnicas y físicas detalladas en el </w:t>
      </w:r>
      <w:r>
        <w:rPr>
          <w:b/>
        </w:rPr>
        <w:t>Anexo B</w:t>
      </w:r>
      <w:r>
        <w:t>, y se obliga a:</w:t>
      </w:r>
    </w:p>
    <w:p>
      <w:pPr>
        <w:spacing w:after="60"/>
        <w:ind w:left="510" w:hanging="510"/>
        <w:jc w:val="both"/>
      </w:pPr>
      <w:r>
        <w:rPr>
          <w:b/>
        </w:rPr>
        <w:t xml:space="preserve">1. </w:t>
      </w:r>
      <w:r>
        <w:t>Mantener dichas medidas vigentes durante toda la relación contractual.</w:t>
      </w:r>
    </w:p>
    <w:p>
      <w:pPr>
        <w:spacing w:after="60"/>
        <w:ind w:left="510" w:hanging="510"/>
        <w:jc w:val="both"/>
      </w:pPr>
      <w:r>
        <w:rPr>
          <w:b/>
        </w:rPr>
        <w:t xml:space="preserve">2. </w:t>
      </w:r>
      <w:r>
        <w:t>Mejorarlas cuando exista riesgo de vulneración o cuando la evolución tecnológica lo haga necesario, sin que ello implique una reducción del nivel de protección.</w:t>
      </w:r>
    </w:p>
    <w:p>
      <w:pPr>
        <w:spacing w:after="60"/>
        <w:ind w:left="510" w:hanging="510"/>
        <w:jc w:val="both"/>
      </w:pPr>
      <w:r>
        <w:rPr>
          <w:b/>
        </w:rPr>
        <w:t xml:space="preserve">3. </w:t>
      </w:r>
      <w:r>
        <w:t>Documentar las medidas, sus actualizaciones y las razones que las motivaron.</w:t>
      </w:r>
    </w:p>
    <w:p>
      <w:pPr>
        <w:spacing w:after="60"/>
        <w:ind w:left="510" w:hanging="510"/>
        <w:jc w:val="both"/>
      </w:pPr>
      <w:r>
        <w:rPr>
          <w:b/>
        </w:rPr>
        <w:t xml:space="preserve">4. </w:t>
      </w:r>
      <w:r>
        <w:t>No reducirlas sin causa justificada ni en perjuicio de los titulares.</w:t>
      </w:r>
    </w:p>
    <w:tbl>
      <w:tblPr>
        <w:tblStyle w:val="TableGrid"/>
        <w:tblW w:type="auto" w:w="0"/>
        <w:tblLook w:firstColumn="1" w:firstRow="1" w:lastColumn="0" w:lastRow="0" w:noHBand="0" w:noVBand="1" w:val="04A0"/>
      </w:tblPr>
      <w:tblGrid>
        <w:gridCol w:w="9236"/>
      </w:tblGrid>
      <w:tr>
        <w:tc>
          <w:tcPr>
            <w:tcW w:type="dxa" w:w="9236"/>
            <w:shd w:val="clear" w:color="auto" w:fill="FEF2F2"/>
          </w:tcPr>
          <w:p>
            <w:pPr>
              <w:spacing w:after="40"/>
            </w:pPr>
            <w:r/>
            <w:r>
              <w:rPr>
                <w:b/>
                <w:color w:val="B42318"/>
                <w:sz w:val="20"/>
              </w:rPr>
              <w:t>DECLARACIÓN DE MEDIDAS PENDIENTES — elimina este recuadro cuando se cierren</w:t>
            </w:r>
          </w:p>
          <w:p>
            <w:pPr>
              <w:jc w:val="both"/>
            </w:pPr>
            <w:r>
              <w:rPr>
                <w:sz w:val="19"/>
              </w:rPr>
              <w:t xml:space="preserve">El </w:t>
            </w:r>
            <w:r>
              <w:rPr>
                <w:b/>
                <w:sz w:val="19"/>
              </w:rPr>
              <w:t>Anexo B</w:t>
            </w:r>
            <w:r>
              <w:rPr>
                <w:sz w:val="19"/>
              </w:rPr>
              <w:t xml:space="preserve"> marca expresamente las medidas que están </w:t>
            </w:r>
            <w:r>
              <w:rPr>
                <w:b/>
                <w:sz w:val="19"/>
              </w:rPr>
              <w:t>implementadas</w:t>
            </w:r>
            <w:r>
              <w:rPr>
                <w:sz w:val="19"/>
              </w:rPr>
              <w:t xml:space="preserve"> y las que están </w:t>
            </w:r>
            <w:r>
              <w:rPr>
                <w:b/>
                <w:sz w:val="19"/>
              </w:rPr>
              <w:t>pendientes</w:t>
            </w:r>
            <w:r>
              <w:rPr>
                <w:sz w:val="19"/>
              </w:rPr>
              <w:t xml:space="preserve">. Al firmar un contrato, el Encargado se obliga a lo que ahí se declara, por lo que las medidas pendientes deben </w:t>
            </w:r>
            <w:r>
              <w:rPr>
                <w:b/>
                <w:sz w:val="19"/>
              </w:rPr>
              <w:t>describirse como pendientes con fecha comprometida de cierre</w:t>
            </w:r>
            <w:r>
              <w:rPr>
                <w:sz w:val="19"/>
              </w:rPr>
              <w:t>, nunca presentarse como vigentes. Afirmar por escrito que existe un control que no está implementado es, por sí mismo, un incumplimiento contractual.</w:t>
            </w:r>
          </w:p>
        </w:tc>
      </w:tr>
    </w:tbl>
    <w:p/>
    <w:p>
      <w:pPr>
        <w:pStyle w:val="Heading1"/>
        <w:keepNext/>
      </w:pPr>
      <w:r>
        <w:t>NOVENA. Vulneraciones de seguridad.</w:t>
      </w:r>
    </w:p>
    <w:p>
      <w:pPr>
        <w:jc w:val="both"/>
      </w:pPr>
      <w:r>
        <w:t xml:space="preserve">Para efectos del artículo 20 de la Ley, se entenderá por </w:t>
      </w:r>
      <w:r>
        <w:rPr>
          <w:b/>
        </w:rPr>
        <w:t>vulneración de seguridad</w:t>
      </w:r>
      <w:r>
        <w:t xml:space="preserve"> toda pérdida, destrucción, acceso, uso o divulgación no autorizados de los datos personales tratados por el Encargado.</w:t>
      </w:r>
    </w:p>
    <w:p>
      <w:pPr>
        <w:spacing w:after="60"/>
        <w:ind w:left="510" w:hanging="510"/>
        <w:jc w:val="both"/>
      </w:pPr>
      <w:r>
        <w:rPr>
          <w:b/>
        </w:rPr>
        <w:t xml:space="preserve">1. </w:t>
      </w:r>
      <w:r>
        <w:t xml:space="preserve">El Encargado </w:t>
      </w:r>
      <w:r>
        <w:rPr>
          <w:b/>
        </w:rPr>
        <w:t>notificará al Responsable sin dilación y a más tardar dentro de las setenta y dos (72) horas</w:t>
      </w:r>
      <w:r>
        <w:t xml:space="preserve"> siguientes a que tenga conocimiento de la vulneración.</w:t>
      </w:r>
    </w:p>
    <w:p>
      <w:pPr>
        <w:spacing w:after="60"/>
        <w:ind w:left="510" w:hanging="510"/>
        <w:jc w:val="both"/>
      </w:pPr>
      <w:r>
        <w:rPr>
          <w:b/>
        </w:rPr>
        <w:t xml:space="preserve">2. </w:t>
      </w:r>
      <w:r>
        <w:t>La notificación incluirá, como mínimo: (i) la fecha y hora en que ocurrió o se detectó; (ii) la naturaleza de la vulneración; (iii) las categorías y el número aproximado de titulares afectados; (iv) las categorías de datos comprometidos, señalando si son sensibles; (v) las medidas adoptadas para contener la vulneración y evitar que se repita; y (vi) el nombre y datos de contacto del interlocutor del Encargado para dar seguimiento.</w:t>
      </w:r>
    </w:p>
    <w:p>
      <w:pPr>
        <w:spacing w:after="60"/>
        <w:ind w:left="510" w:hanging="510"/>
        <w:jc w:val="both"/>
      </w:pPr>
      <w:r>
        <w:rPr>
          <w:b/>
        </w:rPr>
        <w:t xml:space="preserve">3. </w:t>
      </w:r>
      <w:r>
        <w:t xml:space="preserve">El Encargado y el Responsable </w:t>
      </w:r>
      <w:r>
        <w:rPr>
          <w:b/>
        </w:rPr>
        <w:t>pondrán a disposición del titular afectado</w:t>
      </w:r>
      <w:r>
        <w:t xml:space="preserve"> la información necesaria sobre la vulneración, así como las recomendaciones sobre las medidas que este pueda adoptar para proteger sus intereses.</w:t>
      </w:r>
    </w:p>
    <w:p>
      <w:pPr>
        <w:spacing w:after="60"/>
        <w:ind w:left="510" w:hanging="510"/>
        <w:jc w:val="both"/>
      </w:pPr>
      <w:r>
        <w:rPr>
          <w:b/>
        </w:rPr>
        <w:t xml:space="preserve">4. </w:t>
      </w:r>
      <w:r>
        <w:t xml:space="preserve">El Encargado </w:t>
      </w:r>
      <w:r>
        <w:rPr>
          <w:b/>
        </w:rPr>
        <w:t>documentará la vulneración, sus causas y las acciones correctivas</w:t>
      </w:r>
      <w:r>
        <w:t>, y conservará esa documentación durante al menos cinco (5) años, a disposición del Responsable y de la autoridad.</w:t>
      </w:r>
    </w:p>
    <w:p>
      <w:pPr>
        <w:spacing w:after="60"/>
        <w:ind w:left="510" w:hanging="510"/>
        <w:jc w:val="both"/>
      </w:pPr>
      <w:r>
        <w:rPr>
          <w:b/>
        </w:rPr>
        <w:t xml:space="preserve">5. </w:t>
      </w:r>
      <w:r>
        <w:t>El Encargado colaborará con el Responsable en cualquier investigación, notificación a la autoridad o comunicación que la normativa exija.</w:t>
      </w:r>
    </w:p>
    <w:p>
      <w:pPr>
        <w:jc w:val="both"/>
      </w:pPr>
      <w:r>
        <w:rPr>
          <w:b/>
          <w:color w:val="B42318"/>
        </w:rPr>
        <w:t>Si la vulneración se debe a culpa o negligencia del Encargado, este responderá por los daños y perjuicios que cause al Responsable o a los titulares, en los términos de la Cláusula Decimotercera.</w:t>
      </w:r>
    </w:p>
    <w:p>
      <w:pPr>
        <w:pStyle w:val="Heading1"/>
        <w:keepNext/>
      </w:pPr>
      <w:r>
        <w:t>DÉCIMA. Duración y devolución de los datos.</w:t>
      </w:r>
    </w:p>
    <w:p>
      <w:pPr>
        <w:jc w:val="both"/>
      </w:pPr>
      <w:r>
        <w:t xml:space="preserve">Este Contrato entrará en vigor el día de su firma y tendrá </w:t>
      </w:r>
      <w:r>
        <w:rPr>
          <w:b/>
        </w:rPr>
        <w:t>la misma duración que el contrato de servicios</w:t>
      </w:r>
      <w:r>
        <w:t xml:space="preserve"> que vincula a las Partes, el cual se entiende prorrogado por periodos iguales mientras alguna de las Partes no manifieste lo contrario por escrito con al menos treinta (30) días naturales de anticipación.</w:t>
      </w:r>
    </w:p>
    <w:p>
      <w:pPr>
        <w:jc w:val="both"/>
      </w:pPr>
      <w:r>
        <w:t>Al término del Contrato, por cualquier causa, el Encargado:</w:t>
      </w:r>
    </w:p>
    <w:p>
      <w:pPr>
        <w:spacing w:after="60"/>
        <w:ind w:left="510" w:hanging="510"/>
        <w:jc w:val="both"/>
      </w:pPr>
      <w:r>
        <w:rPr>
          <w:b/>
        </w:rPr>
        <w:t xml:space="preserve">1. </w:t>
      </w:r>
      <w:r>
        <w:rPr>
          <w:b/>
        </w:rPr>
        <w:t>Devolverá al Responsable, a elección de este</w:t>
      </w:r>
      <w:r>
        <w:t xml:space="preserve">, los datos personales en un formato estructurado y de uso común (CSV o Excel), o pondrá a su disposición las herramientas del Servicio para que los descargue por sí mismo, durante un periodo de </w:t>
      </w:r>
      <w:r>
        <w:rPr>
          <w:b/>
        </w:rPr>
        <w:t>treinta (30) días naturales</w:t>
      </w:r>
      <w:r>
        <w:t xml:space="preserve"> contados a partir de la terminación.</w:t>
      </w:r>
    </w:p>
    <w:p>
      <w:pPr>
        <w:spacing w:after="60"/>
        <w:ind w:left="510" w:hanging="510"/>
        <w:jc w:val="both"/>
      </w:pPr>
      <w:r>
        <w:rPr>
          <w:b/>
        </w:rPr>
        <w:t xml:space="preserve">2. </w:t>
      </w:r>
      <w:r>
        <w:rPr>
          <w:b/>
        </w:rPr>
        <w:t>Suprimirá</w:t>
      </w:r>
      <w:r>
        <w:t xml:space="preserve"> los datos personales de sus sistemas dentro de los </w:t>
      </w:r>
      <w:r>
        <w:rPr>
          <w:b/>
        </w:rPr>
        <w:t>quince (15) días naturales</w:t>
      </w:r>
      <w:r>
        <w:t xml:space="preserve"> siguientes al vencimiento del plazo anterior, salvo aquellos que deba conservar por mandato legal o para la defensa de un derecho en un procedimiento administrativo o judicial.</w:t>
      </w:r>
    </w:p>
    <w:p>
      <w:pPr>
        <w:spacing w:after="60"/>
        <w:ind w:left="510" w:hanging="510"/>
        <w:jc w:val="both"/>
      </w:pPr>
      <w:r>
        <w:rPr>
          <w:b/>
        </w:rPr>
        <w:t xml:space="preserve">3. </w:t>
      </w:r>
      <w:r>
        <w:rPr>
          <w:b/>
        </w:rPr>
        <w:t>Entregará al Responsable una constancia escrita</w:t>
      </w:r>
      <w:r>
        <w:t xml:space="preserve"> de la supresión realizada, indicando los sistemas en que obraban y los datos que, en su caso, se conservarán, con la fundamentación legal y el plazo de conservación.</w:t>
      </w:r>
    </w:p>
    <w:p>
      <w:pPr>
        <w:spacing w:after="60"/>
        <w:ind w:left="510" w:hanging="510"/>
        <w:jc w:val="both"/>
      </w:pPr>
      <w:r>
        <w:rPr>
          <w:b/>
        </w:rPr>
        <w:t xml:space="preserve">4. </w:t>
      </w:r>
      <w:r>
        <w:t>Se abstendrá de conservar copia de los datos personales para cualquier otro fin, incluyendo respaldos que se conserven más allá de sus ciclos ordinarios de respaldo, los cuales se sobrescribirán conforme a la política de retención descrita en el Anexo B.</w:t>
      </w:r>
    </w:p>
    <w:p>
      <w:pPr>
        <w:jc w:val="both"/>
      </w:pPr>
      <w:r>
        <w:t xml:space="preserve">La obligación de </w:t>
      </w:r>
      <w:r>
        <w:rPr>
          <w:b/>
        </w:rPr>
        <w:t>confidencialidad</w:t>
      </w:r>
      <w:r>
        <w:t xml:space="preserve"> de la Cláusula Cuarta, fracción III, subsistirá aun después de la terminación del Contrato y de la supresión de los datos.</w:t>
      </w:r>
    </w:p>
    <w:p>
      <w:pPr>
        <w:pStyle w:val="Heading1"/>
        <w:keepNext/>
      </w:pPr>
      <w:r>
        <w:t>DÉCIMO PRIMERA. Transferencias internacionales.</w:t>
      </w:r>
    </w:p>
    <w:p>
      <w:pPr>
        <w:jc w:val="both"/>
      </w:pPr>
      <w:r>
        <w:t xml:space="preserve">El Responsable </w:t>
      </w:r>
      <w:r>
        <w:rPr>
          <w:b/>
        </w:rPr>
        <w:t>autoriza</w:t>
      </w:r>
      <w:r>
        <w:t xml:space="preserve"> que los datos personales sean transferidos y almacenados en servidores ubicados fuera de los Estados Unidos Mexicanos, conforme a lo siguiente:</w:t>
      </w:r>
    </w:p>
    <w:p>
      <w:pPr>
        <w:spacing w:after="60"/>
        <w:ind w:left="510" w:hanging="510"/>
        <w:jc w:val="both"/>
      </w:pPr>
      <w:r>
        <w:rPr>
          <w:b/>
        </w:rPr>
        <w:t xml:space="preserve">1. </w:t>
      </w:r>
      <w:r>
        <w:t xml:space="preserve">Las transferencias se realizan a los subencargados y en las ubicaciones señaladas en el </w:t>
      </w:r>
      <w:r>
        <w:rPr>
          <w:b/>
        </w:rPr>
        <w:t>Anexo C</w:t>
      </w:r>
      <w:r>
        <w:t xml:space="preserve"> (regiones de los centros de datos).</w:t>
      </w:r>
    </w:p>
    <w:p>
      <w:pPr>
        <w:spacing w:after="60"/>
        <w:ind w:left="510" w:hanging="510"/>
        <w:jc w:val="both"/>
      </w:pPr>
      <w:r>
        <w:rPr>
          <w:b/>
        </w:rPr>
        <w:t xml:space="preserve">2. </w:t>
      </w:r>
      <w:r>
        <w:t>Los terceros receptores se obligan, mediante contrato, a cumplir con los principios y deberes de protección de datos personales previstos en la Ley y su Reglamento.</w:t>
      </w:r>
    </w:p>
    <w:p>
      <w:pPr>
        <w:spacing w:after="60"/>
        <w:ind w:left="510" w:hanging="510"/>
        <w:jc w:val="both"/>
      </w:pPr>
      <w:r>
        <w:rPr>
          <w:b/>
        </w:rPr>
        <w:t xml:space="preserve">3. </w:t>
      </w:r>
      <w:r>
        <w:t>El Encargado no es responsable de la transferencia que el propio Responsable realice al descargar los archivos de exportación y cargarlos en sistemas de terceros, incluyendo los sistemas contables.</w:t>
      </w:r>
    </w:p>
    <w:p>
      <w:pPr>
        <w:spacing w:after="60"/>
        <w:ind w:left="510" w:hanging="510"/>
        <w:jc w:val="both"/>
      </w:pPr>
      <w:r>
        <w:rPr>
          <w:b/>
        </w:rPr>
        <w:t xml:space="preserve">4. </w:t>
      </w:r>
      <w:r>
        <w:t>Las transferencias que realice el Encargado se formalizan en los términos del artículo 34 y del artículo 66 del Reglamento de la Ley.</w:t>
      </w:r>
    </w:p>
    <w:p>
      <w:pPr>
        <w:pStyle w:val="Heading1"/>
        <w:keepNext/>
      </w:pPr>
      <w:r>
        <w:t>DÉCIMO SEGUNDA. Auditoría y verificación.</w:t>
      </w:r>
    </w:p>
    <w:p>
      <w:pPr>
        <w:jc w:val="both"/>
      </w:pPr>
      <w:r>
        <w:t>El Responsable podrá verificar el cumplimiento de este Contrato, sujetándose a lo siguiente:</w:t>
      </w:r>
    </w:p>
    <w:p>
      <w:pPr>
        <w:spacing w:after="60"/>
        <w:ind w:left="510" w:hanging="510"/>
        <w:jc w:val="both"/>
      </w:pPr>
      <w:r>
        <w:rPr>
          <w:b/>
        </w:rPr>
        <w:t xml:space="preserve">1. </w:t>
      </w:r>
      <w:r>
        <w:t xml:space="preserve">La verificación se realizará </w:t>
      </w:r>
      <w:r>
        <w:rPr>
          <w:b/>
        </w:rPr>
        <w:t>como máximo una vez por año calendario</w:t>
      </w:r>
      <w:r>
        <w:t>, salvo que exista una causa justificada —una vulneración de seguridad, un requerimiento de autoridad o un incumplimiento acreditado—, en cuyo caso podrá realizarse de forma extraordinaria.</w:t>
      </w:r>
    </w:p>
    <w:p>
      <w:pPr>
        <w:spacing w:after="60"/>
        <w:ind w:left="510" w:hanging="510"/>
        <w:jc w:val="both"/>
      </w:pPr>
      <w:r>
        <w:rPr>
          <w:b/>
        </w:rPr>
        <w:t xml:space="preserve">2. </w:t>
      </w:r>
      <w:r>
        <w:t xml:space="preserve">El Responsable notificará su intención con al menos </w:t>
      </w:r>
      <w:r>
        <w:rPr>
          <w:b/>
        </w:rPr>
        <w:t>quince (15) días naturales</w:t>
      </w:r>
      <w:r>
        <w:t xml:space="preserve"> de anticipación, señalando el alcance, los sistemas involucrados y el personal que participará.</w:t>
      </w:r>
    </w:p>
    <w:p>
      <w:pPr>
        <w:spacing w:after="60"/>
        <w:ind w:left="510" w:hanging="510"/>
        <w:jc w:val="both"/>
      </w:pPr>
      <w:r>
        <w:rPr>
          <w:b/>
        </w:rPr>
        <w:t xml:space="preserve">3. </w:t>
      </w:r>
      <w:r>
        <w:t xml:space="preserve">La verificación se realizará </w:t>
      </w:r>
      <w:r>
        <w:rPr>
          <w:b/>
        </w:rPr>
        <w:t>en horario laboral y sin interrumpir la operación del Servicio</w:t>
      </w:r>
      <w:r>
        <w:t>, y dará inicio con la información que el Encargado pueda entregar de forma remota o documental.</w:t>
      </w:r>
    </w:p>
    <w:p>
      <w:pPr>
        <w:spacing w:after="60"/>
        <w:ind w:left="510" w:hanging="510"/>
        <w:jc w:val="both"/>
      </w:pPr>
      <w:r>
        <w:rPr>
          <w:b/>
        </w:rPr>
        <w:t xml:space="preserve">4. </w:t>
      </w:r>
      <w:r>
        <w:t>El personal del Responsable o el tercero que designe suscribirá un acuerdo de confidencialidad antes de acceder a cualquier información.</w:t>
      </w:r>
    </w:p>
    <w:p>
      <w:pPr>
        <w:spacing w:after="60"/>
        <w:ind w:left="510" w:hanging="510"/>
        <w:jc w:val="both"/>
      </w:pPr>
      <w:r>
        <w:rPr>
          <w:b/>
        </w:rPr>
        <w:t xml:space="preserve">5. </w:t>
      </w:r>
      <w:r>
        <w:rPr>
          <w:b/>
        </w:rPr>
        <w:t>Quedan excluidas</w:t>
      </w:r>
      <w:r>
        <w:t xml:space="preserve"> del alcance de la auditoría la documentación interna del Encargado que contenga información de </w:t>
      </w:r>
      <w:r>
        <w:rPr>
          <w:b/>
        </w:rPr>
        <w:t>otros</w:t>
      </w:r>
      <w:r>
        <w:t xml:space="preserve"> clientes, el código fuente, la configuración de seguridad específica cuya revelación pueda comprometer la seguridad de los datos, y la información protegida por derechos de propiedad intelectual de terceros.</w:t>
      </w:r>
    </w:p>
    <w:p>
      <w:pPr>
        <w:spacing w:after="60"/>
        <w:ind w:left="510" w:hanging="510"/>
        <w:jc w:val="both"/>
      </w:pPr>
      <w:r>
        <w:rPr>
          <w:b/>
        </w:rPr>
        <w:t xml:space="preserve">6. </w:t>
      </w:r>
      <w:r>
        <w:t>Los costos de la verificación correrán por cuenta del Responsable, salvo que la verificación arroje un incumplimiento imputable al Encargado, en cuyo caso los asumirá el Encargado.</w:t>
      </w:r>
    </w:p>
    <w:p>
      <w:pPr>
        <w:spacing w:after="60"/>
        <w:ind w:left="510" w:hanging="510"/>
        <w:jc w:val="both"/>
      </w:pPr>
      <w:r>
        <w:rPr>
          <w:b/>
        </w:rPr>
        <w:t xml:space="preserve">7. </w:t>
      </w:r>
      <w:r>
        <w:t xml:space="preserve">El Encargado atenderá las solicitudes razonables de información documental dentro de los </w:t>
      </w:r>
      <w:r>
        <w:rPr>
          <w:b/>
        </w:rPr>
        <w:t>diez (10) días hábiles</w:t>
      </w:r>
      <w:r>
        <w:t xml:space="preserve"> siguientes a su recepción.</w:t>
      </w:r>
    </w:p>
    <w:p>
      <w:pPr>
        <w:pStyle w:val="Heading1"/>
        <w:keepNext/>
      </w:pPr>
      <w:r>
        <w:t>DÉCIMO TERCERA. Responsabilidad.</w:t>
      </w:r>
    </w:p>
    <w:p>
      <w:pPr>
        <w:spacing w:after="60"/>
        <w:ind w:left="510" w:hanging="510"/>
        <w:jc w:val="both"/>
      </w:pPr>
      <w:r>
        <w:rPr>
          <w:b/>
        </w:rPr>
        <w:t xml:space="preserve">1. </w:t>
      </w:r>
      <w:r>
        <w:t>El Encargado responderá por los daños y perjuicios que cause al Responsable o a los titulares por el incumplimiento de las obligaciones que asume en este Contrato, incluyendo el tratamiento de los datos personales sin las instrucciones del Responsable o en contra de ellas.</w:t>
      </w:r>
    </w:p>
    <w:p>
      <w:pPr>
        <w:spacing w:after="60"/>
        <w:ind w:left="510" w:hanging="510"/>
        <w:jc w:val="both"/>
      </w:pPr>
      <w:r>
        <w:rPr>
          <w:b/>
        </w:rPr>
        <w:t xml:space="preserve">2. </w:t>
      </w:r>
      <w:r>
        <w:t>El Responsable responderá por los daños y perjuicios que cause al Encargado por el incumplimiento de sus propias obligaciones, por la falta de veracidad de los datos que le proporcione, y por haberlos recabado sin cumplir con lo que la Ley exige.</w:t>
      </w:r>
    </w:p>
    <w:p>
      <w:pPr>
        <w:spacing w:after="60"/>
        <w:ind w:left="510" w:hanging="510"/>
        <w:jc w:val="both"/>
      </w:pPr>
      <w:r>
        <w:rPr>
          <w:b/>
        </w:rPr>
        <w:t xml:space="preserve">3. </w:t>
      </w:r>
      <w:r>
        <w:t xml:space="preserve">El Responsable </w:t>
      </w:r>
      <w:r>
        <w:rPr>
          <w:b/>
        </w:rPr>
        <w:t>saca en paz y a salvo</w:t>
      </w:r>
      <w:r>
        <w:t xml:space="preserve"> al Encargado de cualquier reclamación, sanción o procedimiento derivado del tratamiento que el propio Responsable realice como responsable de los datos personales, en particular cuando no haya puesto a disposición de los titulares su aviso de privacidad o no haya recabado el consentimiento que corresponda.</w:t>
      </w:r>
    </w:p>
    <w:p>
      <w:pPr>
        <w:spacing w:after="60"/>
        <w:ind w:left="510" w:hanging="510"/>
        <w:jc w:val="both"/>
      </w:pPr>
      <w:r>
        <w:rPr>
          <w:b/>
        </w:rPr>
        <w:t xml:space="preserve">4. </w:t>
      </w:r>
      <w:r>
        <w:rPr>
          <w:b/>
        </w:rPr>
        <w:t>Límite.</w:t>
      </w:r>
      <w:r>
        <w:t xml:space="preserve"> La responsabilidad total acumulada del Encargado derivada de este Contrato no excederá del importe de las contraprestaciones efectivamente pagadas por el Responsable durante los </w:t>
      </w:r>
      <w:r>
        <w:rPr>
          <w:b/>
        </w:rPr>
        <w:t>doce (12) meses</w:t>
      </w:r>
      <w:r>
        <w:t xml:space="preserve"> anteriores al hecho que la origine. Esta limitación no aplica cuando el daño derive de </w:t>
      </w:r>
      <w:r>
        <w:rPr>
          <w:b/>
        </w:rPr>
        <w:t>dolo o mala fe</w:t>
      </w:r>
      <w:r>
        <w:t xml:space="preserve"> del Encargado, ni respecto de la obligación de confidencialidad.</w:t>
      </w:r>
    </w:p>
    <w:p>
      <w:pPr>
        <w:spacing w:after="60"/>
        <w:ind w:left="510" w:hanging="510"/>
        <w:jc w:val="both"/>
      </w:pPr>
      <w:r>
        <w:rPr>
          <w:b/>
        </w:rPr>
        <w:t xml:space="preserve">5. </w:t>
      </w:r>
      <w:r>
        <w:t>El Encargado no será responsable por el tratamiento que terceros realicen sobre los datos una vez que el Responsable los descargue del Servicio y los incorpore a sistemas ajenos al mismo, ni por el uso que el Responsable o sus asesores den a los archivos exportados.</w:t>
      </w:r>
    </w:p>
    <w:p>
      <w:pPr>
        <w:pStyle w:val="Heading1"/>
        <w:keepNext/>
      </w:pPr>
      <w:r>
        <w:t>DÉCIMO CUARTA. Notificaciones.</w:t>
      </w:r>
    </w:p>
    <w:p>
      <w:pPr>
        <w:jc w:val="both"/>
      </w:pPr>
      <w:r>
        <w:t>Para todo lo relacionado con el presente Contrato, las Partes señalan como domicilios y medios de comunicación los siguientes:</w:t>
      </w:r>
    </w:p>
    <w:tbl>
      <w:tblPr>
        <w:tblStyle w:val="TableGrid"/>
        <w:tblW w:type="auto" w:w="0"/>
        <w:jc w:val="center"/>
        <w:tblLayout w:type="fixed"/>
        <w:tblLook w:firstColumn="1" w:firstRow="1" w:lastColumn="0" w:lastRow="0" w:noHBand="0" w:noVBand="1" w:val="04A0"/>
      </w:tblPr>
      <w:tblGrid>
        <w:gridCol w:w="3079"/>
        <w:gridCol w:w="3079"/>
        <w:gridCol w:w="3079"/>
      </w:tblGrid>
      <w:tr>
        <w:tc>
          <w:tcPr>
            <w:tcW w:type="dxa" w:w="2381"/>
            <w:shd w:val="clear" w:color="auto" w:fill="1D4ED8"/>
          </w:tcPr>
          <w:p>
            <w:pPr>
              <w:spacing w:after="0"/>
            </w:pPr>
            <w:r/>
            <w:r>
              <w:rPr>
                <w:b/>
                <w:color w:val="FFFFFF"/>
                <w:sz w:val="19"/>
              </w:rPr>
            </w:r>
          </w:p>
        </w:tc>
        <w:tc>
          <w:tcPr>
            <w:tcW w:type="dxa" w:w="3061"/>
            <w:shd w:val="clear" w:color="auto" w:fill="1D4ED8"/>
          </w:tcPr>
          <w:p>
            <w:pPr>
              <w:spacing w:after="0"/>
            </w:pPr>
            <w:r/>
            <w:r>
              <w:rPr>
                <w:b/>
                <w:color w:val="FFFFFF"/>
                <w:sz w:val="19"/>
              </w:rPr>
              <w:t>Encargado (Chekdor)</w:t>
            </w:r>
          </w:p>
        </w:tc>
        <w:tc>
          <w:tcPr>
            <w:tcW w:type="dxa" w:w="3061"/>
            <w:shd w:val="clear" w:color="auto" w:fill="1D4ED8"/>
          </w:tcPr>
          <w:p>
            <w:pPr>
              <w:spacing w:after="0"/>
            </w:pPr>
            <w:r/>
            <w:r>
              <w:rPr>
                <w:b/>
                <w:color w:val="FFFFFF"/>
                <w:sz w:val="19"/>
              </w:rPr>
              <w:t>Responsable</w:t>
            </w:r>
          </w:p>
        </w:tc>
      </w:tr>
      <w:tr>
        <w:tc>
          <w:tcPr>
            <w:tcW w:type="dxa" w:w="2381"/>
          </w:tcPr>
          <w:p>
            <w:pPr>
              <w:spacing w:after="0"/>
            </w:pPr>
            <w:r>
              <w:rPr>
                <w:sz w:val="19"/>
              </w:rPr>
            </w:r>
            <w:r>
              <w:rPr>
                <w:sz w:val="19"/>
              </w:rPr>
              <w:t>Domicilio</w:t>
            </w:r>
          </w:p>
        </w:tc>
        <w:tc>
          <w:tcPr>
            <w:tcW w:type="dxa" w:w="3061"/>
          </w:tcPr>
          <w:p>
            <w:pPr>
              <w:spacing w:after="0"/>
            </w:pPr>
            <w:r>
              <w:rPr>
                <w:sz w:val="19"/>
              </w:rPr>
            </w:r>
            <w:r>
              <w:rPr>
                <w:sz w:val="19"/>
              </w:rPr>
              <w:t>●</w:t>
            </w:r>
          </w:p>
        </w:tc>
        <w:tc>
          <w:tcPr>
            <w:tcW w:type="dxa" w:w="3061"/>
          </w:tcPr>
          <w:p>
            <w:pPr>
              <w:spacing w:after="0"/>
            </w:pPr>
            <w:r>
              <w:rPr>
                <w:sz w:val="19"/>
              </w:rPr>
            </w:r>
            <w:r>
              <w:rPr>
                <w:sz w:val="19"/>
              </w:rPr>
              <w:t>●</w:t>
            </w:r>
          </w:p>
        </w:tc>
      </w:tr>
      <w:tr>
        <w:tc>
          <w:tcPr>
            <w:tcW w:type="dxa" w:w="2381"/>
          </w:tcPr>
          <w:p>
            <w:pPr>
              <w:spacing w:after="0"/>
            </w:pPr>
            <w:r>
              <w:rPr>
                <w:sz w:val="19"/>
              </w:rPr>
            </w:r>
            <w:r>
              <w:rPr>
                <w:sz w:val="19"/>
              </w:rPr>
              <w:t>Correo para protección de datos</w:t>
            </w:r>
          </w:p>
        </w:tc>
        <w:tc>
          <w:tcPr>
            <w:tcW w:type="dxa" w:w="3061"/>
          </w:tcPr>
          <w:p>
            <w:pPr>
              <w:spacing w:after="0"/>
            </w:pPr>
            <w:r>
              <w:rPr>
                <w:sz w:val="19"/>
              </w:rPr>
            </w:r>
            <w:r>
              <w:rPr>
                <w:sz w:val="19"/>
              </w:rPr>
              <w:t>privacidad@chekdor.com.mx</w:t>
            </w:r>
          </w:p>
        </w:tc>
        <w:tc>
          <w:tcPr>
            <w:tcW w:type="dxa" w:w="3061"/>
          </w:tcPr>
          <w:p>
            <w:pPr>
              <w:spacing w:after="0"/>
            </w:pPr>
            <w:r>
              <w:rPr>
                <w:sz w:val="19"/>
              </w:rPr>
            </w:r>
            <w:r>
              <w:rPr>
                <w:sz w:val="19"/>
              </w:rPr>
              <w:t>●</w:t>
            </w:r>
          </w:p>
        </w:tc>
      </w:tr>
      <w:tr>
        <w:tc>
          <w:tcPr>
            <w:tcW w:type="dxa" w:w="2381"/>
          </w:tcPr>
          <w:p>
            <w:pPr>
              <w:spacing w:after="0"/>
            </w:pPr>
            <w:r>
              <w:rPr>
                <w:sz w:val="19"/>
              </w:rPr>
            </w:r>
            <w:r>
              <w:rPr>
                <w:sz w:val="19"/>
              </w:rPr>
              <w:t>Correo para notificaciones</w:t>
            </w:r>
          </w:p>
        </w:tc>
        <w:tc>
          <w:tcPr>
            <w:tcW w:type="dxa" w:w="3061"/>
          </w:tcPr>
          <w:p>
            <w:pPr>
              <w:spacing w:after="0"/>
            </w:pPr>
            <w:r>
              <w:rPr>
                <w:sz w:val="19"/>
              </w:rPr>
            </w:r>
            <w:r>
              <w:rPr>
                <w:sz w:val="19"/>
              </w:rPr>
              <w:t>legal@chekdor.com.mx</w:t>
            </w:r>
          </w:p>
        </w:tc>
        <w:tc>
          <w:tcPr>
            <w:tcW w:type="dxa" w:w="3061"/>
          </w:tcPr>
          <w:p>
            <w:pPr>
              <w:spacing w:after="0"/>
            </w:pPr>
            <w:r>
              <w:rPr>
                <w:sz w:val="19"/>
              </w:rPr>
            </w:r>
            <w:r>
              <w:rPr>
                <w:sz w:val="19"/>
              </w:rPr>
              <w:t>●</w:t>
            </w:r>
          </w:p>
        </w:tc>
      </w:tr>
      <w:tr>
        <w:tc>
          <w:tcPr>
            <w:tcW w:type="dxa" w:w="2381"/>
          </w:tcPr>
          <w:p>
            <w:pPr>
              <w:spacing w:after="0"/>
            </w:pPr>
            <w:r>
              <w:rPr>
                <w:sz w:val="19"/>
              </w:rPr>
            </w:r>
            <w:r>
              <w:rPr>
                <w:sz w:val="19"/>
              </w:rPr>
              <w:t>Teléfono</w:t>
            </w:r>
          </w:p>
        </w:tc>
        <w:tc>
          <w:tcPr>
            <w:tcW w:type="dxa" w:w="3061"/>
          </w:tcPr>
          <w:p>
            <w:pPr>
              <w:spacing w:after="0"/>
            </w:pPr>
            <w:r>
              <w:rPr>
                <w:sz w:val="19"/>
              </w:rPr>
            </w:r>
            <w:r>
              <w:rPr>
                <w:sz w:val="19"/>
              </w:rPr>
              <w:t>●</w:t>
            </w:r>
          </w:p>
        </w:tc>
        <w:tc>
          <w:tcPr>
            <w:tcW w:type="dxa" w:w="3061"/>
          </w:tcPr>
          <w:p>
            <w:pPr>
              <w:spacing w:after="0"/>
            </w:pPr>
            <w:r>
              <w:rPr>
                <w:sz w:val="19"/>
              </w:rPr>
            </w:r>
            <w:r>
              <w:rPr>
                <w:sz w:val="19"/>
              </w:rPr>
              <w:t>●</w:t>
            </w:r>
          </w:p>
        </w:tc>
      </w:tr>
      <w:tr>
        <w:tc>
          <w:tcPr>
            <w:tcW w:type="dxa" w:w="2381"/>
          </w:tcPr>
          <w:p>
            <w:pPr>
              <w:spacing w:after="0"/>
            </w:pPr>
            <w:r>
              <w:rPr>
                <w:sz w:val="19"/>
              </w:rPr>
            </w:r>
            <w:r>
              <w:rPr>
                <w:sz w:val="19"/>
              </w:rPr>
              <w:t>Persona responsable</w:t>
            </w:r>
          </w:p>
        </w:tc>
        <w:tc>
          <w:tcPr>
            <w:tcW w:type="dxa" w:w="3061"/>
          </w:tcPr>
          <w:p>
            <w:pPr>
              <w:spacing w:after="0"/>
            </w:pPr>
            <w:r>
              <w:rPr>
                <w:sz w:val="19"/>
              </w:rPr>
            </w:r>
            <w:r>
              <w:rPr>
                <w:sz w:val="19"/>
              </w:rPr>
              <w:t>●</w:t>
            </w:r>
          </w:p>
        </w:tc>
        <w:tc>
          <w:tcPr>
            <w:tcW w:type="dxa" w:w="3061"/>
          </w:tcPr>
          <w:p>
            <w:pPr>
              <w:spacing w:after="0"/>
            </w:pPr>
            <w:r>
              <w:rPr>
                <w:sz w:val="19"/>
              </w:rPr>
            </w:r>
            <w:r>
              <w:rPr>
                <w:sz w:val="19"/>
              </w:rPr>
              <w:t>●</w:t>
            </w:r>
          </w:p>
        </w:tc>
      </w:tr>
    </w:tbl>
    <w:p/>
    <w:p>
      <w:pPr>
        <w:jc w:val="both"/>
      </w:pPr>
      <w:r>
        <w:t>Cualquier cambio en estos datos deberá comunicarse por escrito a la otra Parte dentro de los cinco (5) días hábiles siguientes; en su defecto, las notificaciones hechas a los datos aquí señalados surtirán plenos efectos.</w:t>
      </w:r>
    </w:p>
    <w:p>
      <w:pPr>
        <w:pStyle w:val="Heading1"/>
        <w:keepNext/>
      </w:pPr>
      <w:r>
        <w:t>DÉCIMO QUINTA. Protección de datos por defecto y evaluación de impacto.</w:t>
      </w:r>
    </w:p>
    <w:p>
      <w:pPr>
        <w:spacing w:after="60"/>
        <w:ind w:left="510" w:hanging="510"/>
        <w:jc w:val="both"/>
      </w:pPr>
      <w:r>
        <w:rPr>
          <w:b/>
        </w:rPr>
        <w:t xml:space="preserve">1. </w:t>
      </w:r>
      <w:r>
        <w:t xml:space="preserve">El Encargado aplicará medidas de </w:t>
      </w:r>
      <w:r>
        <w:rPr>
          <w:b/>
        </w:rPr>
        <w:t>protección de datos desde el diseño y por defecto</w:t>
      </w:r>
      <w:r>
        <w:t>, de modo que el tratamiento se limite a los datos necesarios para cada una de las finalidades previstas en la Cláusula Primera.</w:t>
      </w:r>
    </w:p>
    <w:p>
      <w:pPr>
        <w:spacing w:after="60"/>
        <w:ind w:left="510" w:hanging="510"/>
        <w:jc w:val="both"/>
      </w:pPr>
      <w:r>
        <w:rPr>
          <w:b/>
        </w:rPr>
        <w:t xml:space="preserve">2. </w:t>
      </w:r>
      <w:r>
        <w:t>El Servicio no solicita datos personales distintos de los que se listan en el Anexo A, y los módulos que el Responsable no contrate no recaban información.</w:t>
      </w:r>
    </w:p>
    <w:p>
      <w:pPr>
        <w:spacing w:after="60"/>
        <w:ind w:left="510" w:hanging="510"/>
        <w:jc w:val="both"/>
      </w:pPr>
      <w:r>
        <w:rPr>
          <w:b/>
        </w:rPr>
        <w:t xml:space="preserve">3. </w:t>
      </w:r>
      <w:r>
        <w:t xml:space="preserve">Cuando el Responsable pretenda realizar un tratamiento que pueda afectar significativamente sus derechos patrimoniales o morales, podrá solicitar al Encargado su apoyo para realizar una </w:t>
      </w:r>
      <w:r>
        <w:rPr>
          <w:b/>
        </w:rPr>
        <w:t>evaluación de impacto</w:t>
      </w:r>
      <w:r>
        <w:t xml:space="preserve"> en la protección de datos personales. El Encargado no está obligado a realizar la evaluación por cuenta del Responsable, pero sí a proporcionarle la información técnica razonable sobre el funcionamiento del Servicio que esta requiera.</w:t>
      </w:r>
    </w:p>
    <w:p>
      <w:pPr>
        <w:spacing w:after="60"/>
        <w:ind w:left="510" w:hanging="510"/>
        <w:jc w:val="both"/>
      </w:pPr>
      <w:r>
        <w:rPr>
          <w:b/>
        </w:rPr>
        <w:t xml:space="preserve">4. </w:t>
      </w:r>
      <w:r>
        <w:t xml:space="preserve">El Encargado implementará controles de </w:t>
      </w:r>
      <w:r>
        <w:rPr>
          <w:b/>
        </w:rPr>
        <w:t>acceso con privilegios mínimos</w:t>
      </w:r>
      <w:r>
        <w:t>, separación lógica de la información de cada Responsable y registro de las operaciones, conforme al Anexo B.</w:t>
      </w:r>
    </w:p>
    <w:p>
      <w:pPr>
        <w:pStyle w:val="Heading1"/>
        <w:keepNext/>
      </w:pPr>
      <w:r>
        <w:t>DÉCIMO SEXTA. Modificaciones.</w:t>
      </w:r>
    </w:p>
    <w:p>
      <w:pPr>
        <w:jc w:val="both"/>
      </w:pPr>
      <w:r>
        <w:t xml:space="preserve">Cualquier modificación al presente Contrato deberá constar por escrito y ser firmada por los representantes de ambas Partes. El Encargado podrá actualizar </w:t>
      </w:r>
      <w:r>
        <w:rPr>
          <w:b/>
        </w:rPr>
        <w:t>unilateralmente</w:t>
      </w:r>
      <w:r>
        <w:t xml:space="preserve"> el Anexo B (medidas de seguridad) y el Anexo C (subencargados) cuando ello implique una mejora en el nivel de protección, notificándolo al Responsable por correo electrónico con al menos quince (15) días naturales de anticipación. Cualquier cambio en el Anexo C que implique un subencargado nuevo se sujeta a lo previsto en la Cláusula Sexta.</w:t>
      </w:r>
    </w:p>
    <w:p>
      <w:pPr>
        <w:pStyle w:val="Heading1"/>
        <w:keepNext/>
      </w:pPr>
      <w:r>
        <w:t>DÉCIMO SÉPTIMA. Legislación aplicable y jurisdicción.</w:t>
      </w:r>
    </w:p>
    <w:p>
      <w:pPr>
        <w:jc w:val="both"/>
      </w:pPr>
      <w:r>
        <w:t>El presente Contrato se rige por la Ley Federal de Protección de Datos Personales en Posesión de los Particulares, su Reglamento, los Lineamientos del Aviso de Privacidad, y supletoriamente por el Código Civil Federal y el Código de Comercio. Para la interpretación y cumplimiento del Contrato, las Partes se someten a la jurisdicción de los tribunales competentes de ●, renunciando a cualquier otro fuero que pudiere corresponderles por razón de sus domicilios presentes o futuros.</w:t>
      </w:r>
    </w:p>
    <w:p>
      <w:r>
        <w:br w:type="page"/>
      </w:r>
    </w:p>
    <w:p>
      <w:pPr>
        <w:pStyle w:val="Heading1"/>
        <w:keepNext/>
      </w:pPr>
      <w:r>
        <w:t>ANEXO A. Inventario de datos personales por módulo</w:t>
      </w:r>
    </w:p>
    <w:p>
      <w:pPr>
        <w:jc w:val="both"/>
      </w:pPr>
      <w:r>
        <w:t>Este inventario forma parte integrante del Contrato y se corresponde con la estructura real de la base de datos del Servicio.</w:t>
      </w:r>
    </w:p>
    <w:tbl>
      <w:tblPr>
        <w:tblStyle w:val="TableGrid"/>
        <w:tblW w:type="auto" w:w="0"/>
        <w:jc w:val="center"/>
        <w:tblLayout w:type="fixed"/>
        <w:tblLook w:firstColumn="1" w:firstRow="1" w:lastColumn="0" w:lastRow="0" w:noHBand="0" w:noVBand="1" w:val="04A0"/>
      </w:tblPr>
      <w:tblGrid>
        <w:gridCol w:w="3079"/>
        <w:gridCol w:w="3079"/>
        <w:gridCol w:w="3079"/>
      </w:tblGrid>
      <w:tr>
        <w:tc>
          <w:tcPr>
            <w:tcW w:type="dxa" w:w="1814"/>
            <w:shd w:val="clear" w:color="auto" w:fill="1D4ED8"/>
          </w:tcPr>
          <w:p>
            <w:pPr>
              <w:spacing w:after="0"/>
            </w:pPr>
            <w:r/>
            <w:r>
              <w:rPr>
                <w:b/>
                <w:color w:val="FFFFFF"/>
                <w:sz w:val="19"/>
              </w:rPr>
              <w:t>Módulo del Servicio</w:t>
            </w:r>
          </w:p>
        </w:tc>
        <w:tc>
          <w:tcPr>
            <w:tcW w:type="dxa" w:w="4876"/>
            <w:shd w:val="clear" w:color="auto" w:fill="1D4ED8"/>
          </w:tcPr>
          <w:p>
            <w:pPr>
              <w:spacing w:after="0"/>
            </w:pPr>
            <w:r/>
            <w:r>
              <w:rPr>
                <w:b/>
                <w:color w:val="FFFFFF"/>
                <w:sz w:val="19"/>
              </w:rPr>
              <w:t>Datos personales que trata</w:t>
            </w:r>
          </w:p>
        </w:tc>
        <w:tc>
          <w:tcPr>
            <w:tcW w:type="dxa" w:w="1814"/>
            <w:shd w:val="clear" w:color="auto" w:fill="1D4ED8"/>
          </w:tcPr>
          <w:p>
            <w:pPr>
              <w:spacing w:after="0"/>
            </w:pPr>
            <w:r/>
            <w:r>
              <w:rPr>
                <w:b/>
                <w:color w:val="FFFFFF"/>
                <w:sz w:val="19"/>
              </w:rPr>
              <w:t>Titulares</w:t>
            </w:r>
          </w:p>
        </w:tc>
      </w:tr>
      <w:tr>
        <w:tc>
          <w:tcPr>
            <w:tcW w:type="dxa" w:w="1814"/>
          </w:tcPr>
          <w:p>
            <w:pPr>
              <w:spacing w:after="0"/>
            </w:pPr>
            <w:r>
              <w:rPr>
                <w:sz w:val="19"/>
              </w:rPr>
            </w:r>
            <w:r>
              <w:rPr>
                <w:sz w:val="19"/>
              </w:rPr>
              <w:t>Empleados</w:t>
            </w:r>
          </w:p>
        </w:tc>
        <w:tc>
          <w:tcPr>
            <w:tcW w:type="dxa" w:w="4876"/>
          </w:tcPr>
          <w:p>
            <w:pPr>
              <w:spacing w:after="0"/>
            </w:pPr>
            <w:r>
              <w:rPr>
                <w:sz w:val="19"/>
              </w:rPr>
            </w:r>
            <w:r>
              <w:rPr>
                <w:sz w:val="19"/>
              </w:rPr>
              <w:t>Nombre completo, código de empleado, CURP, RFC, NSS, puesto, departamento, salario diario, tipo de contrato, fecha de ingreso, jornada semanal, identificador de la tarjeta NFC, fotografía (opcional).</w:t>
            </w:r>
          </w:p>
        </w:tc>
        <w:tc>
          <w:tcPr>
            <w:tcW w:type="dxa" w:w="1814"/>
          </w:tcPr>
          <w:p>
            <w:pPr>
              <w:spacing w:after="0"/>
            </w:pPr>
            <w:r>
              <w:rPr>
                <w:sz w:val="19"/>
              </w:rPr>
            </w:r>
            <w:r>
              <w:rPr>
                <w:sz w:val="19"/>
              </w:rPr>
              <w:t>Trabajadores y exempleados</w:t>
            </w:r>
          </w:p>
        </w:tc>
      </w:tr>
      <w:tr>
        <w:tc>
          <w:tcPr>
            <w:tcW w:type="dxa" w:w="1814"/>
          </w:tcPr>
          <w:p>
            <w:pPr>
              <w:spacing w:after="0"/>
            </w:pPr>
            <w:r>
              <w:rPr>
                <w:sz w:val="19"/>
              </w:rPr>
            </w:r>
            <w:r>
              <w:rPr>
                <w:sz w:val="19"/>
              </w:rPr>
              <w:t>Usuarios y perfiles</w:t>
            </w:r>
          </w:p>
        </w:tc>
        <w:tc>
          <w:tcPr>
            <w:tcW w:type="dxa" w:w="4876"/>
          </w:tcPr>
          <w:p>
            <w:pPr>
              <w:spacing w:after="0"/>
            </w:pPr>
            <w:r>
              <w:rPr>
                <w:sz w:val="19"/>
              </w:rPr>
            </w:r>
            <w:r>
              <w:rPr>
                <w:sz w:val="19"/>
              </w:rPr>
              <w:t>Nombre, correo electrónico, rol dentro del sistema, último acceso, IP y agente de usuario del navegador.</w:t>
            </w:r>
          </w:p>
        </w:tc>
        <w:tc>
          <w:tcPr>
            <w:tcW w:type="dxa" w:w="1814"/>
          </w:tcPr>
          <w:p>
            <w:pPr>
              <w:spacing w:after="0"/>
            </w:pPr>
            <w:r>
              <w:rPr>
                <w:sz w:val="19"/>
              </w:rPr>
            </w:r>
            <w:r>
              <w:rPr>
                <w:sz w:val="19"/>
              </w:rPr>
              <w:t>Personal administrativo del Responsable</w:t>
            </w:r>
          </w:p>
        </w:tc>
      </w:tr>
      <w:tr>
        <w:tc>
          <w:tcPr>
            <w:tcW w:type="dxa" w:w="1814"/>
          </w:tcPr>
          <w:p>
            <w:pPr>
              <w:spacing w:after="0"/>
            </w:pPr>
            <w:r>
              <w:rPr>
                <w:sz w:val="19"/>
              </w:rPr>
            </w:r>
            <w:r>
              <w:rPr>
                <w:sz w:val="19"/>
              </w:rPr>
              <w:t>Marcaje NFC</w:t>
            </w:r>
          </w:p>
        </w:tc>
        <w:tc>
          <w:tcPr>
            <w:tcW w:type="dxa" w:w="4876"/>
          </w:tcPr>
          <w:p>
            <w:pPr>
              <w:spacing w:after="0"/>
            </w:pPr>
            <w:r>
              <w:rPr>
                <w:sz w:val="19"/>
              </w:rPr>
            </w:r>
            <w:r>
              <w:rPr>
                <w:sz w:val="19"/>
              </w:rPr>
              <w:t>Fecha y hora de cada marcaje, tipo (entrada, salida, comida), método, identificador del punto de marcaje, IP de origen, agente de usuario y coordenadas del punto (no del empleado).</w:t>
            </w:r>
          </w:p>
        </w:tc>
        <w:tc>
          <w:tcPr>
            <w:tcW w:type="dxa" w:w="1814"/>
          </w:tcPr>
          <w:p>
            <w:pPr>
              <w:spacing w:after="0"/>
            </w:pPr>
            <w:r>
              <w:rPr>
                <w:sz w:val="19"/>
              </w:rPr>
            </w:r>
            <w:r>
              <w:rPr>
                <w:sz w:val="19"/>
              </w:rPr>
              <w:t>Trabajadores y exempleados</w:t>
            </w:r>
          </w:p>
        </w:tc>
      </w:tr>
      <w:tr>
        <w:tc>
          <w:tcPr>
            <w:tcW w:type="dxa" w:w="1814"/>
          </w:tcPr>
          <w:p>
            <w:pPr>
              <w:spacing w:after="0"/>
            </w:pPr>
            <w:r>
              <w:rPr>
                <w:sz w:val="19"/>
              </w:rPr>
            </w:r>
            <w:r>
              <w:rPr>
                <w:sz w:val="19"/>
              </w:rPr>
              <w:t>Jornadas</w:t>
            </w:r>
          </w:p>
        </w:tc>
        <w:tc>
          <w:tcPr>
            <w:tcW w:type="dxa" w:w="4876"/>
          </w:tcPr>
          <w:p>
            <w:pPr>
              <w:spacing w:after="0"/>
            </w:pPr>
            <w:r>
              <w:rPr>
                <w:sz w:val="19"/>
              </w:rPr>
            </w:r>
            <w:r>
              <w:rPr>
                <w:sz w:val="19"/>
              </w:rPr>
              <w:t>Horas ordinarias, extraordinarias al doble y al triple, prima dominical, incidencias detectadas.</w:t>
            </w:r>
          </w:p>
        </w:tc>
        <w:tc>
          <w:tcPr>
            <w:tcW w:type="dxa" w:w="1814"/>
          </w:tcPr>
          <w:p>
            <w:pPr>
              <w:spacing w:after="0"/>
            </w:pPr>
            <w:r>
              <w:rPr>
                <w:sz w:val="19"/>
              </w:rPr>
            </w:r>
            <w:r>
              <w:rPr>
                <w:sz w:val="19"/>
              </w:rPr>
              <w:t>Trabajadores y exempleados</w:t>
            </w:r>
          </w:p>
        </w:tc>
      </w:tr>
      <w:tr>
        <w:tc>
          <w:tcPr>
            <w:tcW w:type="dxa" w:w="1814"/>
          </w:tcPr>
          <w:p>
            <w:pPr>
              <w:spacing w:after="0"/>
            </w:pPr>
            <w:r>
              <w:rPr>
                <w:sz w:val="19"/>
              </w:rPr>
            </w:r>
            <w:r>
              <w:rPr>
                <w:sz w:val="19"/>
              </w:rPr>
              <w:t>Nómina</w:t>
            </w:r>
          </w:p>
        </w:tc>
        <w:tc>
          <w:tcPr>
            <w:tcW w:type="dxa" w:w="4876"/>
          </w:tcPr>
          <w:p>
            <w:pPr>
              <w:spacing w:after="0"/>
            </w:pPr>
            <w:r>
              <w:rPr>
                <w:sz w:val="19"/>
              </w:rPr>
            </w:r>
            <w:r>
              <w:rPr>
                <w:sz w:val="19"/>
              </w:rPr>
              <w:t>Salario base de cotización, días pagados, percepciones y deducciones desglosadas, ISR retenido, cuotas obrero-patronales del IMSS, aportaciones al SAR e INFONAVIT, neto a pagar.</w:t>
            </w:r>
          </w:p>
        </w:tc>
        <w:tc>
          <w:tcPr>
            <w:tcW w:type="dxa" w:w="1814"/>
          </w:tcPr>
          <w:p>
            <w:pPr>
              <w:spacing w:after="0"/>
            </w:pPr>
            <w:r>
              <w:rPr>
                <w:sz w:val="19"/>
              </w:rPr>
            </w:r>
            <w:r>
              <w:rPr>
                <w:sz w:val="19"/>
              </w:rPr>
              <w:t>Trabajadores y exempleados</w:t>
            </w:r>
          </w:p>
        </w:tc>
      </w:tr>
      <w:tr>
        <w:tc>
          <w:tcPr>
            <w:tcW w:type="dxa" w:w="1814"/>
          </w:tcPr>
          <w:p>
            <w:pPr>
              <w:spacing w:after="0"/>
            </w:pPr>
            <w:r>
              <w:rPr>
                <w:sz w:val="19"/>
              </w:rPr>
            </w:r>
            <w:r>
              <w:rPr>
                <w:sz w:val="19"/>
              </w:rPr>
              <w:t>Cuentas bancarias</w:t>
            </w:r>
          </w:p>
        </w:tc>
        <w:tc>
          <w:tcPr>
            <w:tcW w:type="dxa" w:w="4876"/>
          </w:tcPr>
          <w:p>
            <w:pPr>
              <w:spacing w:after="0"/>
            </w:pPr>
            <w:r>
              <w:rPr>
                <w:sz w:val="19"/>
              </w:rPr>
            </w:r>
            <w:r>
              <w:rPr>
                <w:sz w:val="19"/>
              </w:rPr>
              <w:t>Banco, CLABE interbancaria (18 dígitos) y número de cuenta, para la dispersión del pago.</w:t>
            </w:r>
          </w:p>
        </w:tc>
        <w:tc>
          <w:tcPr>
            <w:tcW w:type="dxa" w:w="1814"/>
          </w:tcPr>
          <w:p>
            <w:pPr>
              <w:spacing w:after="0"/>
            </w:pPr>
            <w:r>
              <w:rPr>
                <w:sz w:val="19"/>
              </w:rPr>
            </w:r>
            <w:r>
              <w:rPr>
                <w:sz w:val="19"/>
              </w:rPr>
              <w:t>Trabajadores</w:t>
            </w:r>
          </w:p>
        </w:tc>
      </w:tr>
      <w:tr>
        <w:tc>
          <w:tcPr>
            <w:tcW w:type="dxa" w:w="1814"/>
          </w:tcPr>
          <w:p>
            <w:pPr>
              <w:spacing w:after="0"/>
            </w:pPr>
            <w:r>
              <w:rPr>
                <w:sz w:val="19"/>
              </w:rPr>
            </w:r>
            <w:r>
              <w:rPr>
                <w:sz w:val="19"/>
              </w:rPr>
              <w:t>Descuentos del empleado</w:t>
            </w:r>
          </w:p>
        </w:tc>
        <w:tc>
          <w:tcPr>
            <w:tcW w:type="dxa" w:w="4876"/>
          </w:tcPr>
          <w:p>
            <w:pPr>
              <w:spacing w:after="0"/>
            </w:pPr>
            <w:r>
              <w:rPr>
                <w:sz w:val="19"/>
              </w:rPr>
            </w:r>
            <w:r>
              <w:rPr>
                <w:sz w:val="19"/>
              </w:rPr>
              <w:t xml:space="preserve">Pensión alimenticia, préstamos y créditos, descuento por crédito INFONAVIT. </w:t>
            </w:r>
            <w:r>
              <w:rPr>
                <w:b/>
                <w:color w:val="B42318"/>
                <w:sz w:val="19"/>
              </w:rPr>
              <w:t>Pueden revelar situaciones familiares o patrimoniales.</w:t>
            </w:r>
          </w:p>
        </w:tc>
        <w:tc>
          <w:tcPr>
            <w:tcW w:type="dxa" w:w="1814"/>
          </w:tcPr>
          <w:p>
            <w:pPr>
              <w:spacing w:after="0"/>
            </w:pPr>
            <w:r>
              <w:rPr>
                <w:sz w:val="19"/>
              </w:rPr>
            </w:r>
            <w:r>
              <w:rPr>
                <w:sz w:val="19"/>
              </w:rPr>
              <w:t>Trabajadores</w:t>
            </w:r>
          </w:p>
        </w:tc>
      </w:tr>
      <w:tr>
        <w:tc>
          <w:tcPr>
            <w:tcW w:type="dxa" w:w="1814"/>
          </w:tcPr>
          <w:p>
            <w:pPr>
              <w:spacing w:after="0"/>
            </w:pPr>
            <w:r>
              <w:rPr>
                <w:sz w:val="19"/>
              </w:rPr>
            </w:r>
            <w:r>
              <w:rPr>
                <w:sz w:val="19"/>
              </w:rPr>
              <w:t>Privacidad</w:t>
            </w:r>
          </w:p>
        </w:tc>
        <w:tc>
          <w:tcPr>
            <w:tcW w:type="dxa" w:w="4876"/>
          </w:tcPr>
          <w:p>
            <w:pPr>
              <w:spacing w:after="0"/>
            </w:pPr>
            <w:r>
              <w:rPr>
                <w:sz w:val="19"/>
              </w:rPr>
            </w:r>
            <w:r>
              <w:rPr>
                <w:sz w:val="19"/>
              </w:rPr>
              <w:t>Constancia de la aceptación del aviso de privacidad del Responsable (fecha, método, IP y agente de usuario) y solicitudes de derechos ARCO presentadas.</w:t>
            </w:r>
          </w:p>
        </w:tc>
        <w:tc>
          <w:tcPr>
            <w:tcW w:type="dxa" w:w="1814"/>
          </w:tcPr>
          <w:p>
            <w:pPr>
              <w:spacing w:after="0"/>
            </w:pPr>
            <w:r>
              <w:rPr>
                <w:sz w:val="19"/>
              </w:rPr>
            </w:r>
            <w:r>
              <w:rPr>
                <w:sz w:val="19"/>
              </w:rPr>
              <w:t>Trabajadores y exempleados</w:t>
            </w:r>
          </w:p>
        </w:tc>
      </w:tr>
      <w:tr>
        <w:tc>
          <w:tcPr>
            <w:tcW w:type="dxa" w:w="1814"/>
          </w:tcPr>
          <w:p>
            <w:pPr>
              <w:spacing w:after="0"/>
            </w:pPr>
            <w:r>
              <w:rPr>
                <w:sz w:val="19"/>
              </w:rPr>
            </w:r>
            <w:r>
              <w:rPr>
                <w:sz w:val="19"/>
              </w:rPr>
              <w:t>NOM-035</w:t>
            </w:r>
          </w:p>
        </w:tc>
        <w:tc>
          <w:tcPr>
            <w:tcW w:type="dxa" w:w="4876"/>
          </w:tcPr>
          <w:p>
            <w:pPr>
              <w:spacing w:after="0"/>
            </w:pPr>
            <w:r>
              <w:rPr>
                <w:sz w:val="19"/>
              </w:rPr>
            </w:r>
            <w:r>
              <w:rPr>
                <w:sz w:val="19"/>
              </w:rPr>
              <w:t xml:space="preserve">Política de prevención, respuestas al cuestionario de factores de riesgo psicosocial y nivel de riesgo obtenido. </w:t>
            </w:r>
            <w:r>
              <w:rPr>
                <w:b/>
                <w:color w:val="B42318"/>
                <w:sz w:val="19"/>
              </w:rPr>
              <w:t>Datos personales sensibles: requieren consentimiento expreso y por escrito.</w:t>
            </w:r>
          </w:p>
        </w:tc>
        <w:tc>
          <w:tcPr>
            <w:tcW w:type="dxa" w:w="1814"/>
          </w:tcPr>
          <w:p>
            <w:pPr>
              <w:spacing w:after="0"/>
            </w:pPr>
            <w:r>
              <w:rPr>
                <w:sz w:val="19"/>
              </w:rPr>
            </w:r>
            <w:r>
              <w:rPr>
                <w:sz w:val="19"/>
              </w:rPr>
              <w:t>Trabajadores</w:t>
            </w:r>
          </w:p>
        </w:tc>
      </w:tr>
      <w:tr>
        <w:tc>
          <w:tcPr>
            <w:tcW w:type="dxa" w:w="1814"/>
          </w:tcPr>
          <w:p>
            <w:pPr>
              <w:spacing w:after="0"/>
            </w:pPr>
            <w:r>
              <w:rPr>
                <w:sz w:val="19"/>
              </w:rPr>
            </w:r>
            <w:r>
              <w:rPr>
                <w:sz w:val="19"/>
              </w:rPr>
              <w:t>Puntos de marcaje</w:t>
            </w:r>
          </w:p>
        </w:tc>
        <w:tc>
          <w:tcPr>
            <w:tcW w:type="dxa" w:w="4876"/>
          </w:tcPr>
          <w:p>
            <w:pPr>
              <w:spacing w:after="0"/>
            </w:pPr>
            <w:r>
              <w:rPr>
                <w:sz w:val="19"/>
              </w:rPr>
            </w:r>
            <w:r>
              <w:rPr>
                <w:sz w:val="19"/>
              </w:rPr>
              <w:t>Nombre y ubicación del punto, coordenadas geográficas y token del dispositivo. No contiene datos de personas.</w:t>
            </w:r>
          </w:p>
        </w:tc>
        <w:tc>
          <w:tcPr>
            <w:tcW w:type="dxa" w:w="1814"/>
          </w:tcPr>
          <w:p>
            <w:pPr>
              <w:spacing w:after="0"/>
            </w:pPr>
            <w:r>
              <w:rPr>
                <w:sz w:val="19"/>
              </w:rPr>
            </w:r>
            <w:r>
              <w:rPr>
                <w:sz w:val="19"/>
              </w:rPr>
              <w:t>No aplica</w:t>
            </w:r>
          </w:p>
        </w:tc>
      </w:tr>
    </w:tbl>
    <w:p/>
    <w:tbl>
      <w:tblPr>
        <w:tblStyle w:val="TableGrid"/>
        <w:tblW w:type="auto" w:w="0"/>
        <w:tblLook w:firstColumn="1" w:firstRow="1" w:lastColumn="0" w:lastRow="0" w:noHBand="0" w:noVBand="1" w:val="04A0"/>
      </w:tblPr>
      <w:tblGrid>
        <w:gridCol w:w="9236"/>
      </w:tblGrid>
      <w:tr>
        <w:tc>
          <w:tcPr>
            <w:tcW w:type="dxa" w:w="9236"/>
            <w:shd w:val="clear" w:color="auto" w:fill="FFFBEB"/>
          </w:tcPr>
          <w:p>
            <w:pPr>
              <w:spacing w:after="40"/>
            </w:pPr>
            <w:r/>
            <w:r>
              <w:rPr>
                <w:b/>
                <w:color w:val="92400E"/>
                <w:sz w:val="20"/>
              </w:rPr>
              <w:t>Revisa este inventario cada vez que agregues un módulo</w:t>
            </w:r>
          </w:p>
          <w:p>
            <w:pPr>
              <w:jc w:val="both"/>
            </w:pPr>
            <w:r>
              <w:rPr>
                <w:sz w:val="19"/>
              </w:rPr>
              <w:t>El inventario debe reflejar lo que el Servicio realmente trata. Si se agrega un campo o un módulo nuevo (por ejemplo, la integración de dictámenes de incapacidad, expedientes médicos o evaluaciones de desempeño), este anexo debe actualizarse y, cuando se trate de datos sensibles, requiere la firma de un nuevo consentimiento expreso por parte de los titulares.</w:t>
            </w:r>
          </w:p>
        </w:tc>
      </w:tr>
    </w:tbl>
    <w:p/>
    <w:p>
      <w:r>
        <w:br w:type="page"/>
      </w:r>
    </w:p>
    <w:p>
      <w:pPr>
        <w:pStyle w:val="Heading1"/>
        <w:keepNext/>
      </w:pPr>
      <w:r>
        <w:t>ANEXO B. Medidas de seguridad</w:t>
      </w:r>
    </w:p>
    <w:p>
      <w:pPr>
        <w:jc w:val="both"/>
      </w:pPr>
      <w:r>
        <w:t xml:space="preserve">Las medidas se clasifican según su estado real. </w:t>
      </w:r>
      <w:r>
        <w:rPr>
          <w:b/>
        </w:rPr>
        <w:t>Las medidas “Pendientes” no deben declararse como vigentes</w:t>
      </w:r>
      <w:r>
        <w:t>: se enlistan con su fecha comprometida de cierre y su responsable, para que el Responsable conozca el nivel de madurez del Servicio antes de confiarle datos personales.</w:t>
      </w:r>
    </w:p>
    <w:p>
      <w:r>
        <w:rPr>
          <w:b/>
        </w:rPr>
        <w:t>B.1 Medidas administrativas</w:t>
      </w:r>
    </w:p>
    <w:tbl>
      <w:tblPr>
        <w:tblStyle w:val="TableGrid"/>
        <w:tblW w:type="auto" w:w="0"/>
        <w:jc w:val="center"/>
        <w:tblLayout w:type="fixed"/>
        <w:tblLook w:firstColumn="1" w:firstRow="1" w:lastColumn="0" w:lastRow="0" w:noHBand="0" w:noVBand="1" w:val="04A0"/>
      </w:tblPr>
      <w:tblGrid>
        <w:gridCol w:w="3079"/>
        <w:gridCol w:w="3079"/>
        <w:gridCol w:w="3079"/>
      </w:tblGrid>
      <w:tr>
        <w:tc>
          <w:tcPr>
            <w:tcW w:type="dxa" w:w="2835"/>
            <w:shd w:val="clear" w:color="auto" w:fill="1D4ED8"/>
          </w:tcPr>
          <w:p>
            <w:pPr>
              <w:spacing w:after="0"/>
            </w:pPr>
            <w:r/>
            <w:r>
              <w:rPr>
                <w:b/>
                <w:color w:val="FFFFFF"/>
                <w:sz w:val="19"/>
              </w:rPr>
              <w:t>Medida</w:t>
            </w:r>
          </w:p>
        </w:tc>
        <w:tc>
          <w:tcPr>
            <w:tcW w:type="dxa" w:w="1361"/>
            <w:shd w:val="clear" w:color="auto" w:fill="1D4ED8"/>
          </w:tcPr>
          <w:p>
            <w:pPr>
              <w:spacing w:after="0"/>
            </w:pPr>
            <w:r/>
            <w:r>
              <w:rPr>
                <w:b/>
                <w:color w:val="FFFFFF"/>
                <w:sz w:val="19"/>
              </w:rPr>
              <w:t>Estado</w:t>
            </w:r>
          </w:p>
        </w:tc>
        <w:tc>
          <w:tcPr>
            <w:tcW w:type="dxa" w:w="4309"/>
            <w:shd w:val="clear" w:color="auto" w:fill="1D4ED8"/>
          </w:tcPr>
          <w:p>
            <w:pPr>
              <w:spacing w:after="0"/>
            </w:pPr>
            <w:r/>
            <w:r>
              <w:rPr>
                <w:b/>
                <w:color w:val="FFFFFF"/>
                <w:sz w:val="19"/>
              </w:rPr>
              <w:t>Detalle</w:t>
            </w:r>
          </w:p>
        </w:tc>
      </w:tr>
      <w:tr>
        <w:tc>
          <w:tcPr>
            <w:tcW w:type="dxa" w:w="2835"/>
          </w:tcPr>
          <w:p>
            <w:pPr>
              <w:spacing w:after="0"/>
            </w:pPr>
            <w:r>
              <w:rPr>
                <w:sz w:val="19"/>
              </w:rPr>
            </w:r>
            <w:r>
              <w:rPr>
                <w:sz w:val="19"/>
              </w:rPr>
              <w:t>Política de privacidad y aviso de privacidad del Encargado</w:t>
            </w:r>
          </w:p>
        </w:tc>
        <w:tc>
          <w:tcPr>
            <w:tcW w:type="dxa" w:w="1361"/>
          </w:tcPr>
          <w:p>
            <w:pPr>
              <w:spacing w:after="0"/>
            </w:pPr>
            <w:r>
              <w:rPr>
                <w:sz w:val="19"/>
              </w:rPr>
            </w:r>
            <w:r>
              <w:rPr>
                <w:sz w:val="19"/>
              </w:rPr>
              <w:t>Implementada</w:t>
            </w:r>
          </w:p>
        </w:tc>
        <w:tc>
          <w:tcPr>
            <w:tcW w:type="dxa" w:w="4309"/>
          </w:tcPr>
          <w:p>
            <w:pPr>
              <w:spacing w:after="0"/>
            </w:pPr>
            <w:r>
              <w:rPr>
                <w:sz w:val="19"/>
              </w:rPr>
            </w:r>
            <w:r>
              <w:rPr>
                <w:sz w:val="19"/>
              </w:rPr>
              <w:t>Aviso publicado en el sitio y aviso dirigido a los titulares cuyos datos trata por cuenta del Responsable.</w:t>
            </w:r>
          </w:p>
        </w:tc>
      </w:tr>
      <w:tr>
        <w:tc>
          <w:tcPr>
            <w:tcW w:type="dxa" w:w="2835"/>
          </w:tcPr>
          <w:p>
            <w:pPr>
              <w:spacing w:after="0"/>
            </w:pPr>
            <w:r>
              <w:rPr>
                <w:sz w:val="19"/>
              </w:rPr>
            </w:r>
            <w:r>
              <w:rPr>
                <w:sz w:val="19"/>
              </w:rPr>
              <w:t>Registro de operaciones de tratamiento</w:t>
            </w:r>
          </w:p>
        </w:tc>
        <w:tc>
          <w:tcPr>
            <w:tcW w:type="dxa" w:w="1361"/>
          </w:tcPr>
          <w:p>
            <w:pPr>
              <w:spacing w:after="0"/>
            </w:pPr>
            <w:r>
              <w:rPr>
                <w:sz w:val="19"/>
              </w:rPr>
            </w:r>
            <w:r>
              <w:rPr>
                <w:sz w:val="19"/>
              </w:rPr>
              <w:t>Implementada</w:t>
            </w:r>
          </w:p>
        </w:tc>
        <w:tc>
          <w:tcPr>
            <w:tcW w:type="dxa" w:w="4309"/>
          </w:tcPr>
          <w:p>
            <w:pPr>
              <w:spacing w:after="0"/>
            </w:pPr>
            <w:r>
              <w:rPr>
                <w:sz w:val="19"/>
              </w:rPr>
            </w:r>
            <w:r>
              <w:rPr>
                <w:sz w:val="19"/>
              </w:rPr>
              <w:t>Bitácora de auditoría en la base de datos. Registra la acción, el usuario, el registro afectado, el detalle y la fecha.</w:t>
            </w:r>
          </w:p>
        </w:tc>
      </w:tr>
      <w:tr>
        <w:tc>
          <w:tcPr>
            <w:tcW w:type="dxa" w:w="2835"/>
          </w:tcPr>
          <w:p>
            <w:pPr>
              <w:spacing w:after="0"/>
            </w:pPr>
            <w:r>
              <w:rPr>
                <w:sz w:val="19"/>
              </w:rPr>
            </w:r>
            <w:r>
              <w:rPr>
                <w:sz w:val="19"/>
              </w:rPr>
              <w:t>Acuerdo de confidencialidad con el personal</w:t>
            </w:r>
          </w:p>
        </w:tc>
        <w:tc>
          <w:tcPr>
            <w:tcW w:type="dxa" w:w="1361"/>
          </w:tcPr>
          <w:p>
            <w:pPr>
              <w:spacing w:after="0"/>
            </w:pPr>
            <w:r>
              <w:rPr>
                <w:sz w:val="19"/>
              </w:rPr>
            </w:r>
            <w:r>
              <w:rPr>
                <w:sz w:val="19"/>
              </w:rPr>
              <w:t>Implementada</w:t>
            </w:r>
          </w:p>
        </w:tc>
        <w:tc>
          <w:tcPr>
            <w:tcW w:type="dxa" w:w="4309"/>
          </w:tcPr>
          <w:p>
            <w:pPr>
              <w:spacing w:after="0"/>
            </w:pPr>
            <w:r>
              <w:rPr>
                <w:sz w:val="19"/>
              </w:rPr>
            </w:r>
            <w:r>
              <w:rPr>
                <w:sz w:val="19"/>
              </w:rPr>
              <w:t>Cláusula de confidencialidad en el contrato individual de trabajo de todo el personal con acceso a datos personales.</w:t>
            </w:r>
          </w:p>
        </w:tc>
      </w:tr>
      <w:tr>
        <w:tc>
          <w:tcPr>
            <w:tcW w:type="dxa" w:w="2835"/>
          </w:tcPr>
          <w:p>
            <w:pPr>
              <w:spacing w:after="0"/>
            </w:pPr>
            <w:r>
              <w:rPr>
                <w:sz w:val="19"/>
              </w:rPr>
            </w:r>
            <w:r>
              <w:rPr>
                <w:sz w:val="19"/>
              </w:rPr>
              <w:t>Capacitación anual en protección de datos</w:t>
            </w:r>
          </w:p>
        </w:tc>
        <w:tc>
          <w:tcPr>
            <w:tcW w:type="dxa" w:w="1361"/>
          </w:tcPr>
          <w:p>
            <w:pPr>
              <w:spacing w:after="0"/>
            </w:pPr>
            <w:r>
              <w:rPr>
                <w:sz w:val="19"/>
              </w:rPr>
            </w:r>
            <w:r>
              <w:rPr>
                <w:sz w:val="19"/>
              </w:rPr>
              <w:t>Pendiente</w:t>
            </w:r>
          </w:p>
        </w:tc>
        <w:tc>
          <w:tcPr>
            <w:tcW w:type="dxa" w:w="4309"/>
          </w:tcPr>
          <w:p>
            <w:pPr>
              <w:spacing w:after="0"/>
            </w:pPr>
            <w:r>
              <w:rPr>
                <w:sz w:val="19"/>
              </w:rPr>
            </w:r>
            <w:r>
              <w:rPr>
                <w:sz w:val="19"/>
              </w:rPr>
              <w:t>Fecha comprometida: ●. Responsable: ●.</w:t>
            </w:r>
          </w:p>
        </w:tc>
      </w:tr>
      <w:tr>
        <w:tc>
          <w:tcPr>
            <w:tcW w:type="dxa" w:w="2835"/>
          </w:tcPr>
          <w:p>
            <w:pPr>
              <w:spacing w:after="0"/>
            </w:pPr>
            <w:r>
              <w:rPr>
                <w:sz w:val="19"/>
              </w:rPr>
            </w:r>
            <w:r>
              <w:rPr>
                <w:sz w:val="19"/>
              </w:rPr>
              <w:t>Procedimiento documentado de atención a vulneraciones</w:t>
            </w:r>
          </w:p>
        </w:tc>
        <w:tc>
          <w:tcPr>
            <w:tcW w:type="dxa" w:w="1361"/>
          </w:tcPr>
          <w:p>
            <w:pPr>
              <w:spacing w:after="0"/>
            </w:pPr>
            <w:r>
              <w:rPr>
                <w:sz w:val="19"/>
              </w:rPr>
            </w:r>
            <w:r>
              <w:rPr>
                <w:sz w:val="19"/>
              </w:rPr>
              <w:t>Pendiente</w:t>
            </w:r>
          </w:p>
        </w:tc>
        <w:tc>
          <w:tcPr>
            <w:tcW w:type="dxa" w:w="4309"/>
          </w:tcPr>
          <w:p>
            <w:pPr>
              <w:spacing w:after="0"/>
            </w:pPr>
            <w:r>
              <w:rPr>
                <w:sz w:val="19"/>
              </w:rPr>
            </w:r>
            <w:r>
              <w:rPr>
                <w:sz w:val="19"/>
              </w:rPr>
              <w:t>Existe la obligación contractual de notificar en 72 horas; falta el procedimiento interno escrito, con responsables y formato de registro. Fecha comprometida: ●.</w:t>
            </w:r>
          </w:p>
        </w:tc>
      </w:tr>
      <w:tr>
        <w:tc>
          <w:tcPr>
            <w:tcW w:type="dxa" w:w="2835"/>
          </w:tcPr>
          <w:p>
            <w:pPr>
              <w:spacing w:after="0"/>
            </w:pPr>
            <w:r>
              <w:rPr>
                <w:sz w:val="19"/>
              </w:rPr>
            </w:r>
            <w:r>
              <w:rPr>
                <w:sz w:val="19"/>
              </w:rPr>
              <w:t>Política documentada de retención y destrucción</w:t>
            </w:r>
          </w:p>
        </w:tc>
        <w:tc>
          <w:tcPr>
            <w:tcW w:type="dxa" w:w="1361"/>
          </w:tcPr>
          <w:p>
            <w:pPr>
              <w:spacing w:after="0"/>
            </w:pPr>
            <w:r>
              <w:rPr>
                <w:sz w:val="19"/>
              </w:rPr>
            </w:r>
            <w:r>
              <w:rPr>
                <w:sz w:val="19"/>
              </w:rPr>
              <w:t>Pendiente</w:t>
            </w:r>
          </w:p>
        </w:tc>
        <w:tc>
          <w:tcPr>
            <w:tcW w:type="dxa" w:w="4309"/>
          </w:tcPr>
          <w:p>
            <w:pPr>
              <w:spacing w:after="0"/>
            </w:pPr>
            <w:r>
              <w:rPr>
                <w:sz w:val="19"/>
              </w:rPr>
            </w:r>
            <w:r>
              <w:rPr>
                <w:sz w:val="19"/>
              </w:rPr>
              <w:t>Actualmente la eliminación se ejecuta a petición del Responsable. Falta documentar los plazos por tipo de dato. Fecha comprometida: ●.</w:t>
            </w:r>
          </w:p>
        </w:tc>
      </w:tr>
      <w:tr>
        <w:tc>
          <w:tcPr>
            <w:tcW w:type="dxa" w:w="2835"/>
          </w:tcPr>
          <w:p>
            <w:pPr>
              <w:spacing w:after="0"/>
            </w:pPr>
            <w:r>
              <w:rPr>
                <w:sz w:val="19"/>
              </w:rPr>
            </w:r>
            <w:r>
              <w:rPr>
                <w:sz w:val="19"/>
              </w:rPr>
              <w:t>Registro de accesos privilegiados a la base de datos</w:t>
            </w:r>
          </w:p>
        </w:tc>
        <w:tc>
          <w:tcPr>
            <w:tcW w:type="dxa" w:w="1361"/>
          </w:tcPr>
          <w:p>
            <w:pPr>
              <w:spacing w:after="0"/>
            </w:pPr>
            <w:r>
              <w:rPr>
                <w:sz w:val="19"/>
              </w:rPr>
            </w:r>
            <w:r>
              <w:rPr>
                <w:sz w:val="19"/>
              </w:rPr>
              <w:t>Pendiente</w:t>
            </w:r>
          </w:p>
        </w:tc>
        <w:tc>
          <w:tcPr>
            <w:tcW w:type="dxa" w:w="4309"/>
          </w:tcPr>
          <w:p>
            <w:pPr>
              <w:spacing w:after="0"/>
            </w:pPr>
            <w:r>
              <w:rPr>
                <w:sz w:val="19"/>
              </w:rPr>
            </w:r>
            <w:r>
              <w:rPr>
                <w:sz w:val="19"/>
              </w:rPr>
              <w:t>Los accesos administrativos a la base de datos no quedan registrados en la bitácora de la aplicación. Fecha comprometida: ●.</w:t>
            </w:r>
          </w:p>
        </w:tc>
      </w:tr>
    </w:tbl>
    <w:p/>
    <w:p>
      <w:r>
        <w:rPr>
          <w:b/>
        </w:rPr>
        <w:t>B.2 Medidas técnicas</w:t>
      </w:r>
    </w:p>
    <w:tbl>
      <w:tblPr>
        <w:tblStyle w:val="TableGrid"/>
        <w:tblW w:type="auto" w:w="0"/>
        <w:jc w:val="center"/>
        <w:tblLayout w:type="fixed"/>
        <w:tblLook w:firstColumn="1" w:firstRow="1" w:lastColumn="0" w:lastRow="0" w:noHBand="0" w:noVBand="1" w:val="04A0"/>
      </w:tblPr>
      <w:tblGrid>
        <w:gridCol w:w="3079"/>
        <w:gridCol w:w="3079"/>
        <w:gridCol w:w="3079"/>
      </w:tblGrid>
      <w:tr>
        <w:tc>
          <w:tcPr>
            <w:tcW w:type="dxa" w:w="2835"/>
            <w:shd w:val="clear" w:color="auto" w:fill="1D4ED8"/>
          </w:tcPr>
          <w:p>
            <w:pPr>
              <w:spacing w:after="0"/>
            </w:pPr>
            <w:r/>
            <w:r>
              <w:rPr>
                <w:b/>
                <w:color w:val="FFFFFF"/>
                <w:sz w:val="19"/>
              </w:rPr>
              <w:t>Medida</w:t>
            </w:r>
          </w:p>
        </w:tc>
        <w:tc>
          <w:tcPr>
            <w:tcW w:type="dxa" w:w="1361"/>
            <w:shd w:val="clear" w:color="auto" w:fill="1D4ED8"/>
          </w:tcPr>
          <w:p>
            <w:pPr>
              <w:spacing w:after="0"/>
            </w:pPr>
            <w:r/>
            <w:r>
              <w:rPr>
                <w:b/>
                <w:color w:val="FFFFFF"/>
                <w:sz w:val="19"/>
              </w:rPr>
              <w:t>Estado</w:t>
            </w:r>
          </w:p>
        </w:tc>
        <w:tc>
          <w:tcPr>
            <w:tcW w:type="dxa" w:w="4309"/>
            <w:shd w:val="clear" w:color="auto" w:fill="1D4ED8"/>
          </w:tcPr>
          <w:p>
            <w:pPr>
              <w:spacing w:after="0"/>
            </w:pPr>
            <w:r/>
            <w:r>
              <w:rPr>
                <w:b/>
                <w:color w:val="FFFFFF"/>
                <w:sz w:val="19"/>
              </w:rPr>
              <w:t>Detalle</w:t>
            </w:r>
          </w:p>
        </w:tc>
      </w:tr>
      <w:tr>
        <w:tc>
          <w:tcPr>
            <w:tcW w:type="dxa" w:w="2835"/>
          </w:tcPr>
          <w:p>
            <w:pPr>
              <w:spacing w:after="0"/>
            </w:pPr>
            <w:r>
              <w:rPr>
                <w:sz w:val="19"/>
              </w:rPr>
            </w:r>
            <w:r>
              <w:rPr>
                <w:sz w:val="19"/>
              </w:rPr>
              <w:t>Cifrado en tránsito</w:t>
            </w:r>
          </w:p>
        </w:tc>
        <w:tc>
          <w:tcPr>
            <w:tcW w:type="dxa" w:w="1361"/>
          </w:tcPr>
          <w:p>
            <w:pPr>
              <w:spacing w:after="0"/>
            </w:pPr>
            <w:r>
              <w:rPr>
                <w:sz w:val="19"/>
              </w:rPr>
            </w:r>
            <w:r>
              <w:rPr>
                <w:sz w:val="19"/>
              </w:rPr>
              <w:t>Implementada</w:t>
            </w:r>
          </w:p>
        </w:tc>
        <w:tc>
          <w:tcPr>
            <w:tcW w:type="dxa" w:w="4309"/>
          </w:tcPr>
          <w:p>
            <w:pPr>
              <w:spacing w:after="0"/>
            </w:pPr>
            <w:r>
              <w:rPr>
                <w:sz w:val="19"/>
              </w:rPr>
            </w:r>
            <w:r>
              <w:rPr>
                <w:sz w:val="19"/>
              </w:rPr>
              <w:t>HTTPS/TLS en todas las comunicaciones entre el navegador, el Servicio y la base de datos. La plataforma de despliegue fuerza HTTPS.</w:t>
            </w:r>
          </w:p>
        </w:tc>
      </w:tr>
      <w:tr>
        <w:tc>
          <w:tcPr>
            <w:tcW w:type="dxa" w:w="2835"/>
          </w:tcPr>
          <w:p>
            <w:pPr>
              <w:spacing w:after="0"/>
            </w:pPr>
            <w:r>
              <w:rPr>
                <w:sz w:val="19"/>
              </w:rPr>
            </w:r>
            <w:r>
              <w:rPr>
                <w:sz w:val="19"/>
              </w:rPr>
              <w:t>Autenticación de usuarios</w:t>
            </w:r>
          </w:p>
        </w:tc>
        <w:tc>
          <w:tcPr>
            <w:tcW w:type="dxa" w:w="1361"/>
          </w:tcPr>
          <w:p>
            <w:pPr>
              <w:spacing w:after="0"/>
            </w:pPr>
            <w:r>
              <w:rPr>
                <w:sz w:val="19"/>
              </w:rPr>
            </w:r>
            <w:r>
              <w:rPr>
                <w:sz w:val="19"/>
              </w:rPr>
              <w:t>Implementada</w:t>
            </w:r>
          </w:p>
        </w:tc>
        <w:tc>
          <w:tcPr>
            <w:tcW w:type="dxa" w:w="4309"/>
          </w:tcPr>
          <w:p>
            <w:pPr>
              <w:spacing w:after="0"/>
            </w:pPr>
            <w:r>
              <w:rPr>
                <w:sz w:val="19"/>
              </w:rPr>
            </w:r>
            <w:r>
              <w:rPr>
                <w:sz w:val="19"/>
              </w:rPr>
              <w:t>Correo y contraseña con un mínimo de 8 caracteres. Las contraseñas se almacenan con hash mediante el servicio de autenticación de la plataforma; el Encargado no accede a las contraseñas en claro.</w:t>
            </w:r>
          </w:p>
        </w:tc>
      </w:tr>
      <w:tr>
        <w:tc>
          <w:tcPr>
            <w:tcW w:type="dxa" w:w="2835"/>
          </w:tcPr>
          <w:p>
            <w:pPr>
              <w:spacing w:after="0"/>
            </w:pPr>
            <w:r>
              <w:rPr>
                <w:sz w:val="19"/>
              </w:rPr>
            </w:r>
            <w:r>
              <w:rPr>
                <w:sz w:val="19"/>
              </w:rPr>
              <w:t>Separación lógica por Responsable (aislamiento multi-empresa)</w:t>
            </w:r>
          </w:p>
        </w:tc>
        <w:tc>
          <w:tcPr>
            <w:tcW w:type="dxa" w:w="1361"/>
          </w:tcPr>
          <w:p>
            <w:pPr>
              <w:spacing w:after="0"/>
            </w:pPr>
            <w:r>
              <w:rPr>
                <w:sz w:val="19"/>
              </w:rPr>
            </w:r>
            <w:r>
              <w:rPr>
                <w:sz w:val="19"/>
              </w:rPr>
              <w:t>Implementada</w:t>
            </w:r>
          </w:p>
        </w:tc>
        <w:tc>
          <w:tcPr>
            <w:tcW w:type="dxa" w:w="4309"/>
          </w:tcPr>
          <w:p>
            <w:pPr>
              <w:spacing w:after="0"/>
            </w:pPr>
            <w:r>
              <w:rPr>
                <w:sz w:val="19"/>
              </w:rPr>
            </w:r>
            <w:r>
              <w:rPr>
                <w:sz w:val="19"/>
              </w:rPr>
              <w:t>Seguridad a nivel de fila (Row Level Security) de PostgreSQL. Cada consulta se restringe al identificador de empresa contenido en el token de sesión del usuario, que la base de datos valida. Un Responsable no puede consultar información de otro.</w:t>
            </w:r>
          </w:p>
        </w:tc>
      </w:tr>
      <w:tr>
        <w:tc>
          <w:tcPr>
            <w:tcW w:type="dxa" w:w="2835"/>
          </w:tcPr>
          <w:p>
            <w:pPr>
              <w:spacing w:after="0"/>
            </w:pPr>
            <w:r>
              <w:rPr>
                <w:sz w:val="19"/>
              </w:rPr>
            </w:r>
            <w:r>
              <w:rPr>
                <w:sz w:val="19"/>
              </w:rPr>
              <w:t>Control de acceso por roles</w:t>
            </w:r>
          </w:p>
        </w:tc>
        <w:tc>
          <w:tcPr>
            <w:tcW w:type="dxa" w:w="1361"/>
          </w:tcPr>
          <w:p>
            <w:pPr>
              <w:spacing w:after="0"/>
            </w:pPr>
            <w:r>
              <w:rPr>
                <w:sz w:val="19"/>
              </w:rPr>
            </w:r>
            <w:r>
              <w:rPr>
                <w:sz w:val="19"/>
              </w:rPr>
              <w:t>Implementada</w:t>
            </w:r>
          </w:p>
        </w:tc>
        <w:tc>
          <w:tcPr>
            <w:tcW w:type="dxa" w:w="4309"/>
          </w:tcPr>
          <w:p>
            <w:pPr>
              <w:spacing w:after="0"/>
            </w:pPr>
            <w:r>
              <w:rPr>
                <w:sz w:val="19"/>
              </w:rPr>
            </w:r>
            <w:r>
              <w:rPr>
                <w:sz w:val="19"/>
              </w:rPr>
              <w:t>Roles diferenciados: administrador de empresa, recursos humanos, supervisor y empleado. El personal operativo solo puede consultar su propia información de jornada y nómina.</w:t>
            </w:r>
          </w:p>
        </w:tc>
      </w:tr>
      <w:tr>
        <w:tc>
          <w:tcPr>
            <w:tcW w:type="dxa" w:w="2835"/>
          </w:tcPr>
          <w:p>
            <w:pPr>
              <w:spacing w:after="0"/>
            </w:pPr>
            <w:r>
              <w:rPr>
                <w:sz w:val="19"/>
              </w:rPr>
            </w:r>
            <w:r>
              <w:rPr>
                <w:sz w:val="19"/>
              </w:rPr>
              <w:t>Restricción de acceso a la nómina</w:t>
            </w:r>
          </w:p>
        </w:tc>
        <w:tc>
          <w:tcPr>
            <w:tcW w:type="dxa" w:w="1361"/>
          </w:tcPr>
          <w:p>
            <w:pPr>
              <w:spacing w:after="0"/>
            </w:pPr>
            <w:r>
              <w:rPr>
                <w:sz w:val="19"/>
              </w:rPr>
            </w:r>
            <w:r>
              <w:rPr>
                <w:sz w:val="19"/>
              </w:rPr>
              <w:t>Implementada</w:t>
            </w:r>
          </w:p>
        </w:tc>
        <w:tc>
          <w:tcPr>
            <w:tcW w:type="dxa" w:w="4309"/>
          </w:tcPr>
          <w:p>
            <w:pPr>
              <w:spacing w:after="0"/>
            </w:pPr>
            <w:r>
              <w:rPr>
                <w:sz w:val="19"/>
              </w:rPr>
            </w:r>
            <w:r>
              <w:rPr>
                <w:sz w:val="19"/>
              </w:rPr>
              <w:t>Los módulos de nómina y contabilidad solo son accesibles para los roles administrativos. La exportación de datos de nómina valida el rol en el servidor, no solo en la interfaz.</w:t>
            </w:r>
          </w:p>
        </w:tc>
      </w:tr>
      <w:tr>
        <w:tc>
          <w:tcPr>
            <w:tcW w:type="dxa" w:w="2835"/>
          </w:tcPr>
          <w:p>
            <w:pPr>
              <w:spacing w:after="0"/>
            </w:pPr>
            <w:r>
              <w:rPr>
                <w:sz w:val="19"/>
              </w:rPr>
            </w:r>
            <w:r>
              <w:rPr>
                <w:sz w:val="19"/>
              </w:rPr>
              <w:t>Credenciales de dispositivo con alta entropía</w:t>
            </w:r>
          </w:p>
        </w:tc>
        <w:tc>
          <w:tcPr>
            <w:tcW w:type="dxa" w:w="1361"/>
          </w:tcPr>
          <w:p>
            <w:pPr>
              <w:spacing w:after="0"/>
            </w:pPr>
            <w:r>
              <w:rPr>
                <w:sz w:val="19"/>
              </w:rPr>
            </w:r>
            <w:r>
              <w:rPr>
                <w:sz w:val="19"/>
              </w:rPr>
              <w:t>Implementada</w:t>
            </w:r>
          </w:p>
        </w:tc>
        <w:tc>
          <w:tcPr>
            <w:tcW w:type="dxa" w:w="4309"/>
          </w:tcPr>
          <w:p>
            <w:pPr>
              <w:spacing w:after="0"/>
            </w:pPr>
            <w:r>
              <w:rPr>
                <w:sz w:val="19"/>
              </w:rPr>
            </w:r>
            <w:r>
              <w:rPr>
                <w:sz w:val="19"/>
              </w:rPr>
              <w:t>Los puntos de marcaje usan tokens de 128 bits generados criptográficamente, regenerables desde el panel.</w:t>
            </w:r>
          </w:p>
        </w:tc>
      </w:tr>
      <w:tr>
        <w:tc>
          <w:tcPr>
            <w:tcW w:type="dxa" w:w="2835"/>
          </w:tcPr>
          <w:p>
            <w:pPr>
              <w:spacing w:after="0"/>
            </w:pPr>
            <w:r>
              <w:rPr>
                <w:sz w:val="19"/>
              </w:rPr>
            </w:r>
            <w:r>
              <w:rPr>
                <w:sz w:val="19"/>
              </w:rPr>
              <w:t>Control anti-fraude en el marcaje</w:t>
            </w:r>
          </w:p>
        </w:tc>
        <w:tc>
          <w:tcPr>
            <w:tcW w:type="dxa" w:w="1361"/>
          </w:tcPr>
          <w:p>
            <w:pPr>
              <w:spacing w:after="0"/>
            </w:pPr>
            <w:r>
              <w:rPr>
                <w:sz w:val="19"/>
              </w:rPr>
            </w:r>
            <w:r>
              <w:rPr>
                <w:sz w:val="19"/>
              </w:rPr>
              <w:t>Implementada</w:t>
            </w:r>
          </w:p>
        </w:tc>
        <w:tc>
          <w:tcPr>
            <w:tcW w:type="dxa" w:w="4309"/>
          </w:tcPr>
          <w:p>
            <w:pPr>
              <w:spacing w:after="0"/>
            </w:pPr>
            <w:r>
              <w:rPr>
                <w:sz w:val="19"/>
              </w:rPr>
            </w:r>
            <w:r>
              <w:rPr>
                <w:sz w:val="19"/>
              </w:rPr>
              <w:t>El registro de marcaje valida una ventana temporal de ±5 minutos y rechaza marcajes duplicados del mismo tipo dentro de 60 segundos.</w:t>
            </w:r>
          </w:p>
        </w:tc>
      </w:tr>
      <w:tr>
        <w:tc>
          <w:tcPr>
            <w:tcW w:type="dxa" w:w="2835"/>
          </w:tcPr>
          <w:p>
            <w:pPr>
              <w:spacing w:after="0"/>
            </w:pPr>
            <w:r>
              <w:rPr>
                <w:sz w:val="19"/>
              </w:rPr>
            </w:r>
            <w:r>
              <w:rPr>
                <w:sz w:val="19"/>
              </w:rPr>
              <w:t>Validación de formato de datos de identificación</w:t>
            </w:r>
          </w:p>
        </w:tc>
        <w:tc>
          <w:tcPr>
            <w:tcW w:type="dxa" w:w="1361"/>
          </w:tcPr>
          <w:p>
            <w:pPr>
              <w:spacing w:after="0"/>
            </w:pPr>
            <w:r>
              <w:rPr>
                <w:sz w:val="19"/>
              </w:rPr>
            </w:r>
            <w:r>
              <w:rPr>
                <w:sz w:val="19"/>
              </w:rPr>
              <w:t>Implementada</w:t>
            </w:r>
          </w:p>
        </w:tc>
        <w:tc>
          <w:tcPr>
            <w:tcW w:type="dxa" w:w="4309"/>
          </w:tcPr>
          <w:p>
            <w:pPr>
              <w:spacing w:after="0"/>
            </w:pPr>
            <w:r>
              <w:rPr>
                <w:sz w:val="19"/>
              </w:rPr>
            </w:r>
            <w:r>
              <w:rPr>
                <w:sz w:val="19"/>
              </w:rPr>
              <w:t>La CURP, el RFC y el NSS se validan contra su patrón oficial antes de guardarse.</w:t>
            </w:r>
          </w:p>
        </w:tc>
      </w:tr>
      <w:tr>
        <w:tc>
          <w:tcPr>
            <w:tcW w:type="dxa" w:w="2835"/>
          </w:tcPr>
          <w:p>
            <w:pPr>
              <w:spacing w:after="0"/>
            </w:pPr>
            <w:r>
              <w:rPr>
                <w:sz w:val="19"/>
              </w:rPr>
            </w:r>
            <w:r>
              <w:rPr>
                <w:sz w:val="19"/>
              </w:rPr>
              <w:t>Cifrado de datos personales en reposo a nivel de aplicación</w:t>
            </w:r>
          </w:p>
        </w:tc>
        <w:tc>
          <w:tcPr>
            <w:tcW w:type="dxa" w:w="1361"/>
          </w:tcPr>
          <w:p>
            <w:pPr>
              <w:spacing w:after="0"/>
            </w:pPr>
            <w:r>
              <w:rPr>
                <w:sz w:val="19"/>
              </w:rPr>
            </w:r>
            <w:r>
              <w:rPr>
                <w:sz w:val="19"/>
              </w:rPr>
              <w:t>Pendiente</w:t>
            </w:r>
          </w:p>
        </w:tc>
        <w:tc>
          <w:tcPr>
            <w:tcW w:type="dxa" w:w="4309"/>
          </w:tcPr>
          <w:p>
            <w:pPr>
              <w:spacing w:after="0"/>
            </w:pPr>
            <w:r>
              <w:rPr>
                <w:sz w:val="19"/>
              </w:rPr>
            </w:r>
            <w:r>
              <w:rPr>
                <w:b/>
                <w:color w:val="B42318"/>
                <w:sz w:val="19"/>
              </w:rPr>
              <w:t>La CURP, el RFC, el NSS y la CLABE se almacenan sin cifrado adicional, protegidos por el cifrado de disco y el control de acceso de la plataforma de base de datos.</w:t>
            </w:r>
            <w:r>
              <w:rPr>
                <w:sz w:val="19"/>
              </w:rPr>
              <w:t xml:space="preserve"> Fecha comprometida: ●.</w:t>
            </w:r>
          </w:p>
        </w:tc>
      </w:tr>
      <w:tr>
        <w:tc>
          <w:tcPr>
            <w:tcW w:type="dxa" w:w="2835"/>
          </w:tcPr>
          <w:p>
            <w:pPr>
              <w:spacing w:after="0"/>
            </w:pPr>
            <w:r>
              <w:rPr>
                <w:sz w:val="19"/>
              </w:rPr>
            </w:r>
            <w:r>
              <w:rPr>
                <w:sz w:val="19"/>
              </w:rPr>
              <w:t>Autenticación de dos factores para cuentas administrativas</w:t>
            </w:r>
          </w:p>
        </w:tc>
        <w:tc>
          <w:tcPr>
            <w:tcW w:type="dxa" w:w="1361"/>
          </w:tcPr>
          <w:p>
            <w:pPr>
              <w:spacing w:after="0"/>
            </w:pPr>
            <w:r>
              <w:rPr>
                <w:sz w:val="19"/>
              </w:rPr>
            </w:r>
            <w:r>
              <w:rPr>
                <w:sz w:val="19"/>
              </w:rPr>
              <w:t>Pendiente</w:t>
            </w:r>
          </w:p>
        </w:tc>
        <w:tc>
          <w:tcPr>
            <w:tcW w:type="dxa" w:w="4309"/>
          </w:tcPr>
          <w:p>
            <w:pPr>
              <w:spacing w:after="0"/>
            </w:pPr>
            <w:r>
              <w:rPr>
                <w:sz w:val="19"/>
              </w:rPr>
            </w:r>
            <w:r>
              <w:rPr>
                <w:sz w:val="19"/>
              </w:rPr>
              <w:t>Soportado por la plataforma de autenticación; falta activarlo y exigirlo para los roles administrativos. Fecha comprometida: ●.</w:t>
            </w:r>
          </w:p>
        </w:tc>
      </w:tr>
      <w:tr>
        <w:tc>
          <w:tcPr>
            <w:tcW w:type="dxa" w:w="2835"/>
          </w:tcPr>
          <w:p>
            <w:pPr>
              <w:spacing w:after="0"/>
            </w:pPr>
            <w:r>
              <w:rPr>
                <w:sz w:val="19"/>
              </w:rPr>
            </w:r>
            <w:r>
              <w:rPr>
                <w:sz w:val="19"/>
              </w:rPr>
              <w:t>Limitación de intentos de inicio de sesión</w:t>
            </w:r>
          </w:p>
        </w:tc>
        <w:tc>
          <w:tcPr>
            <w:tcW w:type="dxa" w:w="1361"/>
          </w:tcPr>
          <w:p>
            <w:pPr>
              <w:spacing w:after="0"/>
            </w:pPr>
            <w:r>
              <w:rPr>
                <w:sz w:val="19"/>
              </w:rPr>
            </w:r>
            <w:r>
              <w:rPr>
                <w:sz w:val="19"/>
              </w:rPr>
              <w:t>Implementada</w:t>
            </w:r>
          </w:p>
        </w:tc>
        <w:tc>
          <w:tcPr>
            <w:tcW w:type="dxa" w:w="4309"/>
          </w:tcPr>
          <w:p>
            <w:pPr>
              <w:spacing w:after="0"/>
            </w:pPr>
            <w:r>
              <w:rPr>
                <w:sz w:val="19"/>
              </w:rPr>
            </w:r>
            <w:r>
              <w:rPr>
                <w:sz w:val="19"/>
              </w:rPr>
              <w:t>La plataforma de autenticación aplica limitación de tasa y bloqueo temporal tras intentos fallidos.</w:t>
            </w:r>
          </w:p>
        </w:tc>
      </w:tr>
      <w:tr>
        <w:tc>
          <w:tcPr>
            <w:tcW w:type="dxa" w:w="2835"/>
          </w:tcPr>
          <w:p>
            <w:pPr>
              <w:spacing w:after="0"/>
            </w:pPr>
            <w:r>
              <w:rPr>
                <w:sz w:val="19"/>
              </w:rPr>
            </w:r>
            <w:r>
              <w:rPr>
                <w:sz w:val="19"/>
              </w:rPr>
              <w:t>Registro y monitoreo de errores de aplicación</w:t>
            </w:r>
          </w:p>
        </w:tc>
        <w:tc>
          <w:tcPr>
            <w:tcW w:type="dxa" w:w="1361"/>
          </w:tcPr>
          <w:p>
            <w:pPr>
              <w:spacing w:after="0"/>
            </w:pPr>
            <w:r>
              <w:rPr>
                <w:sz w:val="19"/>
              </w:rPr>
            </w:r>
            <w:r>
              <w:rPr>
                <w:sz w:val="19"/>
              </w:rPr>
              <w:t>Implementada</w:t>
            </w:r>
          </w:p>
        </w:tc>
        <w:tc>
          <w:tcPr>
            <w:tcW w:type="dxa" w:w="4309"/>
          </w:tcPr>
          <w:p>
            <w:pPr>
              <w:spacing w:after="0"/>
            </w:pPr>
            <w:r>
              <w:rPr>
                <w:sz w:val="19"/>
              </w:rPr>
            </w:r>
            <w:r>
              <w:rPr>
                <w:sz w:val="19"/>
              </w:rPr>
              <w:t>Los errores no controlados se registran con su identificador de traza, sin incluir datos personales en el mensaje.</w:t>
            </w:r>
          </w:p>
        </w:tc>
      </w:tr>
      <w:tr>
        <w:tc>
          <w:tcPr>
            <w:tcW w:type="dxa" w:w="2835"/>
          </w:tcPr>
          <w:p>
            <w:pPr>
              <w:spacing w:after="0"/>
            </w:pPr>
            <w:r>
              <w:rPr>
                <w:sz w:val="19"/>
              </w:rPr>
            </w:r>
            <w:r>
              <w:rPr>
                <w:sz w:val="19"/>
              </w:rPr>
              <w:t>Respaldo automático de la base de datos</w:t>
            </w:r>
          </w:p>
        </w:tc>
        <w:tc>
          <w:tcPr>
            <w:tcW w:type="dxa" w:w="1361"/>
          </w:tcPr>
          <w:p>
            <w:pPr>
              <w:spacing w:after="0"/>
            </w:pPr>
            <w:r>
              <w:rPr>
                <w:sz w:val="19"/>
              </w:rPr>
            </w:r>
            <w:r>
              <w:rPr>
                <w:sz w:val="19"/>
              </w:rPr>
              <w:t>Implementada</w:t>
            </w:r>
          </w:p>
        </w:tc>
        <w:tc>
          <w:tcPr>
            <w:tcW w:type="dxa" w:w="4309"/>
          </w:tcPr>
          <w:p>
            <w:pPr>
              <w:spacing w:after="0"/>
            </w:pPr>
            <w:r>
              <w:rPr>
                <w:sz w:val="19"/>
              </w:rPr>
            </w:r>
            <w:r>
              <w:rPr>
                <w:sz w:val="19"/>
              </w:rPr>
              <w:t>Respaldos diarios administrados por la plataforma de base de datos.</w:t>
            </w:r>
          </w:p>
        </w:tc>
      </w:tr>
      <w:tr>
        <w:tc>
          <w:tcPr>
            <w:tcW w:type="dxa" w:w="2835"/>
          </w:tcPr>
          <w:p>
            <w:pPr>
              <w:spacing w:after="0"/>
            </w:pPr>
            <w:r>
              <w:rPr>
                <w:sz w:val="19"/>
              </w:rPr>
            </w:r>
            <w:r>
              <w:rPr>
                <w:sz w:val="19"/>
              </w:rPr>
              <w:t>Prueba documentada de restauración de respaldos</w:t>
            </w:r>
          </w:p>
        </w:tc>
        <w:tc>
          <w:tcPr>
            <w:tcW w:type="dxa" w:w="1361"/>
          </w:tcPr>
          <w:p>
            <w:pPr>
              <w:spacing w:after="0"/>
            </w:pPr>
            <w:r>
              <w:rPr>
                <w:sz w:val="19"/>
              </w:rPr>
            </w:r>
            <w:r>
              <w:rPr>
                <w:sz w:val="19"/>
              </w:rPr>
              <w:t>Pendiente</w:t>
            </w:r>
          </w:p>
        </w:tc>
        <w:tc>
          <w:tcPr>
            <w:tcW w:type="dxa" w:w="4309"/>
          </w:tcPr>
          <w:p>
            <w:pPr>
              <w:spacing w:after="0"/>
            </w:pPr>
            <w:r>
              <w:rPr>
                <w:sz w:val="19"/>
              </w:rPr>
            </w:r>
            <w:r>
              <w:rPr>
                <w:sz w:val="19"/>
              </w:rPr>
              <w:t>No se ha ejecutado ni documentado una prueba de restauración completa. Fecha comprometida: ●.</w:t>
            </w:r>
          </w:p>
        </w:tc>
      </w:tr>
      <w:tr>
        <w:tc>
          <w:tcPr>
            <w:tcW w:type="dxa" w:w="2835"/>
          </w:tcPr>
          <w:p>
            <w:pPr>
              <w:spacing w:after="0"/>
            </w:pPr>
            <w:r>
              <w:rPr>
                <w:sz w:val="19"/>
              </w:rPr>
            </w:r>
            <w:r>
              <w:rPr>
                <w:sz w:val="19"/>
              </w:rPr>
              <w:t>Prueba de penetración por tercero independiente</w:t>
            </w:r>
          </w:p>
        </w:tc>
        <w:tc>
          <w:tcPr>
            <w:tcW w:type="dxa" w:w="1361"/>
          </w:tcPr>
          <w:p>
            <w:pPr>
              <w:spacing w:after="0"/>
            </w:pPr>
            <w:r>
              <w:rPr>
                <w:sz w:val="19"/>
              </w:rPr>
            </w:r>
            <w:r>
              <w:rPr>
                <w:sz w:val="19"/>
              </w:rPr>
              <w:t>Pendiente</w:t>
            </w:r>
          </w:p>
        </w:tc>
        <w:tc>
          <w:tcPr>
            <w:tcW w:type="dxa" w:w="4309"/>
          </w:tcPr>
          <w:p>
            <w:pPr>
              <w:spacing w:after="0"/>
            </w:pPr>
            <w:r>
              <w:rPr>
                <w:sz w:val="19"/>
              </w:rPr>
            </w:r>
            <w:r>
              <w:rPr>
                <w:sz w:val="19"/>
              </w:rPr>
              <w:t>Fecha comprometida: ●.</w:t>
            </w:r>
          </w:p>
        </w:tc>
      </w:tr>
      <w:tr>
        <w:tc>
          <w:tcPr>
            <w:tcW w:type="dxa" w:w="2835"/>
          </w:tcPr>
          <w:p>
            <w:pPr>
              <w:spacing w:after="0"/>
            </w:pPr>
            <w:r>
              <w:rPr>
                <w:sz w:val="19"/>
              </w:rPr>
            </w:r>
            <w:r>
              <w:rPr>
                <w:sz w:val="19"/>
              </w:rPr>
              <w:t>Eliminación segura y verificable de los datos al término</w:t>
            </w:r>
          </w:p>
        </w:tc>
        <w:tc>
          <w:tcPr>
            <w:tcW w:type="dxa" w:w="1361"/>
          </w:tcPr>
          <w:p>
            <w:pPr>
              <w:spacing w:after="0"/>
            </w:pPr>
            <w:r>
              <w:rPr>
                <w:sz w:val="19"/>
              </w:rPr>
            </w:r>
            <w:r>
              <w:rPr>
                <w:sz w:val="19"/>
              </w:rPr>
              <w:t>Implementada</w:t>
            </w:r>
          </w:p>
        </w:tc>
        <w:tc>
          <w:tcPr>
            <w:tcW w:type="dxa" w:w="4309"/>
          </w:tcPr>
          <w:p>
            <w:pPr>
              <w:spacing w:after="0"/>
            </w:pPr>
            <w:r>
              <w:rPr>
                <w:sz w:val="19"/>
              </w:rPr>
            </w:r>
            <w:r>
              <w:rPr>
                <w:sz w:val="19"/>
              </w:rPr>
              <w:t>La supresión en cascada está garantizada por las restricciones de integridad referencial de la base de datos: al eliminar una empresa se eliminan sus empleados, marcajes, jornadas y recibos de nómina.</w:t>
            </w:r>
          </w:p>
        </w:tc>
      </w:tr>
    </w:tbl>
    <w:p/>
    <w:p>
      <w:r>
        <w:rPr>
          <w:b/>
        </w:rPr>
        <w:t>B.3 Medidas físicas</w:t>
      </w:r>
    </w:p>
    <w:tbl>
      <w:tblPr>
        <w:tblStyle w:val="TableGrid"/>
        <w:tblW w:type="auto" w:w="0"/>
        <w:jc w:val="center"/>
        <w:tblLayout w:type="fixed"/>
        <w:tblLook w:firstColumn="1" w:firstRow="1" w:lastColumn="0" w:lastRow="0" w:noHBand="0" w:noVBand="1" w:val="04A0"/>
      </w:tblPr>
      <w:tblGrid>
        <w:gridCol w:w="3079"/>
        <w:gridCol w:w="3079"/>
        <w:gridCol w:w="3079"/>
      </w:tblGrid>
      <w:tr>
        <w:tc>
          <w:tcPr>
            <w:tcW w:type="dxa" w:w="2835"/>
            <w:shd w:val="clear" w:color="auto" w:fill="1D4ED8"/>
          </w:tcPr>
          <w:p>
            <w:pPr>
              <w:spacing w:after="0"/>
            </w:pPr>
            <w:r/>
            <w:r>
              <w:rPr>
                <w:b/>
                <w:color w:val="FFFFFF"/>
                <w:sz w:val="19"/>
              </w:rPr>
              <w:t>Medida</w:t>
            </w:r>
          </w:p>
        </w:tc>
        <w:tc>
          <w:tcPr>
            <w:tcW w:type="dxa" w:w="1361"/>
            <w:shd w:val="clear" w:color="auto" w:fill="1D4ED8"/>
          </w:tcPr>
          <w:p>
            <w:pPr>
              <w:spacing w:after="0"/>
            </w:pPr>
            <w:r/>
            <w:r>
              <w:rPr>
                <w:b/>
                <w:color w:val="FFFFFF"/>
                <w:sz w:val="19"/>
              </w:rPr>
              <w:t>Estado</w:t>
            </w:r>
          </w:p>
        </w:tc>
        <w:tc>
          <w:tcPr>
            <w:tcW w:type="dxa" w:w="4309"/>
            <w:shd w:val="clear" w:color="auto" w:fill="1D4ED8"/>
          </w:tcPr>
          <w:p>
            <w:pPr>
              <w:spacing w:after="0"/>
            </w:pPr>
            <w:r/>
            <w:r>
              <w:rPr>
                <w:b/>
                <w:color w:val="FFFFFF"/>
                <w:sz w:val="19"/>
              </w:rPr>
              <w:t>Detalle</w:t>
            </w:r>
          </w:p>
        </w:tc>
      </w:tr>
      <w:tr>
        <w:tc>
          <w:tcPr>
            <w:tcW w:type="dxa" w:w="2835"/>
          </w:tcPr>
          <w:p>
            <w:pPr>
              <w:spacing w:after="0"/>
            </w:pPr>
            <w:r>
              <w:rPr>
                <w:sz w:val="19"/>
              </w:rPr>
            </w:r>
            <w:r>
              <w:rPr>
                <w:sz w:val="19"/>
              </w:rPr>
              <w:t>Control de acceso físico al centro de datos</w:t>
            </w:r>
          </w:p>
        </w:tc>
        <w:tc>
          <w:tcPr>
            <w:tcW w:type="dxa" w:w="1361"/>
          </w:tcPr>
          <w:p>
            <w:pPr>
              <w:spacing w:after="0"/>
            </w:pPr>
            <w:r>
              <w:rPr>
                <w:sz w:val="19"/>
              </w:rPr>
            </w:r>
            <w:r>
              <w:rPr>
                <w:sz w:val="19"/>
              </w:rPr>
              <w:t>Implementada</w:t>
            </w:r>
          </w:p>
        </w:tc>
        <w:tc>
          <w:tcPr>
            <w:tcW w:type="dxa" w:w="4309"/>
          </w:tcPr>
          <w:p>
            <w:pPr>
              <w:spacing w:after="0"/>
            </w:pPr>
            <w:r>
              <w:rPr>
                <w:sz w:val="19"/>
              </w:rPr>
            </w:r>
            <w:r>
              <w:rPr>
                <w:sz w:val="19"/>
              </w:rPr>
              <w:t>El Servicio se aloja en infraestructura de cómputo en la nube administrada por el subencargado indicado en el Anexo C, que certifica los controles físicos de sus instalaciones. El Encargado no opera centros de datos propios.</w:t>
            </w:r>
          </w:p>
        </w:tc>
      </w:tr>
      <w:tr>
        <w:tc>
          <w:tcPr>
            <w:tcW w:type="dxa" w:w="2835"/>
          </w:tcPr>
          <w:p>
            <w:pPr>
              <w:spacing w:after="0"/>
            </w:pPr>
            <w:r>
              <w:rPr>
                <w:sz w:val="19"/>
              </w:rPr>
            </w:r>
            <w:r>
              <w:rPr>
                <w:sz w:val="19"/>
              </w:rPr>
              <w:t>Equipos de trabajo con cifrado de disco</w:t>
            </w:r>
          </w:p>
        </w:tc>
        <w:tc>
          <w:tcPr>
            <w:tcW w:type="dxa" w:w="1361"/>
          </w:tcPr>
          <w:p>
            <w:pPr>
              <w:spacing w:after="0"/>
            </w:pPr>
            <w:r>
              <w:rPr>
                <w:sz w:val="19"/>
              </w:rPr>
            </w:r>
            <w:r>
              <w:rPr>
                <w:sz w:val="19"/>
              </w:rPr>
              <w:t>Implementada</w:t>
            </w:r>
          </w:p>
        </w:tc>
        <w:tc>
          <w:tcPr>
            <w:tcW w:type="dxa" w:w="4309"/>
          </w:tcPr>
          <w:p>
            <w:pPr>
              <w:spacing w:after="0"/>
            </w:pPr>
            <w:r>
              <w:rPr>
                <w:sz w:val="19"/>
              </w:rPr>
            </w:r>
            <w:r>
              <w:rPr>
                <w:sz w:val="19"/>
              </w:rPr>
              <w:t>Los equipos del personal del Encargado cuentan con cifrado de disco habilitado y bloqueo de pantalla por inactividad.</w:t>
            </w:r>
          </w:p>
        </w:tc>
      </w:tr>
      <w:tr>
        <w:tc>
          <w:tcPr>
            <w:tcW w:type="dxa" w:w="2835"/>
          </w:tcPr>
          <w:p>
            <w:pPr>
              <w:spacing w:after="0"/>
            </w:pPr>
            <w:r>
              <w:rPr>
                <w:sz w:val="19"/>
              </w:rPr>
            </w:r>
            <w:r>
              <w:rPr>
                <w:sz w:val="19"/>
              </w:rPr>
              <w:t>Acceso a la información de producción desde equipos personales</w:t>
            </w:r>
          </w:p>
        </w:tc>
        <w:tc>
          <w:tcPr>
            <w:tcW w:type="dxa" w:w="1361"/>
          </w:tcPr>
          <w:p>
            <w:pPr>
              <w:spacing w:after="0"/>
            </w:pPr>
            <w:r>
              <w:rPr>
                <w:sz w:val="19"/>
              </w:rPr>
            </w:r>
            <w:r>
              <w:rPr>
                <w:sz w:val="19"/>
              </w:rPr>
              <w:t>Pendiente</w:t>
            </w:r>
          </w:p>
        </w:tc>
        <w:tc>
          <w:tcPr>
            <w:tcW w:type="dxa" w:w="4309"/>
          </w:tcPr>
          <w:p>
            <w:pPr>
              <w:spacing w:after="0"/>
            </w:pPr>
            <w:r>
              <w:rPr>
                <w:sz w:val="19"/>
              </w:rPr>
            </w:r>
            <w:r>
              <w:rPr>
                <w:sz w:val="19"/>
              </w:rPr>
              <w:t>Falta una política que prohíba el acceso a datos de producción desde dispositivos no administrados. Fecha comprometida: ●.</w:t>
            </w:r>
          </w:p>
        </w:tc>
      </w:tr>
    </w:tbl>
    <w:p/>
    <w:p>
      <w:r>
        <w:br w:type="page"/>
      </w:r>
    </w:p>
    <w:p>
      <w:pPr>
        <w:pStyle w:val="Heading1"/>
        <w:keepNext/>
      </w:pPr>
      <w:r>
        <w:t>ANEXO C. Encargados adicionales y transferencias internacionales</w:t>
      </w:r>
    </w:p>
    <w:tbl>
      <w:tblPr>
        <w:tblStyle w:val="TableGrid"/>
        <w:tblW w:type="auto" w:w="0"/>
        <w:tblLook w:firstColumn="1" w:firstRow="1" w:lastColumn="0" w:lastRow="0" w:noHBand="0" w:noVBand="1" w:val="04A0"/>
      </w:tblPr>
      <w:tblGrid>
        <w:gridCol w:w="9236"/>
      </w:tblGrid>
      <w:tr>
        <w:tc>
          <w:tcPr>
            <w:tcW w:type="dxa" w:w="9236"/>
            <w:shd w:val="clear" w:color="auto" w:fill="FEF2F2"/>
          </w:tcPr>
          <w:p>
            <w:pPr>
              <w:spacing w:after="40"/>
            </w:pPr>
            <w:r/>
            <w:r>
              <w:rPr>
                <w:b/>
                <w:color w:val="B42318"/>
                <w:sz w:val="20"/>
              </w:rPr>
              <w:t>CAMPO POR COMPLETAR — verifica estos datos con tu proveedor</w:t>
            </w:r>
          </w:p>
          <w:p>
            <w:pPr>
              <w:jc w:val="both"/>
            </w:pPr>
            <w:r>
              <w:rPr>
                <w:sz w:val="19"/>
              </w:rPr>
              <w:t xml:space="preserve">Los nombres y las regiones deben corresponder a lo que </w:t>
            </w:r>
            <w:r>
              <w:rPr>
                <w:b/>
                <w:sz w:val="19"/>
              </w:rPr>
              <w:t>realmente</w:t>
            </w:r>
            <w:r>
              <w:rPr>
                <w:sz w:val="19"/>
              </w:rPr>
              <w:t xml:space="preserve"> tienes contratado. Verifica en el panel de cada proveedor la región del proyecto: si contrataste la región de Estados Unidos y declaras Brasil, la declaración es falsa. Un solo proveedor mal declarado invalida el anexo completo.</w:t>
            </w:r>
          </w:p>
        </w:tc>
      </w:tr>
    </w:tbl>
    <w:p/>
    <w:p>
      <w:pPr>
        <w:jc w:val="both"/>
      </w:pPr>
      <w:r>
        <w:t>El Encargado utiliza los siguientes encargados adicionales para la prestación del Servicio. Todos ellos están sujetos contractualmente a obligaciones de confidencialidad y de protección de datos personales equivalentes a las del presente Contrato.</w:t>
      </w:r>
    </w:p>
    <w:tbl>
      <w:tblPr>
        <w:tblStyle w:val="TableGrid"/>
        <w:tblW w:type="auto" w:w="0"/>
        <w:jc w:val="center"/>
        <w:tblLayout w:type="fixed"/>
        <w:tblLook w:firstColumn="1" w:firstRow="1" w:lastColumn="0" w:lastRow="0" w:noHBand="0" w:noVBand="1" w:val="04A0"/>
      </w:tblPr>
      <w:tblGrid>
        <w:gridCol w:w="2309"/>
        <w:gridCol w:w="2309"/>
        <w:gridCol w:w="2309"/>
        <w:gridCol w:w="2309"/>
      </w:tblGrid>
      <w:tr>
        <w:tc>
          <w:tcPr>
            <w:tcW w:type="dxa" w:w="2041"/>
            <w:shd w:val="clear" w:color="auto" w:fill="1D4ED8"/>
          </w:tcPr>
          <w:p>
            <w:pPr>
              <w:spacing w:after="0"/>
            </w:pPr>
            <w:r/>
            <w:r>
              <w:rPr>
                <w:b/>
                <w:color w:val="FFFFFF"/>
                <w:sz w:val="19"/>
              </w:rPr>
              <w:t>Encargado adicional</w:t>
            </w:r>
          </w:p>
        </w:tc>
        <w:tc>
          <w:tcPr>
            <w:tcW w:type="dxa" w:w="2381"/>
            <w:shd w:val="clear" w:color="auto" w:fill="1D4ED8"/>
          </w:tcPr>
          <w:p>
            <w:pPr>
              <w:spacing w:after="0"/>
            </w:pPr>
            <w:r/>
            <w:r>
              <w:rPr>
                <w:b/>
                <w:color w:val="FFFFFF"/>
                <w:sz w:val="19"/>
              </w:rPr>
              <w:t>Servicio que presta</w:t>
            </w:r>
          </w:p>
        </w:tc>
        <w:tc>
          <w:tcPr>
            <w:tcW w:type="dxa" w:w="2381"/>
            <w:shd w:val="clear" w:color="auto" w:fill="1D4ED8"/>
          </w:tcPr>
          <w:p>
            <w:pPr>
              <w:spacing w:after="0"/>
            </w:pPr>
            <w:r/>
            <w:r>
              <w:rPr>
                <w:b/>
                <w:color w:val="FFFFFF"/>
                <w:sz w:val="19"/>
              </w:rPr>
              <w:t>Datos a los que accede</w:t>
            </w:r>
          </w:p>
        </w:tc>
        <w:tc>
          <w:tcPr>
            <w:tcW w:type="dxa" w:w="1701"/>
            <w:shd w:val="clear" w:color="auto" w:fill="1D4ED8"/>
          </w:tcPr>
          <w:p>
            <w:pPr>
              <w:spacing w:after="0"/>
            </w:pPr>
            <w:r/>
            <w:r>
              <w:rPr>
                <w:b/>
                <w:color w:val="FFFFFF"/>
                <w:sz w:val="19"/>
              </w:rPr>
              <w:t>Ubicación de los servidores</w:t>
            </w:r>
          </w:p>
        </w:tc>
      </w:tr>
      <w:tr>
        <w:tc>
          <w:tcPr>
            <w:tcW w:type="dxa" w:w="2041"/>
          </w:tcPr>
          <w:p>
            <w:pPr>
              <w:spacing w:after="0"/>
            </w:pPr>
            <w:r>
              <w:rPr>
                <w:sz w:val="19"/>
              </w:rPr>
            </w:r>
            <w:r>
              <w:rPr>
                <w:sz w:val="19"/>
              </w:rPr>
              <w:t>Supabase, Inc.</w:t>
            </w:r>
          </w:p>
        </w:tc>
        <w:tc>
          <w:tcPr>
            <w:tcW w:type="dxa" w:w="2381"/>
          </w:tcPr>
          <w:p>
            <w:pPr>
              <w:spacing w:after="0"/>
            </w:pPr>
            <w:r>
              <w:rPr>
                <w:sz w:val="19"/>
              </w:rPr>
            </w:r>
            <w:r>
              <w:rPr>
                <w:sz w:val="19"/>
              </w:rPr>
              <w:t>Base de datos PostgreSQL administrada y servicio de autenticación.</w:t>
            </w:r>
          </w:p>
        </w:tc>
        <w:tc>
          <w:tcPr>
            <w:tcW w:type="dxa" w:w="2381"/>
          </w:tcPr>
          <w:p>
            <w:pPr>
              <w:spacing w:after="0"/>
            </w:pPr>
            <w:r>
              <w:rPr>
                <w:sz w:val="19"/>
              </w:rPr>
            </w:r>
            <w:r>
              <w:rPr>
                <w:sz w:val="19"/>
              </w:rPr>
              <w:t>Todos los datos personales descritos en el Anexo A.</w:t>
            </w:r>
          </w:p>
        </w:tc>
        <w:tc>
          <w:tcPr>
            <w:tcW w:type="dxa" w:w="1701"/>
          </w:tcPr>
          <w:p>
            <w:pPr>
              <w:spacing w:after="0"/>
            </w:pPr>
            <w:r>
              <w:rPr>
                <w:sz w:val="19"/>
              </w:rPr>
            </w:r>
            <w:r>
              <w:rPr>
                <w:sz w:val="19"/>
              </w:rPr>
              <w:t>Región: ● (verificar en el panel del proyecto).</w:t>
            </w:r>
          </w:p>
        </w:tc>
      </w:tr>
      <w:tr>
        <w:tc>
          <w:tcPr>
            <w:tcW w:type="dxa" w:w="2041"/>
          </w:tcPr>
          <w:p>
            <w:pPr>
              <w:spacing w:after="0"/>
            </w:pPr>
            <w:r>
              <w:rPr>
                <w:sz w:val="19"/>
              </w:rPr>
            </w:r>
            <w:r>
              <w:rPr>
                <w:sz w:val="19"/>
              </w:rPr>
              <w:t>Vercel Inc.</w:t>
            </w:r>
          </w:p>
        </w:tc>
        <w:tc>
          <w:tcPr>
            <w:tcW w:type="dxa" w:w="2381"/>
          </w:tcPr>
          <w:p>
            <w:pPr>
              <w:spacing w:after="0"/>
            </w:pPr>
            <w:r>
              <w:rPr>
                <w:sz w:val="19"/>
              </w:rPr>
            </w:r>
            <w:r>
              <w:rPr>
                <w:sz w:val="19"/>
              </w:rPr>
              <w:t>Alojamiento de la aplicación, red de distribución de contenido y ejecución del servidor de aplicaciones.</w:t>
            </w:r>
          </w:p>
        </w:tc>
        <w:tc>
          <w:tcPr>
            <w:tcW w:type="dxa" w:w="2381"/>
          </w:tcPr>
          <w:p>
            <w:pPr>
              <w:spacing w:after="0"/>
            </w:pPr>
            <w:r>
              <w:rPr>
                <w:sz w:val="19"/>
              </w:rPr>
            </w:r>
            <w:r>
              <w:rPr>
                <w:sz w:val="19"/>
              </w:rPr>
              <w:t>Los datos en tránsito durante el uso del Servicio. No almacena la base de datos.</w:t>
            </w:r>
          </w:p>
        </w:tc>
        <w:tc>
          <w:tcPr>
            <w:tcW w:type="dxa" w:w="1701"/>
          </w:tcPr>
          <w:p>
            <w:pPr>
              <w:spacing w:after="0"/>
            </w:pPr>
            <w:r>
              <w:rPr>
                <w:sz w:val="19"/>
              </w:rPr>
            </w:r>
            <w:r>
              <w:rPr>
                <w:sz w:val="19"/>
              </w:rPr>
              <w:t>Región: ● (verificar en el panel del proyecto).</w:t>
            </w:r>
          </w:p>
        </w:tc>
      </w:tr>
      <w:tr>
        <w:tc>
          <w:tcPr>
            <w:tcW w:type="dxa" w:w="2041"/>
          </w:tcPr>
          <w:p>
            <w:pPr>
              <w:spacing w:after="0"/>
            </w:pPr>
            <w:r>
              <w:rPr>
                <w:sz w:val="19"/>
              </w:rPr>
            </w:r>
            <w:r>
              <w:rPr>
                <w:sz w:val="19"/>
              </w:rPr>
              <w:t>● (proveedor de correo transaccional)</w:t>
            </w:r>
          </w:p>
        </w:tc>
        <w:tc>
          <w:tcPr>
            <w:tcW w:type="dxa" w:w="2381"/>
          </w:tcPr>
          <w:p>
            <w:pPr>
              <w:spacing w:after="0"/>
            </w:pPr>
            <w:r>
              <w:rPr>
                <w:sz w:val="19"/>
              </w:rPr>
            </w:r>
            <w:r>
              <w:rPr>
                <w:sz w:val="19"/>
              </w:rPr>
              <w:t>Envío de correos de confirmación de cuenta y de notificaciones del Servicio.</w:t>
            </w:r>
          </w:p>
        </w:tc>
        <w:tc>
          <w:tcPr>
            <w:tcW w:type="dxa" w:w="2381"/>
          </w:tcPr>
          <w:p>
            <w:pPr>
              <w:spacing w:after="0"/>
            </w:pPr>
            <w:r>
              <w:rPr>
                <w:sz w:val="19"/>
              </w:rPr>
            </w:r>
            <w:r>
              <w:rPr>
                <w:sz w:val="19"/>
              </w:rPr>
              <w:t>Nombre y correo electrónico de los usuarios administrativos.</w:t>
            </w:r>
          </w:p>
        </w:tc>
        <w:tc>
          <w:tcPr>
            <w:tcW w:type="dxa" w:w="1701"/>
          </w:tcPr>
          <w:p>
            <w:pPr>
              <w:spacing w:after="0"/>
            </w:pPr>
            <w:r>
              <w:rPr>
                <w:sz w:val="19"/>
              </w:rPr>
            </w:r>
            <w:r>
              <w:rPr>
                <w:sz w:val="19"/>
              </w:rPr>
              <w:t>●</w:t>
            </w:r>
          </w:p>
        </w:tc>
      </w:tr>
      <w:tr>
        <w:tc>
          <w:tcPr>
            <w:tcW w:type="dxa" w:w="2041"/>
          </w:tcPr>
          <w:p>
            <w:pPr>
              <w:spacing w:after="0"/>
            </w:pPr>
            <w:r>
              <w:rPr>
                <w:sz w:val="19"/>
              </w:rPr>
            </w:r>
            <w:r>
              <w:rPr>
                <w:sz w:val="19"/>
              </w:rPr>
              <w:t>● (servicio de monitoreo de errores)</w:t>
            </w:r>
          </w:p>
        </w:tc>
        <w:tc>
          <w:tcPr>
            <w:tcW w:type="dxa" w:w="2381"/>
          </w:tcPr>
          <w:p>
            <w:pPr>
              <w:spacing w:after="0"/>
            </w:pPr>
            <w:r>
              <w:rPr>
                <w:sz w:val="19"/>
              </w:rPr>
            </w:r>
            <w:r>
              <w:rPr>
                <w:sz w:val="19"/>
              </w:rPr>
              <w:t>Registro y diagnóstico de errores de la aplicación.</w:t>
            </w:r>
          </w:p>
        </w:tc>
        <w:tc>
          <w:tcPr>
            <w:tcW w:type="dxa" w:w="2381"/>
          </w:tcPr>
          <w:p>
            <w:pPr>
              <w:spacing w:after="0"/>
            </w:pPr>
            <w:r>
              <w:rPr>
                <w:sz w:val="19"/>
              </w:rPr>
            </w:r>
            <w:r>
              <w:rPr>
                <w:sz w:val="19"/>
              </w:rPr>
              <w:t xml:space="preserve">Registro técnico del error. </w:t>
            </w:r>
            <w:r>
              <w:rPr>
                <w:b/>
                <w:color w:val="B42318"/>
                <w:sz w:val="19"/>
              </w:rPr>
              <w:t>No debe incluir datos personales: verifica la configuración de filtrado antes de activarlo.</w:t>
            </w:r>
          </w:p>
        </w:tc>
        <w:tc>
          <w:tcPr>
            <w:tcW w:type="dxa" w:w="1701"/>
          </w:tcPr>
          <w:p>
            <w:pPr>
              <w:spacing w:after="0"/>
            </w:pPr>
            <w:r>
              <w:rPr>
                <w:sz w:val="19"/>
              </w:rPr>
            </w:r>
            <w:r>
              <w:rPr>
                <w:sz w:val="19"/>
              </w:rPr>
              <w:t>●</w:t>
            </w:r>
          </w:p>
        </w:tc>
      </w:tr>
    </w:tbl>
    <w:p/>
    <w:p>
      <w:pPr>
        <w:jc w:val="both"/>
      </w:pPr>
      <w:r>
        <w:t xml:space="preserve">El Responsable autoriza expresamente la </w:t>
      </w:r>
      <w:r>
        <w:rPr>
          <w:b/>
        </w:rPr>
        <w:t>transferencia internacional</w:t>
      </w:r>
      <w:r>
        <w:t xml:space="preserve"> de los datos personales a las ubicaciones señaladas, en el entendido de que los receptores asumen las mismas obligaciones que el Encargado y de que esta autorización se otorga en términos del artículo 34 de la Ley.</w:t>
      </w:r>
    </w:p>
    <w:p>
      <w:r>
        <w:rPr>
          <w:b/>
        </w:rPr>
        <w:t>Inventario de proveedores contratados</w:t>
      </w:r>
    </w:p>
    <w:p>
      <w:pPr>
        <w:jc w:val="both"/>
      </w:pPr>
      <w:r>
        <w:t>El siguiente cuadro es un instrumento de control interno del Encargado. Debe reflejar la lista real de proveedores con acceso a datos personales y su nivel de riesgo, y revisarse al menos cada seis meses.</w:t>
      </w:r>
    </w:p>
    <w:tbl>
      <w:tblPr>
        <w:tblStyle w:val="TableGrid"/>
        <w:tblW w:type="auto" w:w="0"/>
        <w:jc w:val="center"/>
        <w:tblLayout w:type="fixed"/>
        <w:tblLook w:firstColumn="1" w:firstRow="1" w:lastColumn="0" w:lastRow="0" w:noHBand="0" w:noVBand="1" w:val="04A0"/>
      </w:tblPr>
      <w:tblGrid>
        <w:gridCol w:w="1847"/>
        <w:gridCol w:w="1847"/>
        <w:gridCol w:w="1847"/>
        <w:gridCol w:w="1847"/>
        <w:gridCol w:w="1847"/>
      </w:tblGrid>
      <w:tr>
        <w:tc>
          <w:tcPr>
            <w:tcW w:type="dxa" w:w="2041"/>
            <w:shd w:val="clear" w:color="auto" w:fill="1D4ED8"/>
          </w:tcPr>
          <w:p>
            <w:pPr>
              <w:spacing w:after="0"/>
            </w:pPr>
            <w:r/>
            <w:r>
              <w:rPr>
                <w:b/>
                <w:color w:val="FFFFFF"/>
                <w:sz w:val="19"/>
              </w:rPr>
              <w:t>Proveedor</w:t>
            </w:r>
          </w:p>
        </w:tc>
        <w:tc>
          <w:tcPr>
            <w:tcW w:type="dxa" w:w="2381"/>
            <w:shd w:val="clear" w:color="auto" w:fill="1D4ED8"/>
          </w:tcPr>
          <w:p>
            <w:pPr>
              <w:spacing w:after="0"/>
            </w:pPr>
            <w:r/>
            <w:r>
              <w:rPr>
                <w:b/>
                <w:color w:val="FFFFFF"/>
                <w:sz w:val="19"/>
              </w:rPr>
              <w:t>Contrato de encargo firmado</w:t>
            </w:r>
          </w:p>
        </w:tc>
        <w:tc>
          <w:tcPr>
            <w:tcW w:type="dxa" w:w="1474"/>
            <w:shd w:val="clear" w:color="auto" w:fill="1D4ED8"/>
          </w:tcPr>
          <w:p>
            <w:pPr>
              <w:spacing w:after="0"/>
            </w:pPr>
            <w:r/>
            <w:r>
              <w:rPr>
                <w:b/>
                <w:color w:val="FFFFFF"/>
                <w:sz w:val="19"/>
              </w:rPr>
              <w:t>Evaluado</w:t>
            </w:r>
          </w:p>
        </w:tc>
        <w:tc>
          <w:tcPr>
            <w:tcW w:type="dxa" w:w="1474"/>
            <w:shd w:val="clear" w:color="auto" w:fill="1D4ED8"/>
          </w:tcPr>
          <w:p>
            <w:pPr>
              <w:spacing w:after="0"/>
            </w:pPr>
            <w:r/>
            <w:r>
              <w:rPr>
                <w:b/>
                <w:color w:val="FFFFFF"/>
                <w:sz w:val="19"/>
              </w:rPr>
              <w:t>Riesgo</w:t>
            </w:r>
          </w:p>
        </w:tc>
        <w:tc>
          <w:tcPr>
            <w:tcW w:type="dxa" w:w="1474"/>
            <w:shd w:val="clear" w:color="auto" w:fill="1D4ED8"/>
          </w:tcPr>
          <w:p>
            <w:pPr>
              <w:spacing w:after="0"/>
            </w:pPr>
            <w:r/>
            <w:r>
              <w:rPr>
                <w:b/>
                <w:color w:val="FFFFFF"/>
                <w:sz w:val="19"/>
              </w:rPr>
              <w:t>Última revisión</w:t>
            </w:r>
          </w:p>
        </w:tc>
      </w:tr>
      <w:tr>
        <w:tc>
          <w:tcPr>
            <w:tcW w:type="dxa" w:w="2041"/>
          </w:tcPr>
          <w:p>
            <w:pPr>
              <w:spacing w:after="0"/>
            </w:pPr>
            <w:r>
              <w:rPr>
                <w:sz w:val="19"/>
              </w:rPr>
            </w:r>
            <w:r>
              <w:rPr>
                <w:sz w:val="19"/>
              </w:rPr>
              <w:t>●</w:t>
            </w:r>
          </w:p>
        </w:tc>
        <w:tc>
          <w:tcPr>
            <w:tcW w:type="dxa" w:w="2381"/>
          </w:tcPr>
          <w:p>
            <w:pPr>
              <w:spacing w:after="0"/>
            </w:pPr>
            <w:r>
              <w:rPr>
                <w:sz w:val="19"/>
              </w:rPr>
            </w:r>
            <w:r>
              <w:rPr>
                <w:sz w:val="19"/>
              </w:rPr>
              <w:t>Sí / No</w:t>
            </w:r>
          </w:p>
        </w:tc>
        <w:tc>
          <w:tcPr>
            <w:tcW w:type="dxa" w:w="1474"/>
          </w:tcPr>
          <w:p>
            <w:pPr>
              <w:spacing w:after="0"/>
            </w:pPr>
            <w:r>
              <w:rPr>
                <w:sz w:val="19"/>
              </w:rPr>
            </w:r>
            <w:r>
              <w:rPr>
                <w:sz w:val="19"/>
              </w:rPr>
              <w:t>Sí / No</w:t>
            </w:r>
          </w:p>
        </w:tc>
        <w:tc>
          <w:tcPr>
            <w:tcW w:type="dxa" w:w="1474"/>
          </w:tcPr>
          <w:p>
            <w:pPr>
              <w:spacing w:after="0"/>
            </w:pPr>
            <w:r>
              <w:rPr>
                <w:sz w:val="19"/>
              </w:rPr>
            </w:r>
            <w:r>
              <w:rPr>
                <w:sz w:val="19"/>
              </w:rPr>
              <w:t>Alto / Medio / Bajo</w:t>
            </w:r>
          </w:p>
        </w:tc>
        <w:tc>
          <w:tcPr>
            <w:tcW w:type="dxa" w:w="1474"/>
          </w:tcPr>
          <w:p>
            <w:pPr>
              <w:spacing w:after="0"/>
            </w:pPr>
            <w:r>
              <w:rPr>
                <w:sz w:val="19"/>
              </w:rPr>
            </w:r>
            <w:r>
              <w:rPr>
                <w:sz w:val="19"/>
              </w:rPr>
              <w:t>●</w:t>
            </w:r>
          </w:p>
        </w:tc>
      </w:tr>
    </w:tbl>
    <w:p/>
    <w:p>
      <w:r>
        <w:br w:type="page"/>
      </w:r>
    </w:p>
    <w:p>
      <w:pPr>
        <w:pStyle w:val="Heading1"/>
        <w:keepNext/>
      </w:pPr>
      <w:r>
        <w:t>FIRMAS</w:t>
      </w:r>
    </w:p>
    <w:p>
      <w:pPr>
        <w:jc w:val="both"/>
      </w:pPr>
      <w:r>
        <w:t>Las Partes manifiestan su conformidad y firman el presente Contrato de Encargo de Tratamiento de Datos Personales, por duplicado, en la ciudad de ●, el día ● de ● de ●●.</w:t>
      </w:r>
    </w:p>
    <w:p/>
    <w:tbl>
      <w:tblPr>
        <w:tblW w:type="auto" w:w="0"/>
        <w:tblLayout w:type="autofit"/>
        <w:tblLook w:firstColumn="1" w:firstRow="1" w:lastColumn="0" w:lastRow="0" w:noHBand="0" w:noVBand="1" w:val="04A0"/>
      </w:tblPr>
      <w:tblGrid>
        <w:gridCol w:w="4618"/>
        <w:gridCol w:w="4618"/>
      </w:tblGrid>
      <w:tr>
        <w:tc>
          <w:tcPr>
            <w:tcW w:type="dxa" w:w="4618"/>
          </w:tcPr>
          <w:p>
            <w:pPr>
              <w:jc w:val="center"/>
            </w:pPr>
            <w:r>
              <w:t>____________________________</w:t>
            </w:r>
          </w:p>
        </w:tc>
        <w:tc>
          <w:tcPr>
            <w:tcW w:type="dxa" w:w="4618"/>
          </w:tcPr>
          <w:p>
            <w:pPr>
              <w:jc w:val="center"/>
            </w:pPr>
            <w:r>
              <w:t>____________________________</w:t>
            </w:r>
          </w:p>
        </w:tc>
      </w:tr>
      <w:tr>
        <w:tc>
          <w:tcPr>
            <w:tcW w:type="dxa" w:w="4618"/>
          </w:tcPr>
          <w:p>
            <w:pPr>
              <w:jc w:val="center"/>
            </w:pPr>
            <w:r>
              <w:rPr>
                <w:b/>
                <w:sz w:val="19"/>
              </w:rPr>
              <w:t>EL ENCARGADO</w:t>
            </w:r>
          </w:p>
        </w:tc>
        <w:tc>
          <w:tcPr>
            <w:tcW w:type="dxa" w:w="4618"/>
          </w:tcPr>
          <w:p>
            <w:pPr>
              <w:jc w:val="center"/>
            </w:pPr>
            <w:r>
              <w:rPr>
                <w:b/>
                <w:sz w:val="19"/>
              </w:rPr>
              <w:t>EL RESPONSABLE</w:t>
            </w:r>
          </w:p>
        </w:tc>
      </w:tr>
      <w:tr>
        <w:tc>
          <w:tcPr>
            <w:tcW w:type="dxa" w:w="4618"/>
          </w:tcPr>
          <w:p>
            <w:pPr>
              <w:jc w:val="center"/>
            </w:pPr>
            <w:r>
              <w:rPr>
                <w:color w:val="555F6D"/>
                <w:sz w:val="17"/>
              </w:rPr>
              <w:t>Nombre y cargo</w:t>
            </w:r>
          </w:p>
        </w:tc>
        <w:tc>
          <w:tcPr>
            <w:tcW w:type="dxa" w:w="4618"/>
          </w:tcPr>
          <w:p>
            <w:pPr>
              <w:jc w:val="center"/>
            </w:pPr>
            <w:r>
              <w:rPr>
                <w:color w:val="555F6D"/>
                <w:sz w:val="17"/>
              </w:rPr>
              <w:t>Nombre y cargo</w:t>
            </w:r>
          </w:p>
        </w:tc>
      </w:tr>
    </w:tbl>
    <w:p/>
    <w:p>
      <w:r>
        <w:rPr>
          <w:b/>
        </w:rPr>
        <w:t>Testigos</w:t>
      </w:r>
    </w:p>
    <w:p/>
    <w:tbl>
      <w:tblPr>
        <w:tblW w:type="auto" w:w="0"/>
        <w:tblLayout w:type="autofit"/>
        <w:tblLook w:firstColumn="1" w:firstRow="1" w:lastColumn="0" w:lastRow="0" w:noHBand="0" w:noVBand="1" w:val="04A0"/>
      </w:tblPr>
      <w:tblGrid>
        <w:gridCol w:w="4618"/>
        <w:gridCol w:w="4618"/>
      </w:tblGrid>
      <w:tr>
        <w:tc>
          <w:tcPr>
            <w:tcW w:type="dxa" w:w="4618"/>
          </w:tcPr>
          <w:p>
            <w:pPr>
              <w:jc w:val="center"/>
            </w:pPr>
            <w:r>
              <w:t>____________________________</w:t>
            </w:r>
          </w:p>
        </w:tc>
        <w:tc>
          <w:tcPr>
            <w:tcW w:type="dxa" w:w="4618"/>
          </w:tcPr>
          <w:p>
            <w:pPr>
              <w:jc w:val="center"/>
            </w:pPr>
            <w:r>
              <w:t>____________________________</w:t>
            </w:r>
          </w:p>
        </w:tc>
      </w:tr>
      <w:tr>
        <w:tc>
          <w:tcPr>
            <w:tcW w:type="dxa" w:w="4618"/>
          </w:tcPr>
          <w:p>
            <w:pPr>
              <w:jc w:val="center"/>
            </w:pPr>
            <w:r>
              <w:rPr>
                <w:b/>
                <w:sz w:val="19"/>
              </w:rPr>
              <w:t>Testigo 1</w:t>
            </w:r>
          </w:p>
        </w:tc>
        <w:tc>
          <w:tcPr>
            <w:tcW w:type="dxa" w:w="4618"/>
          </w:tcPr>
          <w:p>
            <w:pPr>
              <w:jc w:val="center"/>
            </w:pPr>
            <w:r>
              <w:rPr>
                <w:b/>
                <w:sz w:val="19"/>
              </w:rPr>
              <w:t>Testigo 2</w:t>
            </w:r>
          </w:p>
        </w:tc>
      </w:tr>
      <w:tr>
        <w:tc>
          <w:tcPr>
            <w:tcW w:type="dxa" w:w="4618"/>
          </w:tcPr>
          <w:p>
            <w:pPr>
              <w:jc w:val="center"/>
            </w:pPr>
            <w:r>
              <w:rPr>
                <w:color w:val="555F6D"/>
                <w:sz w:val="17"/>
              </w:rPr>
              <w:t>Nombre y cargo</w:t>
            </w:r>
          </w:p>
        </w:tc>
        <w:tc>
          <w:tcPr>
            <w:tcW w:type="dxa" w:w="4618"/>
          </w:tcPr>
          <w:p>
            <w:pPr>
              <w:jc w:val="center"/>
            </w:pPr>
            <w:r>
              <w:rPr>
                <w:color w:val="555F6D"/>
                <w:sz w:val="17"/>
              </w:rPr>
              <w:t>Nombre y cargo</w:t>
            </w:r>
          </w:p>
        </w:tc>
      </w:tr>
    </w:tbl>
    <w:p/>
    <w:sectPr w:rsidR="00FC693F" w:rsidRPr="0006063C" w:rsidSect="00034616">
      <w:footerReference w:type="default" r:id="rId9"/>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18" w:val="center"/>
        <w:tab w:pos="9236" w:val="right"/>
      </w:tabs>
    </w:pPr>
    <w:r/>
    <w:r>
      <w:rPr>
        <w:color w:val="555F6D"/>
        <w:sz w:val="16"/>
      </w:rPr>
      <w:t>Contrato de Encargo de Tratamiento de Datos Personales · Chekdor</w:t>
    </w:r>
    <w:r>
      <w:tab/>
      <w:tab/>
    </w:r>
    <w:r>
      <w:rPr>
        <w:color w:val="555F6D"/>
        <w:sz w:val="16"/>
      </w:rPr>
      <w:t xml:space="preserve">Página </w:t>
    </w:r>
    <w:r>
      <w:rPr>
        <w:color w:val="555F6D"/>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D4ED8"/>
      <w:sz w:val="2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11111"/>
      <w:sz w:val="23"/>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555F6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