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0E3A5F"/>
          <w:spacing w:val="30"/>
          <w:sz w:val="30"/>
          <w:szCs w:val="30"/>
        </w:rPr>
        <w:t xml:space="preserve">MAKASSED GENERAL HOSPITAL</w:t>
      </w:r>
    </w:p>
    <w:p>
      <w:pPr>
        <w:spacing w:after="520"/>
      </w:pPr>
      <w:r>
        <w:rPr>
          <w:rFonts w:ascii="Arial" w:cs="Arial" w:eastAsia="Arial" w:hAnsi="Arial"/>
          <w:color w:val="6B7B8A"/>
          <w:spacing w:val="24"/>
          <w:sz w:val="20"/>
          <w:szCs w:val="20"/>
        </w:rPr>
        <w:t xml:space="preserve">DEPARTMENT OF LABORATORY MEDICINE</w:t>
      </w:r>
    </w:p>
    <w:p>
      <w:pPr>
        <w:pBdr>
          <w:bottom w:val="single" w:color="AD1457" w:sz="14" w:space="8"/>
        </w:pBdr>
        <w:spacing w:after="260"/>
      </w:pPr>
      <w:r>
        <w:rPr>
          <w:rFonts w:ascii="Arial" w:cs="Arial" w:eastAsia="Arial" w:hAnsi="Arial"/>
          <w:b/>
          <w:bCs/>
          <w:color w:val="1B2A38"/>
          <w:sz w:val="56"/>
          <w:szCs w:val="56"/>
        </w:rPr>
        <w:t xml:space="preserve">Clinical Pathology Residency</w:t>
      </w:r>
    </w:p>
    <w:p>
      <w:pPr>
        <w:spacing w:after="120"/>
      </w:pPr>
      <w:r>
        <w:rPr>
          <w:rFonts w:ascii="Arial" w:cs="Arial" w:eastAsia="Arial" w:hAnsi="Arial"/>
          <w:color w:val="0E3A5F"/>
          <w:sz w:val="36"/>
          <w:szCs w:val="36"/>
        </w:rPr>
        <w:t xml:space="preserve">High-Yield Lecture Curriculum</w:t>
      </w:r>
    </w:p>
    <w:p>
      <w:pPr>
        <w:spacing w:after="60"/>
      </w:pPr>
      <w:r>
        <w:rPr>
          <w:rFonts w:ascii="Arial" w:cs="Arial" w:eastAsia="Arial" w:hAnsi="Arial"/>
          <w:i/>
          <w:iCs/>
          <w:color w:val="33444F"/>
          <w:sz w:val="22"/>
          <w:szCs w:val="22"/>
        </w:rPr>
        <w:t xml:space="preserve">A 34-lecture, case-based program across seven clinical pathology domains,</w:t>
      </w:r>
    </w:p>
    <w:p>
      <w:pPr>
        <w:spacing w:after="520"/>
      </w:pPr>
      <w:r>
        <w:rPr>
          <w:rFonts w:ascii="Arial" w:cs="Arial" w:eastAsia="Arial" w:hAnsi="Arial"/>
          <w:i/>
          <w:iCs/>
          <w:color w:val="33444F"/>
          <w:sz w:val="22"/>
          <w:szCs w:val="22"/>
        </w:rPr>
        <w:t xml:space="preserve">built on the department’s own teaching repository and current professional standards.</w:t>
      </w:r>
    </w:p>
    <w:p>
      <w:pPr>
        <w:spacing w:after="30"/>
      </w:pPr>
      <w:r>
        <w:rPr>
          <w:rFonts w:ascii="Arial" w:cs="Arial" w:eastAsia="Arial" w:hAnsi="Arial"/>
          <w:color w:val="6B7B8A"/>
          <w:spacing w:val="10"/>
          <w:sz w:val="18"/>
          <w:szCs w:val="18"/>
        </w:rPr>
        <w:t xml:space="preserve">Prepared for</w:t>
      </w:r>
    </w:p>
    <w:p>
      <w:pPr>
        <w:spacing w:after="20"/>
      </w:pPr>
      <w:r>
        <w:rPr>
          <w:rFonts w:ascii="Arial" w:cs="Arial" w:eastAsia="Arial" w:hAnsi="Arial"/>
          <w:b/>
          <w:bCs/>
          <w:color w:val="1B2A38"/>
          <w:sz w:val="26"/>
          <w:szCs w:val="26"/>
        </w:rPr>
        <w:t xml:space="preserve">Dr. Tamima El-Jisr</w:t>
      </w:r>
    </w:p>
    <w:p>
      <w:pPr>
        <w:spacing w:after="6"/>
      </w:pPr>
      <w:r>
        <w:rPr>
          <w:rFonts w:ascii="Arial" w:cs="Arial" w:eastAsia="Arial" w:hAnsi="Arial"/>
          <w:color w:val="33444F"/>
          <w:sz w:val="21"/>
          <w:szCs w:val="21"/>
        </w:rPr>
        <w:t xml:space="preserve">Chairperson, Department of Laboratory Medicine</w:t>
      </w:r>
    </w:p>
    <w:p>
      <w:pPr>
        <w:spacing w:after="0"/>
      </w:pPr>
      <w:r>
        <w:rPr>
          <w:rFonts w:ascii="Arial" w:cs="Arial" w:eastAsia="Arial" w:hAnsi="Arial"/>
          <w:color w:val="33444F"/>
          <w:sz w:val="21"/>
          <w:szCs w:val="21"/>
        </w:rPr>
        <w:t xml:space="preserve">Makassed General Hospital, Beirut</w:t>
      </w:r>
    </w:p>
    <w:p>
      <w:r>
        <w:br w:type="page"/>
      </w:r>
    </w:p>
    <w:p>
      <w:pPr>
        <w:pStyle w:val="Heading1"/>
        <w:spacing w:after="160" w:before="260"/>
      </w:pPr>
      <w:r>
        <w:rPr>
          <w:rFonts w:ascii="Arial" w:cs="Arial" w:eastAsia="Arial" w:hAnsi="Arial"/>
          <w:b/>
          <w:bCs/>
          <w:color w:val="0E3A5F"/>
          <w:sz w:val="32"/>
          <w:szCs w:val="32"/>
        </w:rPr>
        <w:t xml:space="preserve">About This Curriculum</w:t>
      </w:r>
    </w:p>
    <w:p>
      <w:pPr>
        <w:spacing w:after="120" w:before="0" w:line="276"/>
      </w:pPr>
      <w:r>
        <w:rPr>
          <w:rFonts w:ascii="Arial" w:cs="Arial" w:eastAsia="Arial" w:hAnsi="Arial"/>
          <w:color w:val="33444F"/>
          <w:sz w:val="22"/>
          <w:szCs w:val="22"/>
        </w:rPr>
        <w:t xml:space="preserve">This curriculum organizes clinical pathology didactics into </w:t>
      </w:r>
      <w:r>
        <w:rPr>
          <w:rFonts w:ascii="Arial" w:cs="Arial" w:eastAsia="Arial" w:hAnsi="Arial"/>
          <w:b/>
          <w:bCs/>
          <w:color w:val="33444F"/>
          <w:sz w:val="22"/>
          <w:szCs w:val="22"/>
        </w:rPr>
        <w:t xml:space="preserve">seven subspecialty blocks and 34 high-yield lectures</w:t>
      </w:r>
      <w:r>
        <w:rPr>
          <w:rFonts w:ascii="Arial" w:cs="Arial" w:eastAsia="Arial" w:hAnsi="Arial"/>
          <w:color w:val="33444F"/>
          <w:sz w:val="22"/>
          <w:szCs w:val="22"/>
        </w:rPr>
        <w:t xml:space="preserve">, each designed as a 45–60 minute, case-based session. The emphasis is the work residents actually do on service: test selection and interpretation, laboratory stewardship, troubleshooting, and consultative practice — not exhaustive theory.</w:t>
      </w:r>
    </w:p>
    <w:p>
      <w:pPr>
        <w:spacing w:after="40" w:before="120"/>
      </w:pPr>
      <w:r>
        <w:rPr>
          <w:rFonts w:ascii="Arial" w:cs="Arial" w:eastAsia="Arial" w:hAnsi="Arial"/>
          <w:b/>
          <w:bCs/>
          <w:color w:val="AD1457"/>
          <w:spacing w:val="14"/>
          <w:sz w:val="18"/>
          <w:szCs w:val="18"/>
        </w:rPr>
        <w:t xml:space="preserve">HOW IT IS BUILT</w:t>
      </w:r>
    </w:p>
    <w:p>
      <w:pPr>
        <w:spacing w:after="120" w:before="0" w:line="276"/>
      </w:pPr>
      <w:r>
        <w:rPr>
          <w:rFonts w:ascii="Arial" w:cs="Arial" w:eastAsia="Arial" w:hAnsi="Arial"/>
          <w:color w:val="33444F"/>
          <w:sz w:val="22"/>
          <w:szCs w:val="22"/>
        </w:rPr>
        <w:t xml:space="preserve">Every lecture is mapped to source material already in the department’s teaching repository — the same indexed library of 1,600+ files catalogued in the Clinical Pathology dashboard. Each lecture specification below lists the specific repository documents (resident lectures, reference-text chapters, rotation handouts) that supply its substance. Where the repository is thin on a topic (for example, parts of immunology/serology and molecular variant interpretation), the content is completed from current professional standards and flagged as a gap to develop locally.</w:t>
      </w:r>
    </w:p>
    <w:p>
      <w:pPr>
        <w:spacing w:after="40" w:before="120"/>
      </w:pPr>
      <w:r>
        <w:rPr>
          <w:rFonts w:ascii="Arial" w:cs="Arial" w:eastAsia="Arial" w:hAnsi="Arial"/>
          <w:b/>
          <w:bCs/>
          <w:color w:val="AD1457"/>
          <w:spacing w:val="14"/>
          <w:sz w:val="18"/>
          <w:szCs w:val="18"/>
        </w:rPr>
        <w:t xml:space="preserve">CONTENT STANDARDS</w:t>
      </w:r>
    </w:p>
    <w:p>
      <w:pPr>
        <w:spacing w:after="120" w:before="0" w:line="276"/>
      </w:pPr>
      <w:r>
        <w:rPr>
          <w:rFonts w:ascii="Arial" w:cs="Arial" w:eastAsia="Arial" w:hAnsi="Arial"/>
          <w:color w:val="33444F"/>
          <w:sz w:val="22"/>
          <w:szCs w:val="22"/>
        </w:rPr>
        <w:t xml:space="preserve">Material is reconciled against current authorities including the AABB Technical Manual and Standards, CLSI guidelines, CAP/CLIA requirements, WHO classifications, and consensus definitions (e.g., the 2019 TRALI redefinition and 2018 ISBT TACO criteria). All diagrams and algorithms in the slide decks are original and drawn for this series.</w:t>
      </w:r>
    </w:p>
    <w:p>
      <w:pPr>
        <w:spacing w:after="40" w:before="120"/>
      </w:pPr>
      <w:r>
        <w:rPr>
          <w:rFonts w:ascii="Arial" w:cs="Arial" w:eastAsia="Arial" w:hAnsi="Arial"/>
          <w:b/>
          <w:bCs/>
          <w:color w:val="AD1457"/>
          <w:spacing w:val="14"/>
          <w:sz w:val="18"/>
          <w:szCs w:val="18"/>
        </w:rPr>
        <w:t xml:space="preserve">REPEATED LECTURE FRAMEWORK</w:t>
      </w:r>
    </w:p>
    <w:p>
      <w:pPr>
        <w:spacing w:after="120" w:before="0" w:line="276"/>
      </w:pPr>
      <w:r>
        <w:rPr>
          <w:rFonts w:ascii="Arial" w:cs="Arial" w:eastAsia="Arial" w:hAnsi="Arial"/>
          <w:color w:val="33444F"/>
          <w:sz w:val="22"/>
          <w:szCs w:val="22"/>
        </w:rPr>
        <w:t xml:space="preserve">Each block follows the same arc — </w:t>
      </w:r>
      <w:r>
        <w:rPr>
          <w:rFonts w:ascii="Arial" w:cs="Arial" w:eastAsia="Arial" w:hAnsi="Arial"/>
          <w:b/>
          <w:bCs/>
          <w:color w:val="33444F"/>
          <w:sz w:val="22"/>
          <w:szCs w:val="22"/>
        </w:rPr>
        <w:t xml:space="preserve">fundamentals → methodology → interpretation → pitfalls → case application</w:t>
      </w:r>
      <w:r>
        <w:rPr>
          <w:rFonts w:ascii="Arial" w:cs="Arial" w:eastAsia="Arial" w:hAnsi="Arial"/>
          <w:color w:val="33444F"/>
          <w:sz w:val="22"/>
          <w:szCs w:val="22"/>
        </w:rPr>
        <w:t xml:space="preserve"> — so residents move from memorization toward consultative judgment.</w:t>
      </w:r>
    </w:p>
    <w:p>
      <w:pPr>
        <w:spacing w:after="120" w:before="0" w:line="276"/>
      </w:pPr>
      <w:r>
        <w:rPr>
          <w:rFonts w:ascii="Arial" w:cs="Arial" w:eastAsia="Arial" w:hAnsi="Arial"/>
          <w:color w:val="33444F"/>
          <w:sz w:val="22"/>
          <w:szCs w:val="22"/>
        </w:rPr>
        <w:t xml:space="preserve">Each session is structured as: </w:t>
      </w:r>
      <w:r>
        <w:rPr>
          <w:rFonts w:ascii="Arial" w:cs="Arial" w:eastAsia="Arial" w:hAnsi="Arial"/>
          <w:b/>
          <w:bCs/>
          <w:color w:val="33444F"/>
          <w:sz w:val="22"/>
          <w:szCs w:val="22"/>
        </w:rPr>
        <w:t xml:space="preserve">10 min</w:t>
      </w:r>
      <w:r>
        <w:rPr>
          <w:rFonts w:ascii="Arial" w:cs="Arial" w:eastAsia="Arial" w:hAnsi="Arial"/>
          <w:color w:val="33444F"/>
          <w:sz w:val="22"/>
          <w:szCs w:val="22"/>
        </w:rPr>
        <w:t xml:space="preserve"> core concepts · </w:t>
      </w:r>
      <w:r>
        <w:rPr>
          <w:rFonts w:ascii="Arial" w:cs="Arial" w:eastAsia="Arial" w:hAnsi="Arial"/>
          <w:b/>
          <w:bCs/>
          <w:color w:val="33444F"/>
          <w:sz w:val="22"/>
          <w:szCs w:val="22"/>
        </w:rPr>
        <w:t xml:space="preserve">20 min</w:t>
      </w:r>
      <w:r>
        <w:rPr>
          <w:rFonts w:ascii="Arial" w:cs="Arial" w:eastAsia="Arial" w:hAnsi="Arial"/>
          <w:color w:val="33444F"/>
          <w:sz w:val="22"/>
          <w:szCs w:val="22"/>
        </w:rPr>
        <w:t xml:space="preserve"> interpretive framework or algorithm · </w:t>
      </w:r>
      <w:r>
        <w:rPr>
          <w:rFonts w:ascii="Arial" w:cs="Arial" w:eastAsia="Arial" w:hAnsi="Arial"/>
          <w:b/>
          <w:bCs/>
          <w:color w:val="33444F"/>
          <w:sz w:val="22"/>
          <w:szCs w:val="22"/>
        </w:rPr>
        <w:t xml:space="preserve">15 min</w:t>
      </w:r>
      <w:r>
        <w:rPr>
          <w:rFonts w:ascii="Arial" w:cs="Arial" w:eastAsia="Arial" w:hAnsi="Arial"/>
          <w:color w:val="33444F"/>
          <w:sz w:val="22"/>
          <w:szCs w:val="22"/>
        </w:rPr>
        <w:t xml:space="preserve"> real cases with pitfalls · </w:t>
      </w:r>
      <w:r>
        <w:rPr>
          <w:rFonts w:ascii="Arial" w:cs="Arial" w:eastAsia="Arial" w:hAnsi="Arial"/>
          <w:b/>
          <w:bCs/>
          <w:color w:val="33444F"/>
          <w:sz w:val="22"/>
          <w:szCs w:val="22"/>
        </w:rPr>
        <w:t xml:space="preserve">5–10 min</w:t>
      </w:r>
      <w:r>
        <w:rPr>
          <w:rFonts w:ascii="Arial" w:cs="Arial" w:eastAsia="Arial" w:hAnsi="Arial"/>
          <w:color w:val="33444F"/>
          <w:sz w:val="22"/>
          <w:szCs w:val="22"/>
        </w:rPr>
        <w:t xml:space="preserve"> board-style review.</w:t>
      </w:r>
    </w:p>
    <w:p>
      <w:r>
        <w:br w:type="page"/>
      </w:r>
    </w:p>
    <w:p>
      <w:pPr>
        <w:pStyle w:val="Heading1"/>
        <w:spacing w:after="160" w:before="260"/>
      </w:pPr>
      <w:r>
        <w:rPr>
          <w:rFonts w:ascii="Arial" w:cs="Arial" w:eastAsia="Arial" w:hAnsi="Arial"/>
          <w:b/>
          <w:bCs/>
          <w:color w:val="0E3A5F"/>
          <w:sz w:val="32"/>
          <w:szCs w:val="32"/>
        </w:rPr>
        <w:t xml:space="preserve">Curriculum at a Glance</w:t>
      </w:r>
    </w:p>
    <w:p>
      <w:pPr>
        <w:spacing w:after="140" w:before="0" w:line="276"/>
      </w:pPr>
      <w:r>
        <w:rPr>
          <w:rFonts w:ascii="Arial" w:cs="Arial" w:eastAsia="Arial" w:hAnsi="Arial"/>
          <w:i/>
          <w:iCs/>
          <w:color w:val="6B7B8A"/>
          <w:sz w:val="20"/>
          <w:szCs w:val="20"/>
        </w:rPr>
        <w:t xml:space="preserve">Thirty-four sessions across seven blocks. Each lecture has a matching slide deck (filename shown).</w:t>
      </w:r>
    </w:p>
    <w:tbl>
      <w:tblPr>
        <w:tblW w:type="dxa" w:w="9360"/>
        <w:tblBorders>
          <w:top w:val="single" w:color="C9D4DE" w:sz="1"/>
          <w:left w:val="single" w:color="C9D4DE" w:sz="1"/>
          <w:bottom w:val="single" w:color="C9D4DE" w:sz="1"/>
          <w:right w:val="single" w:color="C9D4DE" w:sz="1"/>
          <w:insideH w:val="single" w:color="C9D4DE" w:sz="1"/>
          <w:insideV w:val="single" w:color="C9D4DE" w:sz="1"/>
        </w:tblBorders>
      </w:tblPr>
      <w:tblGrid>
        <w:gridCol w:w="560"/>
        <w:gridCol w:w="5200"/>
        <w:gridCol w:w="3600"/>
      </w:tblGrid>
      <w:tr>
        <w:trPr>
          <w:tblHeader/>
        </w:trP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FFFFFF"/>
                <w:sz w:val="19"/>
                <w:szCs w:val="19"/>
              </w:rPr>
              <w:t xml:space="preserve">#</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b/>
                <w:bCs/>
                <w:color w:val="FFFFFF"/>
                <w:sz w:val="19"/>
                <w:szCs w:val="19"/>
              </w:rPr>
              <w:t xml:space="preserve">Lecture</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b/>
                <w:bCs/>
                <w:color w:val="FFFFFF"/>
                <w:sz w:val="19"/>
                <w:szCs w:val="19"/>
              </w:rPr>
              <w:t xml:space="preserve">Slide deck file</w:t>
            </w:r>
          </w:p>
        </w:tc>
      </w:tr>
      <w:tr>
        <w:tc>
          <w:tcPr>
            <w:tcW w:type="dxa" w:w="9360"/>
            <w:gridSpan w:val="3"/>
            <w:shd w:fill="C62133" w:val="clear"/>
            <w:tcMar>
              <w:top w:type="dxa" w:w="50"/>
              <w:left w:type="dxa" w:w="110"/>
              <w:bottom w:type="dxa" w:w="50"/>
              <w:right w:type="dxa" w:w="110"/>
            </w:tcMar>
          </w:tcPr>
          <w:p>
            <w:r>
              <w:rPr>
                <w:rFonts w:ascii="Arial" w:cs="Arial" w:eastAsia="Arial" w:hAnsi="Arial"/>
                <w:b/>
                <w:bCs/>
                <w:color w:val="FFFFFF"/>
                <w:spacing w:val="6"/>
                <w:sz w:val="19"/>
                <w:szCs w:val="19"/>
              </w:rPr>
              <w:t xml:space="preserve">HEMATOLOGY &amp; COAGULATION   ·   5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C62133"/>
                <w:sz w:val="20"/>
                <w:szCs w:val="20"/>
              </w:rPr>
              <w:t xml:space="preserve">1</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CBC and Peripheral Smear Interpretation</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Heme_01.pptx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C62133"/>
                <w:sz w:val="20"/>
                <w:szCs w:val="20"/>
              </w:rPr>
              <w:t xml:space="preserve">2</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Anemia Workup and Red Cell Disorders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Heme_02.pptx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C62133"/>
                <w:sz w:val="20"/>
                <w:szCs w:val="20"/>
              </w:rPr>
              <w:t xml:space="preserve">3</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Leukocytosis, Cytopenias, and Acute Leukemia Screening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Heme_03.pptx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C62133"/>
                <w:sz w:val="20"/>
                <w:szCs w:val="20"/>
              </w:rPr>
              <w:t xml:space="preserve">4</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Platelet Disorders and Thrombocytopenia</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Heme_04.pptx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C62133"/>
                <w:sz w:val="20"/>
                <w:szCs w:val="20"/>
              </w:rPr>
              <w:t xml:space="preserve">5</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Coagulation Testing and Bleeding / Thrombosis Evaluation</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Coag_05.pptx</w:t>
            </w:r>
          </w:p>
        </w:tc>
      </w:tr>
      <w:tr>
        <w:tc>
          <w:tcPr>
            <w:tcW w:type="dxa" w:w="9360"/>
            <w:gridSpan w:val="3"/>
            <w:shd w:fill="AD1457" w:val="clear"/>
            <w:tcMar>
              <w:top w:type="dxa" w:w="50"/>
              <w:left w:type="dxa" w:w="110"/>
              <w:bottom w:type="dxa" w:w="50"/>
              <w:right w:type="dxa" w:w="110"/>
            </w:tcMar>
          </w:tcPr>
          <w:p>
            <w:r>
              <w:rPr>
                <w:rFonts w:ascii="Arial" w:cs="Arial" w:eastAsia="Arial" w:hAnsi="Arial"/>
                <w:b/>
                <w:bCs/>
                <w:color w:val="FFFFFF"/>
                <w:spacing w:val="6"/>
                <w:sz w:val="19"/>
                <w:szCs w:val="19"/>
              </w:rPr>
              <w:t xml:space="preserve">TRANSFUSION MEDICINE   ·   5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AD1457"/>
                <w:sz w:val="20"/>
                <w:szCs w:val="20"/>
              </w:rPr>
              <w:t xml:space="preserve">6</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ABO/Rh, Antibody Screen, and Compatibility Testing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Trans_01.pptx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AD1457"/>
                <w:sz w:val="20"/>
                <w:szCs w:val="20"/>
              </w:rPr>
              <w:t xml:space="preserve">7</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Antibody Identification and Complex Serology</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Trans_02.pptx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AD1457"/>
                <w:sz w:val="20"/>
                <w:szCs w:val="20"/>
              </w:rPr>
              <w:t xml:space="preserve">8</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Transfusion Reactions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Trans_03.pptx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AD1457"/>
                <w:sz w:val="20"/>
                <w:szCs w:val="20"/>
              </w:rPr>
              <w:t xml:space="preserve">9</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Component Therapy and Massive Transfusion</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Trans_04.pptx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AD1457"/>
                <w:sz w:val="20"/>
                <w:szCs w:val="20"/>
              </w:rPr>
              <w:t xml:space="preserve">10</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Special Topics in Blood Bank</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Trans_05.pptx</w:t>
            </w:r>
          </w:p>
        </w:tc>
      </w:tr>
      <w:tr>
        <w:tc>
          <w:tcPr>
            <w:tcW w:type="dxa" w:w="9360"/>
            <w:gridSpan w:val="3"/>
            <w:shd w:fill="1565C0" w:val="clear"/>
            <w:tcMar>
              <w:top w:type="dxa" w:w="50"/>
              <w:left w:type="dxa" w:w="110"/>
              <w:bottom w:type="dxa" w:w="50"/>
              <w:right w:type="dxa" w:w="110"/>
            </w:tcMar>
          </w:tcPr>
          <w:p>
            <w:r>
              <w:rPr>
                <w:rFonts w:ascii="Arial" w:cs="Arial" w:eastAsia="Arial" w:hAnsi="Arial"/>
                <w:b/>
                <w:bCs/>
                <w:color w:val="FFFFFF"/>
                <w:spacing w:val="6"/>
                <w:sz w:val="19"/>
                <w:szCs w:val="19"/>
              </w:rPr>
              <w:t xml:space="preserve">CLINICAL CHEMISTRY   ·   5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1565C0"/>
                <w:sz w:val="20"/>
                <w:szCs w:val="20"/>
              </w:rPr>
              <w:t xml:space="preserve">11</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Analytic Techniques and Preanalytic / Analytic Error</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Chem_01.pptx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1565C0"/>
                <w:sz w:val="20"/>
                <w:szCs w:val="20"/>
              </w:rPr>
              <w:t xml:space="preserve">12</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Electrolytes, Osmolality, and Acid–Base Interpretation</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Chem_02.pptx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1565C0"/>
                <w:sz w:val="20"/>
                <w:szCs w:val="20"/>
              </w:rPr>
              <w:t xml:space="preserve">13</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Renal, Liver, and Cardiac Biomarkers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Chem_03.pptx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1565C0"/>
                <w:sz w:val="20"/>
                <w:szCs w:val="20"/>
              </w:rPr>
              <w:t xml:space="preserve">14</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Endocrine and Protein Testing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Chem_04.pptx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1565C0"/>
                <w:sz w:val="20"/>
                <w:szCs w:val="20"/>
              </w:rPr>
              <w:t xml:space="preserve">15</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Toxicology, TDM, and Point-of-Care Testing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Chem_05.pptx</w:t>
            </w:r>
          </w:p>
        </w:tc>
      </w:tr>
      <w:tr>
        <w:tc>
          <w:tcPr>
            <w:tcW w:type="dxa" w:w="9360"/>
            <w:gridSpan w:val="3"/>
            <w:shd w:fill="2E7D32" w:val="clear"/>
            <w:tcMar>
              <w:top w:type="dxa" w:w="50"/>
              <w:left w:type="dxa" w:w="110"/>
              <w:bottom w:type="dxa" w:w="50"/>
              <w:right w:type="dxa" w:w="110"/>
            </w:tcMar>
          </w:tcPr>
          <w:p>
            <w:r>
              <w:rPr>
                <w:rFonts w:ascii="Arial" w:cs="Arial" w:eastAsia="Arial" w:hAnsi="Arial"/>
                <w:b/>
                <w:bCs/>
                <w:color w:val="FFFFFF"/>
                <w:spacing w:val="6"/>
                <w:sz w:val="19"/>
                <w:szCs w:val="19"/>
              </w:rPr>
              <w:t xml:space="preserve">MICROBIOLOGY   ·   5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2E7D32"/>
                <w:sz w:val="20"/>
                <w:szCs w:val="20"/>
              </w:rPr>
              <w:t xml:space="preserve">16</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Specimen Selection, Collection, and Rejection Criteria</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Micro_01.pptx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2E7D32"/>
                <w:sz w:val="20"/>
                <w:szCs w:val="20"/>
              </w:rPr>
              <w:t xml:space="preserve">17</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Gram Stain, Culture Workflows, and Organism Identification</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Micro_02.pptx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2E7D32"/>
                <w:sz w:val="20"/>
                <w:szCs w:val="20"/>
              </w:rPr>
              <w:t xml:space="preserve">18</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Antimicrobial Susceptibility Testing and Reporting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Micro_03.pptx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2E7D32"/>
                <w:sz w:val="20"/>
                <w:szCs w:val="20"/>
              </w:rPr>
              <w:t xml:space="preserve">19</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Rapid Diagnostics and Molecular Microbiology</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Micro_04.pptx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2E7D32"/>
                <w:sz w:val="20"/>
                <w:szCs w:val="20"/>
              </w:rPr>
              <w:t xml:space="preserve">20</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Blood Cultures, Sepsis, and Infection-Control Pearls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Micro_05.pptx</w:t>
            </w:r>
          </w:p>
        </w:tc>
      </w:tr>
      <w:tr>
        <w:tc>
          <w:tcPr>
            <w:tcW w:type="dxa" w:w="9360"/>
            <w:gridSpan w:val="3"/>
            <w:shd w:fill="6A1B9A" w:val="clear"/>
            <w:tcMar>
              <w:top w:type="dxa" w:w="50"/>
              <w:left w:type="dxa" w:w="110"/>
              <w:bottom w:type="dxa" w:w="50"/>
              <w:right w:type="dxa" w:w="110"/>
            </w:tcMar>
          </w:tcPr>
          <w:p>
            <w:r>
              <w:rPr>
                <w:rFonts w:ascii="Arial" w:cs="Arial" w:eastAsia="Arial" w:hAnsi="Arial"/>
                <w:b/>
                <w:bCs/>
                <w:color w:val="FFFFFF"/>
                <w:spacing w:val="6"/>
                <w:sz w:val="19"/>
                <w:szCs w:val="19"/>
              </w:rPr>
              <w:t xml:space="preserve">IMMUNOLOGY &amp; SEROLOGY   ·   4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6A1B9A"/>
                <w:sz w:val="20"/>
                <w:szCs w:val="20"/>
              </w:rPr>
              <w:t xml:space="preserve">21</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Immunoassay Principles and Test Performance</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Immuno_01.pptx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6A1B9A"/>
                <w:sz w:val="20"/>
                <w:szCs w:val="20"/>
              </w:rPr>
              <w:t xml:space="preserve">22</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Autoimmune Serology</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Immuno_02.pptx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6A1B9A"/>
                <w:sz w:val="20"/>
                <w:szCs w:val="20"/>
              </w:rPr>
              <w:t xml:space="preserve">23</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Infectious Disease Serology</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Immuno_03.pptx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6A1B9A"/>
                <w:sz w:val="20"/>
                <w:szCs w:val="20"/>
              </w:rPr>
              <w:t xml:space="preserve">24</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Allergy, Immunodeficiency, and Protein-Based Immune Testing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Immuno_04.pptx</w:t>
            </w:r>
          </w:p>
        </w:tc>
      </w:tr>
      <w:tr>
        <w:tc>
          <w:tcPr>
            <w:tcW w:type="dxa" w:w="9360"/>
            <w:gridSpan w:val="3"/>
            <w:shd w:fill="00838F" w:val="clear"/>
            <w:tcMar>
              <w:top w:type="dxa" w:w="50"/>
              <w:left w:type="dxa" w:w="110"/>
              <w:bottom w:type="dxa" w:w="50"/>
              <w:right w:type="dxa" w:w="110"/>
            </w:tcMar>
          </w:tcPr>
          <w:p>
            <w:r>
              <w:rPr>
                <w:rFonts w:ascii="Arial" w:cs="Arial" w:eastAsia="Arial" w:hAnsi="Arial"/>
                <w:b/>
                <w:bCs/>
                <w:color w:val="FFFFFF"/>
                <w:spacing w:val="6"/>
                <w:sz w:val="19"/>
                <w:szCs w:val="19"/>
              </w:rPr>
              <w:t xml:space="preserve">MOLECULAR &amp; CYTOGENETICS   ·   5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00838F"/>
                <w:sz w:val="20"/>
                <w:szCs w:val="20"/>
              </w:rPr>
              <w:t xml:space="preserve">25</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Molecular Methods for Residents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Molecular_01.pptx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00838F"/>
                <w:sz w:val="20"/>
                <w:szCs w:val="20"/>
              </w:rPr>
              <w:t xml:space="preserve">26</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Variant Interpretation and Reporting</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Molecular_02.pptx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00838F"/>
                <w:sz w:val="20"/>
                <w:szCs w:val="20"/>
              </w:rPr>
              <w:t xml:space="preserve">27</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Molecular Testing in Hematologic Malignancy</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Molecular_03.pptx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00838F"/>
                <w:sz w:val="20"/>
                <w:szCs w:val="20"/>
              </w:rPr>
              <w:t xml:space="preserve">28</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Solid Tumor and Germline Testing Fundamentals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Molecular_04.pptx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00838F"/>
                <w:sz w:val="20"/>
                <w:szCs w:val="20"/>
              </w:rPr>
              <w:t xml:space="preserve">29</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Validation, Quality Control, and Bioinformatics Essentials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Molecular_05.pptx</w:t>
            </w:r>
          </w:p>
        </w:tc>
      </w:tr>
      <w:tr>
        <w:tc>
          <w:tcPr>
            <w:tcW w:type="dxa" w:w="9360"/>
            <w:gridSpan w:val="3"/>
            <w:shd w:fill="455A64" w:val="clear"/>
            <w:tcMar>
              <w:top w:type="dxa" w:w="50"/>
              <w:left w:type="dxa" w:w="110"/>
              <w:bottom w:type="dxa" w:w="50"/>
              <w:right w:type="dxa" w:w="110"/>
            </w:tcMar>
          </w:tcPr>
          <w:p>
            <w:r>
              <w:rPr>
                <w:rFonts w:ascii="Arial" w:cs="Arial" w:eastAsia="Arial" w:hAnsi="Arial"/>
                <w:b/>
                <w:bCs/>
                <w:color w:val="FFFFFF"/>
                <w:spacing w:val="6"/>
                <w:sz w:val="19"/>
                <w:szCs w:val="19"/>
              </w:rPr>
              <w:t xml:space="preserve">LABORATORY MANAGEMENT, INFORMATICS, QUALITY &amp; SAFETY   ·   5 lectures</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455A64"/>
                <w:sz w:val="20"/>
                <w:szCs w:val="20"/>
              </w:rPr>
              <w:t xml:space="preserve">30</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Quality Management Systems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LabMgmt_01.pptx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455A64"/>
                <w:sz w:val="20"/>
                <w:szCs w:val="20"/>
              </w:rPr>
              <w:t xml:space="preserve">31</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Regulatory and Accreditation Essentials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LabMgmt_02.pptx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455A64"/>
                <w:sz w:val="20"/>
                <w:szCs w:val="20"/>
              </w:rPr>
              <w:t xml:space="preserve">32</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Patient Safety and Error Investigation</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LabMgmt_03.pptx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455A64"/>
                <w:sz w:val="20"/>
                <w:szCs w:val="20"/>
              </w:rPr>
              <w:t xml:space="preserve">33</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Laboratory Informatics and LIS Fundamentals</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LabMgmt_04.pptx</w:t>
            </w:r>
          </w:p>
        </w:tc>
      </w:tr>
      <w:tr>
        <w:tc>
          <w:tcPr>
            <w:tcW w:type="dxa" w:w="560"/>
            <w:tcMar>
              <w:top w:type="dxa" w:w="60"/>
              <w:left w:type="dxa" w:w="110"/>
              <w:bottom w:type="dxa" w:w="60"/>
              <w:right w:type="dxa" w:w="110"/>
            </w:tcMar>
            <w:vAlign w:val="center"/>
          </w:tcPr>
          <w:p>
            <w:pPr>
              <w:spacing w:after="0" w:line="248"/>
              <w:jc w:val="center"/>
            </w:pPr>
            <w:r>
              <w:rPr>
                <w:rFonts w:ascii="Arial" w:cs="Arial" w:eastAsia="Arial" w:hAnsi="Arial"/>
                <w:b/>
                <w:bCs/>
                <w:color w:val="455A64"/>
                <w:sz w:val="20"/>
                <w:szCs w:val="20"/>
              </w:rPr>
              <w:t xml:space="preserve">34</w:t>
            </w:r>
          </w:p>
        </w:tc>
        <w:tc>
          <w:tcPr>
            <w:tcW w:type="dxa" w:w="520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Utilization Management, Cost Awareness, and Leadership</w:t>
            </w:r>
          </w:p>
        </w:tc>
        <w:tc>
          <w:tcPr>
            <w:tcW w:type="dxa" w:w="3600"/>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LabMgmt_05.pptx</w:t>
            </w:r>
          </w:p>
        </w:tc>
      </w:tr>
    </w:tbl>
    <w:p>
      <w:r>
        <w:br w:type="page"/>
      </w:r>
    </w:p>
    <w:p>
      <w:pPr>
        <w:pStyle w:val="Heading1"/>
        <w:spacing w:after="60" w:before="60"/>
      </w:pPr>
      <w:r>
        <w:rPr>
          <w:rFonts w:ascii="Arial" w:cs="Arial" w:eastAsia="Arial" w:hAnsi="Arial"/>
          <w:b/>
          <w:bCs/>
          <w:color w:val="C62133"/>
          <w:sz w:val="30"/>
          <w:szCs w:val="30"/>
        </w:rPr>
        <w:t xml:space="preserve">Block 1  ·  Hematology &amp; Coagulation</w:t>
      </w:r>
    </w:p>
    <w:p>
      <w:pPr>
        <w:pBdr>
          <w:bottom w:val="single" w:color="C62133" w:sz="8" w:space="6"/>
        </w:pBdr>
        <w:spacing w:after="120"/>
      </w:pPr>
      <w:r>
        <w:rPr>
          <w:rFonts w:ascii="Arial" w:cs="Arial" w:eastAsia="Arial" w:hAnsi="Arial"/>
          <w:color w:val="6B7B8A"/>
          <w:spacing w:val="8"/>
          <w:sz w:val="19"/>
          <w:szCs w:val="19"/>
        </w:rPr>
        <w:t xml:space="preserve">5 lectures</w:t>
      </w:r>
    </w:p>
    <w:p>
      <w:pPr>
        <w:pStyle w:val="Heading3"/>
        <w:spacing w:after="40" w:before="200"/>
      </w:pPr>
      <w:r>
        <w:rPr>
          <w:rFonts w:ascii="Arial" w:cs="Arial" w:eastAsia="Arial" w:hAnsi="Arial"/>
          <w:b/>
          <w:bCs/>
          <w:color w:val="C62133"/>
          <w:sz w:val="23"/>
          <w:szCs w:val="23"/>
        </w:rPr>
        <w:t xml:space="preserve">1.  </w:t>
      </w:r>
      <w:r>
        <w:rPr>
          <w:rFonts w:ascii="Arial" w:cs="Arial" w:eastAsia="Arial" w:hAnsi="Arial"/>
          <w:b/>
          <w:bCs/>
          <w:color w:val="1B2A38"/>
          <w:sz w:val="23"/>
          <w:szCs w:val="23"/>
        </w:rPr>
        <w:t xml:space="preserve">CBC and Peripheral Smear Interpretation</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Heme_01.pptx</w:t>
      </w:r>
    </w:p>
    <w:p>
      <w:pPr>
        <w:spacing w:after="40" w:before="120"/>
      </w:pPr>
      <w:r>
        <w:rPr>
          <w:rFonts w:ascii="Arial" w:cs="Arial" w:eastAsia="Arial" w:hAnsi="Arial"/>
          <w:b/>
          <w:bCs/>
          <w:color w:val="C62133"/>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CBC indices and automated analyzer flags in clinical context.</w:t>
      </w:r>
    </w:p>
    <w:p>
      <w:pPr>
        <w:pStyle w:val="ListParagraph"/>
        <w:numPr>
          <w:ilvl w:val="0"/>
          <w:numId w:val="2"/>
        </w:numPr>
        <w:spacing w:after="50" w:line="264"/>
      </w:pPr>
      <w:r>
        <w:rPr>
          <w:rFonts w:ascii="Arial" w:cs="Arial" w:eastAsia="Arial" w:hAnsi="Arial"/>
          <w:color w:val="33444F"/>
          <w:sz w:val="21"/>
          <w:szCs w:val="21"/>
        </w:rPr>
        <w:t xml:space="preserve">State the triggers for which a manual smear review changes management.</w:t>
      </w:r>
    </w:p>
    <w:p>
      <w:pPr>
        <w:pStyle w:val="ListParagraph"/>
        <w:numPr>
          <w:ilvl w:val="0"/>
          <w:numId w:val="2"/>
        </w:numPr>
        <w:spacing w:after="50" w:line="264"/>
      </w:pPr>
      <w:r>
        <w:rPr>
          <w:rFonts w:ascii="Arial" w:cs="Arial" w:eastAsia="Arial" w:hAnsi="Arial"/>
          <w:color w:val="33444F"/>
          <w:sz w:val="21"/>
          <w:szCs w:val="21"/>
        </w:rPr>
        <w:t xml:space="preserve">Recognize high-yield red cell, white cell, and platelet morphologies.</w:t>
      </w:r>
    </w:p>
    <w:p>
      <w:pPr>
        <w:pStyle w:val="ListParagraph"/>
        <w:numPr>
          <w:ilvl w:val="0"/>
          <w:numId w:val="2"/>
        </w:numPr>
        <w:spacing w:after="50" w:line="264"/>
      </w:pPr>
      <w:r>
        <w:rPr>
          <w:rFonts w:ascii="Arial" w:cs="Arial" w:eastAsia="Arial" w:hAnsi="Arial"/>
          <w:color w:val="33444F"/>
          <w:sz w:val="21"/>
          <w:szCs w:val="21"/>
        </w:rPr>
        <w:t xml:space="preserve">Identify spurious results and their preanalytic causes.</w:t>
      </w:r>
    </w:p>
    <w:p>
      <w:pPr>
        <w:pStyle w:val="ListParagraph"/>
        <w:numPr>
          <w:ilvl w:val="0"/>
          <w:numId w:val="2"/>
        </w:numPr>
        <w:spacing w:after="50" w:line="264"/>
      </w:pPr>
      <w:r>
        <w:rPr>
          <w:rFonts w:ascii="Arial" w:cs="Arial" w:eastAsia="Arial" w:hAnsi="Arial"/>
          <w:color w:val="33444F"/>
          <w:sz w:val="21"/>
          <w:szCs w:val="21"/>
        </w:rPr>
        <w:t xml:space="preserve">Communicate urgent morphologic findings to the clinical team.</w:t>
      </w:r>
    </w:p>
    <w:p>
      <w:pPr>
        <w:spacing w:after="40" w:before="120"/>
      </w:pPr>
      <w:r>
        <w:rPr>
          <w:rFonts w:ascii="Arial" w:cs="Arial" w:eastAsia="Arial" w:hAnsi="Arial"/>
          <w:b/>
          <w:bCs/>
          <w:color w:val="C62133"/>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RBC indices (MCV, MCH, RDW) and reticulocytes</w:t>
      </w:r>
    </w:p>
    <w:p>
      <w:pPr>
        <w:pStyle w:val="ListParagraph"/>
        <w:numPr>
          <w:ilvl w:val="0"/>
          <w:numId w:val="2"/>
        </w:numPr>
        <w:spacing w:after="50" w:line="264"/>
      </w:pPr>
      <w:r>
        <w:rPr>
          <w:rFonts w:ascii="Arial" w:cs="Arial" w:eastAsia="Arial" w:hAnsi="Arial"/>
          <w:color w:val="33444F"/>
          <w:sz w:val="21"/>
          <w:szCs w:val="21"/>
        </w:rPr>
        <w:t xml:space="preserve">WBC differential and analyzer flags</w:t>
      </w:r>
    </w:p>
    <w:p>
      <w:pPr>
        <w:pStyle w:val="ListParagraph"/>
        <w:numPr>
          <w:ilvl w:val="0"/>
          <w:numId w:val="2"/>
        </w:numPr>
        <w:spacing w:after="50" w:line="264"/>
      </w:pPr>
      <w:r>
        <w:rPr>
          <w:rFonts w:ascii="Arial" w:cs="Arial" w:eastAsia="Arial" w:hAnsi="Arial"/>
          <w:color w:val="33444F"/>
          <w:sz w:val="21"/>
          <w:szCs w:val="21"/>
        </w:rPr>
        <w:t xml:space="preserve">Platelet estimate and clumping</w:t>
      </w:r>
    </w:p>
    <w:p>
      <w:pPr>
        <w:pStyle w:val="ListParagraph"/>
        <w:numPr>
          <w:ilvl w:val="0"/>
          <w:numId w:val="2"/>
        </w:numPr>
        <w:spacing w:after="50" w:line="264"/>
      </w:pPr>
      <w:r>
        <w:rPr>
          <w:rFonts w:ascii="Arial" w:cs="Arial" w:eastAsia="Arial" w:hAnsi="Arial"/>
          <w:color w:val="33444F"/>
          <w:sz w:val="21"/>
          <w:szCs w:val="21"/>
        </w:rPr>
        <w:t xml:space="preserve">Smear-review triggers and laboratory rules</w:t>
      </w:r>
    </w:p>
    <w:p>
      <w:pPr>
        <w:pStyle w:val="ListParagraph"/>
        <w:numPr>
          <w:ilvl w:val="0"/>
          <w:numId w:val="2"/>
        </w:numPr>
        <w:spacing w:after="50" w:line="264"/>
      </w:pPr>
      <w:r>
        <w:rPr>
          <w:rFonts w:ascii="Arial" w:cs="Arial" w:eastAsia="Arial" w:hAnsi="Arial"/>
          <w:color w:val="33444F"/>
          <w:sz w:val="21"/>
          <w:szCs w:val="21"/>
        </w:rPr>
        <w:t xml:space="preserve">Key morphologies: schistocytes, spherocytes, blasts, target cells</w:t>
      </w:r>
    </w:p>
    <w:p>
      <w:pPr>
        <w:pStyle w:val="ListParagraph"/>
        <w:numPr>
          <w:ilvl w:val="0"/>
          <w:numId w:val="2"/>
        </w:numPr>
        <w:spacing w:after="50" w:line="264"/>
      </w:pPr>
      <w:r>
        <w:rPr>
          <w:rFonts w:ascii="Arial" w:cs="Arial" w:eastAsia="Arial" w:hAnsi="Arial"/>
          <w:color w:val="33444F"/>
          <w:sz w:val="21"/>
          <w:szCs w:val="21"/>
        </w:rPr>
        <w:t xml:space="preserve">Critical-result morphology and reporting</w:t>
      </w:r>
    </w:p>
    <w:p>
      <w:pPr>
        <w:spacing w:after="40" w:before="120"/>
      </w:pPr>
      <w:r>
        <w:rPr>
          <w:rFonts w:ascii="Arial" w:cs="Arial" w:eastAsia="Arial" w:hAnsi="Arial"/>
          <w:b/>
          <w:bCs/>
          <w:color w:val="C62133"/>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Pseudo-abnormalities: platelet clumping, cold agglutinins, lipemia</w:t>
      </w:r>
    </w:p>
    <w:p>
      <w:pPr>
        <w:pStyle w:val="ListParagraph"/>
        <w:numPr>
          <w:ilvl w:val="0"/>
          <w:numId w:val="2"/>
        </w:numPr>
        <w:spacing w:after="50" w:line="264"/>
      </w:pPr>
      <w:r>
        <w:rPr>
          <w:rFonts w:ascii="Arial" w:cs="Arial" w:eastAsia="Arial" w:hAnsi="Arial"/>
          <w:color w:val="33444F"/>
          <w:sz w:val="21"/>
          <w:szCs w:val="21"/>
        </w:rPr>
        <w:t xml:space="preserve">Blast recognition and when to escalate</w:t>
      </w:r>
    </w:p>
    <w:p>
      <w:pPr>
        <w:pStyle w:val="ListParagraph"/>
        <w:numPr>
          <w:ilvl w:val="0"/>
          <w:numId w:val="2"/>
        </w:numPr>
        <w:spacing w:after="50" w:line="264"/>
      </w:pPr>
      <w:r>
        <w:rPr>
          <w:rFonts w:ascii="Arial" w:cs="Arial" w:eastAsia="Arial" w:hAnsi="Arial"/>
          <w:color w:val="33444F"/>
          <w:sz w:val="21"/>
          <w:szCs w:val="21"/>
        </w:rPr>
        <w:t xml:space="preserve">Schistocyte significance and the microangiopathy clue</w:t>
      </w:r>
    </w:p>
    <w:p>
      <w:pPr>
        <w:spacing w:after="40" w:before="120"/>
      </w:pPr>
      <w:r>
        <w:rPr>
          <w:rFonts w:ascii="Arial" w:cs="Arial" w:eastAsia="Arial" w:hAnsi="Arial"/>
          <w:b/>
          <w:bCs/>
          <w:color w:val="C62133"/>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A Peripheral Blood Smear</w:t>
      </w:r>
      <w:r>
        <w:rPr>
          <w:rFonts w:ascii="Arial" w:cs="Arial" w:eastAsia="Arial" w:hAnsi="Arial"/>
          <w:i/>
          <w:iCs/>
          <w:color w:val="6B7B8A"/>
          <w:sz w:val="18"/>
          <w:szCs w:val="18"/>
        </w:rPr>
        <w:t xml:space="preserve">   (Hematopathology / Lectures)</w:t>
      </w:r>
    </w:p>
    <w:p>
      <w:pPr>
        <w:pStyle w:val="ListParagraph"/>
        <w:numPr>
          <w:ilvl w:val="0"/>
          <w:numId w:val="3"/>
        </w:numPr>
        <w:spacing w:after="50" w:line="264"/>
      </w:pPr>
      <w:r>
        <w:rPr>
          <w:rFonts w:ascii="Arial" w:cs="Arial" w:eastAsia="Arial" w:hAnsi="Arial"/>
          <w:color w:val="33444F"/>
          <w:sz w:val="20"/>
          <w:szCs w:val="20"/>
        </w:rPr>
        <w:t xml:space="preserve">Peripheral blood cell morphology</w:t>
      </w:r>
      <w:r>
        <w:rPr>
          <w:rFonts w:ascii="Arial" w:cs="Arial" w:eastAsia="Arial" w:hAnsi="Arial"/>
          <w:i/>
          <w:iCs/>
          <w:color w:val="6B7B8A"/>
          <w:sz w:val="18"/>
          <w:szCs w:val="18"/>
        </w:rPr>
        <w:t xml:space="preserve">   (Hematopathology / Lectures)</w:t>
      </w:r>
    </w:p>
    <w:p>
      <w:pPr>
        <w:pStyle w:val="ListParagraph"/>
        <w:numPr>
          <w:ilvl w:val="0"/>
          <w:numId w:val="3"/>
        </w:numPr>
        <w:spacing w:after="50" w:line="264"/>
      </w:pPr>
      <w:r>
        <w:rPr>
          <w:rFonts w:ascii="Arial" w:cs="Arial" w:eastAsia="Arial" w:hAnsi="Arial"/>
          <w:color w:val="33444F"/>
          <w:sz w:val="20"/>
          <w:szCs w:val="20"/>
        </w:rPr>
        <w:t xml:space="preserve">Heme CP on call conference Peripheral blood smear review in malig OZB</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Barth peripheral smear analysis</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hematology basic investigations on call CP role</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heme reference ranges</w:t>
      </w:r>
      <w:r>
        <w:rPr>
          <w:rFonts w:ascii="Arial" w:cs="Arial" w:eastAsia="Arial" w:hAnsi="Arial"/>
          <w:i/>
          <w:iCs/>
          <w:color w:val="6B7B8A"/>
          <w:sz w:val="18"/>
          <w:szCs w:val="18"/>
        </w:rPr>
        <w:t xml:space="preserve">   (Hematopathology)</w:t>
      </w:r>
    </w:p>
    <w:p>
      <w:pPr>
        <w:pStyle w:val="Heading3"/>
        <w:spacing w:after="40" w:before="200"/>
      </w:pPr>
      <w:r>
        <w:rPr>
          <w:rFonts w:ascii="Arial" w:cs="Arial" w:eastAsia="Arial" w:hAnsi="Arial"/>
          <w:b/>
          <w:bCs/>
          <w:color w:val="C62133"/>
          <w:sz w:val="23"/>
          <w:szCs w:val="23"/>
        </w:rPr>
        <w:t xml:space="preserve">2.  </w:t>
      </w:r>
      <w:r>
        <w:rPr>
          <w:rFonts w:ascii="Arial" w:cs="Arial" w:eastAsia="Arial" w:hAnsi="Arial"/>
          <w:b/>
          <w:bCs/>
          <w:color w:val="1B2A38"/>
          <w:sz w:val="23"/>
          <w:szCs w:val="23"/>
        </w:rPr>
        <w:t xml:space="preserve">Anemia Workup and Red Cell Disorders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Heme_02.pptx</w:t>
      </w:r>
    </w:p>
    <w:p>
      <w:pPr>
        <w:spacing w:after="40" w:before="120"/>
      </w:pPr>
      <w:r>
        <w:rPr>
          <w:rFonts w:ascii="Arial" w:cs="Arial" w:eastAsia="Arial" w:hAnsi="Arial"/>
          <w:b/>
          <w:bCs/>
          <w:color w:val="C62133"/>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Apply an MCV-based algorithm to micro-, normo-, and macrocytic anemia.</w:t>
      </w:r>
    </w:p>
    <w:p>
      <w:pPr>
        <w:pStyle w:val="ListParagraph"/>
        <w:numPr>
          <w:ilvl w:val="0"/>
          <w:numId w:val="2"/>
        </w:numPr>
        <w:spacing w:after="50" w:line="264"/>
      </w:pPr>
      <w:r>
        <w:rPr>
          <w:rFonts w:ascii="Arial" w:cs="Arial" w:eastAsia="Arial" w:hAnsi="Arial"/>
          <w:color w:val="33444F"/>
          <w:sz w:val="21"/>
          <w:szCs w:val="21"/>
        </w:rPr>
        <w:t xml:space="preserve">Interpret iron studies and distinguish IDA, ACD, and thalassemia trait.</w:t>
      </w:r>
    </w:p>
    <w:p>
      <w:pPr>
        <w:pStyle w:val="ListParagraph"/>
        <w:numPr>
          <w:ilvl w:val="0"/>
          <w:numId w:val="2"/>
        </w:numPr>
        <w:spacing w:after="50" w:line="264"/>
      </w:pPr>
      <w:r>
        <w:rPr>
          <w:rFonts w:ascii="Arial" w:cs="Arial" w:eastAsia="Arial" w:hAnsi="Arial"/>
          <w:color w:val="33444F"/>
          <w:sz w:val="21"/>
          <w:szCs w:val="21"/>
        </w:rPr>
        <w:t xml:space="preserve">Construct a laboratory workup for hemolysis.</w:t>
      </w:r>
    </w:p>
    <w:p>
      <w:pPr>
        <w:pStyle w:val="ListParagraph"/>
        <w:numPr>
          <w:ilvl w:val="0"/>
          <w:numId w:val="2"/>
        </w:numPr>
        <w:spacing w:after="50" w:line="264"/>
      </w:pPr>
      <w:r>
        <w:rPr>
          <w:rFonts w:ascii="Arial" w:cs="Arial" w:eastAsia="Arial" w:hAnsi="Arial"/>
          <w:color w:val="33444F"/>
          <w:sz w:val="21"/>
          <w:szCs w:val="21"/>
        </w:rPr>
        <w:t xml:space="preserve">Recognize hemoglobinopathy clues on indices and smear.</w:t>
      </w:r>
    </w:p>
    <w:p>
      <w:pPr>
        <w:pStyle w:val="ListParagraph"/>
        <w:numPr>
          <w:ilvl w:val="0"/>
          <w:numId w:val="2"/>
        </w:numPr>
        <w:spacing w:after="50" w:line="264"/>
      </w:pPr>
      <w:r>
        <w:rPr>
          <w:rFonts w:ascii="Arial" w:cs="Arial" w:eastAsia="Arial" w:hAnsi="Arial"/>
          <w:color w:val="33444F"/>
          <w:sz w:val="21"/>
          <w:szCs w:val="21"/>
        </w:rPr>
        <w:t xml:space="preserve">Avoid common interpretive pitfalls (e.g., reticulocyte response).</w:t>
      </w:r>
    </w:p>
    <w:p>
      <w:pPr>
        <w:spacing w:after="40" w:before="120"/>
      </w:pPr>
      <w:r>
        <w:rPr>
          <w:rFonts w:ascii="Arial" w:cs="Arial" w:eastAsia="Arial" w:hAnsi="Arial"/>
          <w:b/>
          <w:bCs/>
          <w:color w:val="C62133"/>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MCV-based diagnostic algorithm</w:t>
      </w:r>
    </w:p>
    <w:p>
      <w:pPr>
        <w:pStyle w:val="ListParagraph"/>
        <w:numPr>
          <w:ilvl w:val="0"/>
          <w:numId w:val="2"/>
        </w:numPr>
        <w:spacing w:after="50" w:line="264"/>
      </w:pPr>
      <w:r>
        <w:rPr>
          <w:rFonts w:ascii="Arial" w:cs="Arial" w:eastAsia="Arial" w:hAnsi="Arial"/>
          <w:color w:val="33444F"/>
          <w:sz w:val="21"/>
          <w:szCs w:val="21"/>
        </w:rPr>
        <w:t xml:space="preserve">Iron studies: ferritin, transferrin saturation, sTfR</w:t>
      </w:r>
    </w:p>
    <w:p>
      <w:pPr>
        <w:pStyle w:val="ListParagraph"/>
        <w:numPr>
          <w:ilvl w:val="0"/>
          <w:numId w:val="2"/>
        </w:numPr>
        <w:spacing w:after="50" w:line="264"/>
      </w:pPr>
      <w:r>
        <w:rPr>
          <w:rFonts w:ascii="Arial" w:cs="Arial" w:eastAsia="Arial" w:hAnsi="Arial"/>
          <w:color w:val="33444F"/>
          <w:sz w:val="21"/>
          <w:szCs w:val="21"/>
        </w:rPr>
        <w:t xml:space="preserve">Reticulocyte count and production index</w:t>
      </w:r>
    </w:p>
    <w:p>
      <w:pPr>
        <w:pStyle w:val="ListParagraph"/>
        <w:numPr>
          <w:ilvl w:val="0"/>
          <w:numId w:val="2"/>
        </w:numPr>
        <w:spacing w:after="50" w:line="264"/>
      </w:pPr>
      <w:r>
        <w:rPr>
          <w:rFonts w:ascii="Arial" w:cs="Arial" w:eastAsia="Arial" w:hAnsi="Arial"/>
          <w:color w:val="33444F"/>
          <w:sz w:val="21"/>
          <w:szCs w:val="21"/>
        </w:rPr>
        <w:t xml:space="preserve">Hemolysis panel: LDH, haptoglobin, bilirubin, DAT</w:t>
      </w:r>
    </w:p>
    <w:p>
      <w:pPr>
        <w:pStyle w:val="ListParagraph"/>
        <w:numPr>
          <w:ilvl w:val="0"/>
          <w:numId w:val="2"/>
        </w:numPr>
        <w:spacing w:after="50" w:line="264"/>
      </w:pPr>
      <w:r>
        <w:rPr>
          <w:rFonts w:ascii="Arial" w:cs="Arial" w:eastAsia="Arial" w:hAnsi="Arial"/>
          <w:color w:val="33444F"/>
          <w:sz w:val="21"/>
          <w:szCs w:val="21"/>
        </w:rPr>
        <w:t xml:space="preserve">B12 / folate and macrocytosis</w:t>
      </w:r>
    </w:p>
    <w:p>
      <w:pPr>
        <w:pStyle w:val="ListParagraph"/>
        <w:numPr>
          <w:ilvl w:val="0"/>
          <w:numId w:val="2"/>
        </w:numPr>
        <w:spacing w:after="50" w:line="264"/>
      </w:pPr>
      <w:r>
        <w:rPr>
          <w:rFonts w:ascii="Arial" w:cs="Arial" w:eastAsia="Arial" w:hAnsi="Arial"/>
          <w:color w:val="33444F"/>
          <w:sz w:val="21"/>
          <w:szCs w:val="21"/>
        </w:rPr>
        <w:t xml:space="preserve">Hemoglobinopathy screening overview</w:t>
      </w:r>
    </w:p>
    <w:p>
      <w:pPr>
        <w:spacing w:after="40" w:before="120"/>
      </w:pPr>
      <w:r>
        <w:rPr>
          <w:rFonts w:ascii="Arial" w:cs="Arial" w:eastAsia="Arial" w:hAnsi="Arial"/>
          <w:b/>
          <w:bCs/>
          <w:color w:val="C62133"/>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IDA vs ACD vs thalassemia trait (Mentzer, RDW, ferritin)</w:t>
      </w:r>
    </w:p>
    <w:p>
      <w:pPr>
        <w:pStyle w:val="ListParagraph"/>
        <w:numPr>
          <w:ilvl w:val="0"/>
          <w:numId w:val="2"/>
        </w:numPr>
        <w:spacing w:after="50" w:line="264"/>
      </w:pPr>
      <w:r>
        <w:rPr>
          <w:rFonts w:ascii="Arial" w:cs="Arial" w:eastAsia="Arial" w:hAnsi="Arial"/>
          <w:color w:val="33444F"/>
          <w:sz w:val="21"/>
          <w:szCs w:val="21"/>
        </w:rPr>
        <w:t xml:space="preserve">Intravascular vs extravascular hemolysis labs</w:t>
      </w:r>
    </w:p>
    <w:p>
      <w:pPr>
        <w:pStyle w:val="ListParagraph"/>
        <w:numPr>
          <w:ilvl w:val="0"/>
          <w:numId w:val="2"/>
        </w:numPr>
        <w:spacing w:after="50" w:line="264"/>
      </w:pPr>
      <w:r>
        <w:rPr>
          <w:rFonts w:ascii="Arial" w:cs="Arial" w:eastAsia="Arial" w:hAnsi="Arial"/>
          <w:color w:val="33444F"/>
          <w:sz w:val="21"/>
          <w:szCs w:val="21"/>
        </w:rPr>
        <w:t xml:space="preserve">Interpreting an inappropriately low reticulocyte count</w:t>
      </w:r>
    </w:p>
    <w:p>
      <w:pPr>
        <w:spacing w:after="40" w:before="120"/>
      </w:pPr>
      <w:r>
        <w:rPr>
          <w:rFonts w:ascii="Arial" w:cs="Arial" w:eastAsia="Arial" w:hAnsi="Arial"/>
          <w:b/>
          <w:bCs/>
          <w:color w:val="C62133"/>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Warm AutoImmune Hemolytic Anemia HM 02262020</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Heme Hemoglobinopathy Evaluation Keren</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Heme Hemoglobins kezlarian</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Unraveling Hemoglobinopathies Keren</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TMH S2 Hemolytic Uremic Syndrome</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Harmening 20 Autoimmune Hemolytic Anemia</w:t>
      </w:r>
      <w:r>
        <w:rPr>
          <w:rFonts w:ascii="Arial" w:cs="Arial" w:eastAsia="Arial" w:hAnsi="Arial"/>
          <w:i/>
          <w:iCs/>
          <w:color w:val="6B7B8A"/>
          <w:sz w:val="18"/>
          <w:szCs w:val="18"/>
        </w:rPr>
        <w:t xml:space="preserve">   (Transfusion Medicine / Harmening)</w:t>
      </w:r>
    </w:p>
    <w:p>
      <w:pPr>
        <w:pStyle w:val="Heading3"/>
        <w:spacing w:after="40" w:before="200"/>
      </w:pPr>
      <w:r>
        <w:rPr>
          <w:rFonts w:ascii="Arial" w:cs="Arial" w:eastAsia="Arial" w:hAnsi="Arial"/>
          <w:b/>
          <w:bCs/>
          <w:color w:val="C62133"/>
          <w:sz w:val="23"/>
          <w:szCs w:val="23"/>
        </w:rPr>
        <w:t xml:space="preserve">3.  </w:t>
      </w:r>
      <w:r>
        <w:rPr>
          <w:rFonts w:ascii="Arial" w:cs="Arial" w:eastAsia="Arial" w:hAnsi="Arial"/>
          <w:b/>
          <w:bCs/>
          <w:color w:val="1B2A38"/>
          <w:sz w:val="23"/>
          <w:szCs w:val="23"/>
        </w:rPr>
        <w:t xml:space="preserve">Leukocytosis, Cytopenias, and Acute Leukemia Screening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Heme_03.pptx</w:t>
      </w:r>
    </w:p>
    <w:p>
      <w:pPr>
        <w:spacing w:after="40" w:before="120"/>
      </w:pPr>
      <w:r>
        <w:rPr>
          <w:rFonts w:ascii="Arial" w:cs="Arial" w:eastAsia="Arial" w:hAnsi="Arial"/>
          <w:b/>
          <w:bCs/>
          <w:color w:val="C62133"/>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Evaluate leukocytosis and leukopenia with a structured differential.</w:t>
      </w:r>
    </w:p>
    <w:p>
      <w:pPr>
        <w:pStyle w:val="ListParagraph"/>
        <w:numPr>
          <w:ilvl w:val="0"/>
          <w:numId w:val="2"/>
        </w:numPr>
        <w:spacing w:after="50" w:line="264"/>
      </w:pPr>
      <w:r>
        <w:rPr>
          <w:rFonts w:ascii="Arial" w:cs="Arial" w:eastAsia="Arial" w:hAnsi="Arial"/>
          <w:color w:val="33444F"/>
          <w:sz w:val="21"/>
          <w:szCs w:val="21"/>
        </w:rPr>
        <w:t xml:space="preserve">Recognize urgent findings that demand same-day action.</w:t>
      </w:r>
    </w:p>
    <w:p>
      <w:pPr>
        <w:pStyle w:val="ListParagraph"/>
        <w:numPr>
          <w:ilvl w:val="0"/>
          <w:numId w:val="2"/>
        </w:numPr>
        <w:spacing w:after="50" w:line="264"/>
      </w:pPr>
      <w:r>
        <w:rPr>
          <w:rFonts w:ascii="Arial" w:cs="Arial" w:eastAsia="Arial" w:hAnsi="Arial"/>
          <w:color w:val="33444F"/>
          <w:sz w:val="21"/>
          <w:szCs w:val="21"/>
        </w:rPr>
        <w:t xml:space="preserve">Identify blasts and Auer rods on the smear.</w:t>
      </w:r>
    </w:p>
    <w:p>
      <w:pPr>
        <w:pStyle w:val="ListParagraph"/>
        <w:numPr>
          <w:ilvl w:val="0"/>
          <w:numId w:val="2"/>
        </w:numPr>
        <w:spacing w:after="50" w:line="264"/>
      </w:pPr>
      <w:r>
        <w:rPr>
          <w:rFonts w:ascii="Arial" w:cs="Arial" w:eastAsia="Arial" w:hAnsi="Arial"/>
          <w:color w:val="33444F"/>
          <w:sz w:val="21"/>
          <w:szCs w:val="21"/>
        </w:rPr>
        <w:t xml:space="preserve">Know when to escalate to flow cytometry and marrow examination.</w:t>
      </w:r>
    </w:p>
    <w:p>
      <w:pPr>
        <w:pStyle w:val="ListParagraph"/>
        <w:numPr>
          <w:ilvl w:val="0"/>
          <w:numId w:val="2"/>
        </w:numPr>
        <w:spacing w:after="50" w:line="264"/>
      </w:pPr>
      <w:r>
        <w:rPr>
          <w:rFonts w:ascii="Arial" w:cs="Arial" w:eastAsia="Arial" w:hAnsi="Arial"/>
          <w:color w:val="33444F"/>
          <w:sz w:val="21"/>
          <w:szCs w:val="21"/>
        </w:rPr>
        <w:t xml:space="preserve">Distinguish leukemoid reaction, CML, and acute leukemia.</w:t>
      </w:r>
    </w:p>
    <w:p>
      <w:pPr>
        <w:spacing w:after="40" w:before="120"/>
      </w:pPr>
      <w:r>
        <w:rPr>
          <w:rFonts w:ascii="Arial" w:cs="Arial" w:eastAsia="Arial" w:hAnsi="Arial"/>
          <w:b/>
          <w:bCs/>
          <w:color w:val="C62133"/>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Differential of leukocytosis and left shift</w:t>
      </w:r>
    </w:p>
    <w:p>
      <w:pPr>
        <w:pStyle w:val="ListParagraph"/>
        <w:numPr>
          <w:ilvl w:val="0"/>
          <w:numId w:val="2"/>
        </w:numPr>
        <w:spacing w:after="50" w:line="264"/>
      </w:pPr>
      <w:r>
        <w:rPr>
          <w:rFonts w:ascii="Arial" w:cs="Arial" w:eastAsia="Arial" w:hAnsi="Arial"/>
          <w:color w:val="33444F"/>
          <w:sz w:val="21"/>
          <w:szCs w:val="21"/>
        </w:rPr>
        <w:t xml:space="preserve">Pancytopenia: production vs destruction</w:t>
      </w:r>
    </w:p>
    <w:p>
      <w:pPr>
        <w:pStyle w:val="ListParagraph"/>
        <w:numPr>
          <w:ilvl w:val="0"/>
          <w:numId w:val="2"/>
        </w:numPr>
        <w:spacing w:after="50" w:line="264"/>
      </w:pPr>
      <w:r>
        <w:rPr>
          <w:rFonts w:ascii="Arial" w:cs="Arial" w:eastAsia="Arial" w:hAnsi="Arial"/>
          <w:color w:val="33444F"/>
          <w:sz w:val="21"/>
          <w:szCs w:val="21"/>
        </w:rPr>
        <w:t xml:space="preserve">Blast morphology and Auer rods</w:t>
      </w:r>
    </w:p>
    <w:p>
      <w:pPr>
        <w:pStyle w:val="ListParagraph"/>
        <w:numPr>
          <w:ilvl w:val="0"/>
          <w:numId w:val="2"/>
        </w:numPr>
        <w:spacing w:after="50" w:line="264"/>
      </w:pPr>
      <w:r>
        <w:rPr>
          <w:rFonts w:ascii="Arial" w:cs="Arial" w:eastAsia="Arial" w:hAnsi="Arial"/>
          <w:color w:val="33444F"/>
          <w:sz w:val="21"/>
          <w:szCs w:val="21"/>
        </w:rPr>
        <w:t xml:space="preserve">Acute promyelocytic leukemia as an emergency (DIC)</w:t>
      </w:r>
    </w:p>
    <w:p>
      <w:pPr>
        <w:pStyle w:val="ListParagraph"/>
        <w:numPr>
          <w:ilvl w:val="0"/>
          <w:numId w:val="2"/>
        </w:numPr>
        <w:spacing w:after="50" w:line="264"/>
      </w:pPr>
      <w:r>
        <w:rPr>
          <w:rFonts w:ascii="Arial" w:cs="Arial" w:eastAsia="Arial" w:hAnsi="Arial"/>
          <w:color w:val="33444F"/>
          <w:sz w:val="21"/>
          <w:szCs w:val="21"/>
        </w:rPr>
        <w:t xml:space="preserve">Reactive vs neoplastic lymphocytosis</w:t>
      </w:r>
    </w:p>
    <w:p>
      <w:pPr>
        <w:pStyle w:val="ListParagraph"/>
        <w:numPr>
          <w:ilvl w:val="0"/>
          <w:numId w:val="2"/>
        </w:numPr>
        <w:spacing w:after="50" w:line="264"/>
      </w:pPr>
      <w:r>
        <w:rPr>
          <w:rFonts w:ascii="Arial" w:cs="Arial" w:eastAsia="Arial" w:hAnsi="Arial"/>
          <w:color w:val="33444F"/>
          <w:sz w:val="21"/>
          <w:szCs w:val="21"/>
        </w:rPr>
        <w:t xml:space="preserve">Triggers for flow cytometry / marrow</w:t>
      </w:r>
    </w:p>
    <w:p>
      <w:pPr>
        <w:spacing w:after="40" w:before="120"/>
      </w:pPr>
      <w:r>
        <w:rPr>
          <w:rFonts w:ascii="Arial" w:cs="Arial" w:eastAsia="Arial" w:hAnsi="Arial"/>
          <w:b/>
          <w:bCs/>
          <w:color w:val="C62133"/>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APL recognition and the coagulopathy alert</w:t>
      </w:r>
    </w:p>
    <w:p>
      <w:pPr>
        <w:pStyle w:val="ListParagraph"/>
        <w:numPr>
          <w:ilvl w:val="0"/>
          <w:numId w:val="2"/>
        </w:numPr>
        <w:spacing w:after="50" w:line="264"/>
      </w:pPr>
      <w:r>
        <w:rPr>
          <w:rFonts w:ascii="Arial" w:cs="Arial" w:eastAsia="Arial" w:hAnsi="Arial"/>
          <w:color w:val="33444F"/>
          <w:sz w:val="21"/>
          <w:szCs w:val="21"/>
        </w:rPr>
        <w:t xml:space="preserve">Leukemoid reaction vs CML (LAP, BCR-ABL1)</w:t>
      </w:r>
    </w:p>
    <w:p>
      <w:pPr>
        <w:pStyle w:val="ListParagraph"/>
        <w:numPr>
          <w:ilvl w:val="0"/>
          <w:numId w:val="2"/>
        </w:numPr>
        <w:spacing w:after="50" w:line="264"/>
      </w:pPr>
      <w:r>
        <w:rPr>
          <w:rFonts w:ascii="Arial" w:cs="Arial" w:eastAsia="Arial" w:hAnsi="Arial"/>
          <w:color w:val="33444F"/>
          <w:sz w:val="21"/>
          <w:szCs w:val="21"/>
        </w:rPr>
        <w:t xml:space="preserve">Estimating blast percentage and reporting urgency</w:t>
      </w:r>
    </w:p>
    <w:p>
      <w:pPr>
        <w:spacing w:after="40" w:before="120"/>
      </w:pPr>
      <w:r>
        <w:rPr>
          <w:rFonts w:ascii="Arial" w:cs="Arial" w:eastAsia="Arial" w:hAnsi="Arial"/>
          <w:b/>
          <w:bCs/>
          <w:color w:val="C62133"/>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Heme Lymphoid Neoplasms</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Bone Marrow Part I</w:t>
      </w:r>
      <w:r>
        <w:rPr>
          <w:rFonts w:ascii="Arial" w:cs="Arial" w:eastAsia="Arial" w:hAnsi="Arial"/>
          <w:i/>
          <w:iCs/>
          <w:color w:val="6B7B8A"/>
          <w:sz w:val="18"/>
          <w:szCs w:val="18"/>
        </w:rPr>
        <w:t xml:space="preserve">   (Hematopathology / Lectures)</w:t>
      </w:r>
    </w:p>
    <w:p>
      <w:pPr>
        <w:pStyle w:val="ListParagraph"/>
        <w:numPr>
          <w:ilvl w:val="0"/>
          <w:numId w:val="3"/>
        </w:numPr>
        <w:spacing w:after="50" w:line="264"/>
      </w:pPr>
      <w:r>
        <w:rPr>
          <w:rFonts w:ascii="Arial" w:cs="Arial" w:eastAsia="Arial" w:hAnsi="Arial"/>
          <w:color w:val="33444F"/>
          <w:sz w:val="20"/>
          <w:szCs w:val="20"/>
        </w:rPr>
        <w:t xml:space="preserve">Bone Marrow part 2</w:t>
      </w:r>
      <w:r>
        <w:rPr>
          <w:rFonts w:ascii="Arial" w:cs="Arial" w:eastAsia="Arial" w:hAnsi="Arial"/>
          <w:i/>
          <w:iCs/>
          <w:color w:val="6B7B8A"/>
          <w:sz w:val="18"/>
          <w:szCs w:val="18"/>
        </w:rPr>
        <w:t xml:space="preserve">   (Hematopathology / Lectures)</w:t>
      </w:r>
    </w:p>
    <w:p>
      <w:pPr>
        <w:pStyle w:val="ListParagraph"/>
        <w:numPr>
          <w:ilvl w:val="0"/>
          <w:numId w:val="3"/>
        </w:numPr>
        <w:spacing w:after="50" w:line="264"/>
      </w:pPr>
      <w:r>
        <w:rPr>
          <w:rFonts w:ascii="Arial" w:cs="Arial" w:eastAsia="Arial" w:hAnsi="Arial"/>
          <w:color w:val="33444F"/>
          <w:sz w:val="20"/>
          <w:szCs w:val="20"/>
        </w:rPr>
        <w:t xml:space="preserve">AML questions session with Dr Ghosh</w:t>
      </w:r>
      <w:r>
        <w:rPr>
          <w:rFonts w:ascii="Arial" w:cs="Arial" w:eastAsia="Arial" w:hAnsi="Arial"/>
          <w:i/>
          <w:iCs/>
          <w:color w:val="6B7B8A"/>
          <w:sz w:val="18"/>
          <w:szCs w:val="18"/>
        </w:rPr>
        <w:t xml:space="preserve">   (Hematopathology / Lectures)</w:t>
      </w:r>
    </w:p>
    <w:p>
      <w:pPr>
        <w:pStyle w:val="ListParagraph"/>
        <w:numPr>
          <w:ilvl w:val="0"/>
          <w:numId w:val="3"/>
        </w:numPr>
        <w:spacing w:after="50" w:line="264"/>
      </w:pPr>
      <w:r>
        <w:rPr>
          <w:rFonts w:ascii="Arial" w:cs="Arial" w:eastAsia="Arial" w:hAnsi="Arial"/>
          <w:color w:val="33444F"/>
          <w:sz w:val="20"/>
          <w:szCs w:val="20"/>
        </w:rPr>
        <w:t xml:space="preserve">Heme FlowCytometry Intro v</w:t>
      </w:r>
      <w:r>
        <w:rPr>
          <w:rFonts w:ascii="Arial" w:cs="Arial" w:eastAsia="Arial" w:hAnsi="Arial"/>
          <w:i/>
          <w:iCs/>
          <w:color w:val="6B7B8A"/>
          <w:sz w:val="18"/>
          <w:szCs w:val="18"/>
        </w:rPr>
        <w:t xml:space="preserve">   (Hematopathology / Flow panel descriptions)</w:t>
      </w:r>
    </w:p>
    <w:p>
      <w:pPr>
        <w:pStyle w:val="ListParagraph"/>
        <w:numPr>
          <w:ilvl w:val="0"/>
          <w:numId w:val="3"/>
        </w:numPr>
        <w:spacing w:after="50" w:line="264"/>
      </w:pPr>
      <w:r>
        <w:rPr>
          <w:rFonts w:ascii="Arial" w:cs="Arial" w:eastAsia="Arial" w:hAnsi="Arial"/>
          <w:color w:val="33444F"/>
          <w:sz w:val="20"/>
          <w:szCs w:val="20"/>
        </w:rPr>
        <w:t xml:space="preserve">Dr Carey's Intro To Clinical Flow Cytometry</w:t>
      </w:r>
      <w:r>
        <w:rPr>
          <w:rFonts w:ascii="Arial" w:cs="Arial" w:eastAsia="Arial" w:hAnsi="Arial"/>
          <w:i/>
          <w:iCs/>
          <w:color w:val="6B7B8A"/>
          <w:sz w:val="18"/>
          <w:szCs w:val="18"/>
        </w:rPr>
        <w:t xml:space="preserve">   (Hematopathology / Lectures)</w:t>
      </w:r>
    </w:p>
    <w:p>
      <w:pPr>
        <w:pStyle w:val="Heading3"/>
        <w:spacing w:after="40" w:before="200"/>
      </w:pPr>
      <w:r>
        <w:rPr>
          <w:rFonts w:ascii="Arial" w:cs="Arial" w:eastAsia="Arial" w:hAnsi="Arial"/>
          <w:b/>
          <w:bCs/>
          <w:color w:val="C62133"/>
          <w:sz w:val="23"/>
          <w:szCs w:val="23"/>
        </w:rPr>
        <w:t xml:space="preserve">4.  </w:t>
      </w:r>
      <w:r>
        <w:rPr>
          <w:rFonts w:ascii="Arial" w:cs="Arial" w:eastAsia="Arial" w:hAnsi="Arial"/>
          <w:b/>
          <w:bCs/>
          <w:color w:val="1B2A38"/>
          <w:sz w:val="23"/>
          <w:szCs w:val="23"/>
        </w:rPr>
        <w:t xml:space="preserve">Platelet Disorders and Thrombocytopenia</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Heme_04.pptx</w:t>
      </w:r>
    </w:p>
    <w:p>
      <w:pPr>
        <w:spacing w:after="40" w:before="120"/>
      </w:pPr>
      <w:r>
        <w:rPr>
          <w:rFonts w:ascii="Arial" w:cs="Arial" w:eastAsia="Arial" w:hAnsi="Arial"/>
          <w:b/>
          <w:bCs/>
          <w:color w:val="C62133"/>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Differentiate pseudothrombocytopenia from true thrombocytopenia.</w:t>
      </w:r>
    </w:p>
    <w:p>
      <w:pPr>
        <w:pStyle w:val="ListParagraph"/>
        <w:numPr>
          <w:ilvl w:val="0"/>
          <w:numId w:val="2"/>
        </w:numPr>
        <w:spacing w:after="50" w:line="264"/>
      </w:pPr>
      <w:r>
        <w:rPr>
          <w:rFonts w:ascii="Arial" w:cs="Arial" w:eastAsia="Arial" w:hAnsi="Arial"/>
          <w:color w:val="33444F"/>
          <w:sz w:val="21"/>
          <w:szCs w:val="21"/>
        </w:rPr>
        <w:t xml:space="preserve">Classify thrombocytopenia by mechanism.</w:t>
      </w:r>
    </w:p>
    <w:p>
      <w:pPr>
        <w:pStyle w:val="ListParagraph"/>
        <w:numPr>
          <w:ilvl w:val="0"/>
          <w:numId w:val="2"/>
        </w:numPr>
        <w:spacing w:after="50" w:line="264"/>
      </w:pPr>
      <w:r>
        <w:rPr>
          <w:rFonts w:ascii="Arial" w:cs="Arial" w:eastAsia="Arial" w:hAnsi="Arial"/>
          <w:color w:val="33444F"/>
          <w:sz w:val="21"/>
          <w:szCs w:val="21"/>
        </w:rPr>
        <w:t xml:space="preserve">Recognize TTP, HIT, ITP, and DIC by their laboratory signatures.</w:t>
      </w:r>
    </w:p>
    <w:p>
      <w:pPr>
        <w:pStyle w:val="ListParagraph"/>
        <w:numPr>
          <w:ilvl w:val="0"/>
          <w:numId w:val="2"/>
        </w:numPr>
        <w:spacing w:after="50" w:line="264"/>
      </w:pPr>
      <w:r>
        <w:rPr>
          <w:rFonts w:ascii="Arial" w:cs="Arial" w:eastAsia="Arial" w:hAnsi="Arial"/>
          <w:color w:val="33444F"/>
          <w:sz w:val="21"/>
          <w:szCs w:val="21"/>
        </w:rPr>
        <w:t xml:space="preserve">State the transfusion implications of each cause.</w:t>
      </w:r>
    </w:p>
    <w:p>
      <w:pPr>
        <w:pStyle w:val="ListParagraph"/>
        <w:numPr>
          <w:ilvl w:val="0"/>
          <w:numId w:val="2"/>
        </w:numPr>
        <w:spacing w:after="50" w:line="264"/>
      </w:pPr>
      <w:r>
        <w:rPr>
          <w:rFonts w:ascii="Arial" w:cs="Arial" w:eastAsia="Arial" w:hAnsi="Arial"/>
          <w:color w:val="33444F"/>
          <w:sz w:val="21"/>
          <w:szCs w:val="21"/>
        </w:rPr>
        <w:t xml:space="preserve">Outline platelet function testing.</w:t>
      </w:r>
    </w:p>
    <w:p>
      <w:pPr>
        <w:spacing w:after="40" w:before="120"/>
      </w:pPr>
      <w:r>
        <w:rPr>
          <w:rFonts w:ascii="Arial" w:cs="Arial" w:eastAsia="Arial" w:hAnsi="Arial"/>
          <w:b/>
          <w:bCs/>
          <w:color w:val="C62133"/>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EDTA-induced platelet clumping</w:t>
      </w:r>
    </w:p>
    <w:p>
      <w:pPr>
        <w:pStyle w:val="ListParagraph"/>
        <w:numPr>
          <w:ilvl w:val="0"/>
          <w:numId w:val="2"/>
        </w:numPr>
        <w:spacing w:after="50" w:line="264"/>
      </w:pPr>
      <w:r>
        <w:rPr>
          <w:rFonts w:ascii="Arial" w:cs="Arial" w:eastAsia="Arial" w:hAnsi="Arial"/>
          <w:color w:val="33444F"/>
          <w:sz w:val="21"/>
          <w:szCs w:val="21"/>
        </w:rPr>
        <w:t xml:space="preserve">Production vs destruction vs sequestration</w:t>
      </w:r>
    </w:p>
    <w:p>
      <w:pPr>
        <w:pStyle w:val="ListParagraph"/>
        <w:numPr>
          <w:ilvl w:val="0"/>
          <w:numId w:val="2"/>
        </w:numPr>
        <w:spacing w:after="50" w:line="264"/>
      </w:pPr>
      <w:r>
        <w:rPr>
          <w:rFonts w:ascii="Arial" w:cs="Arial" w:eastAsia="Arial" w:hAnsi="Arial"/>
          <w:color w:val="33444F"/>
          <w:sz w:val="21"/>
          <w:szCs w:val="21"/>
        </w:rPr>
        <w:t xml:space="preserve">ITP as a diagnosis of exclusion</w:t>
      </w:r>
    </w:p>
    <w:p>
      <w:pPr>
        <w:pStyle w:val="ListParagraph"/>
        <w:numPr>
          <w:ilvl w:val="0"/>
          <w:numId w:val="2"/>
        </w:numPr>
        <w:spacing w:after="50" w:line="264"/>
      </w:pPr>
      <w:r>
        <w:rPr>
          <w:rFonts w:ascii="Arial" w:cs="Arial" w:eastAsia="Arial" w:hAnsi="Arial"/>
          <w:color w:val="33444F"/>
          <w:sz w:val="21"/>
          <w:szCs w:val="21"/>
        </w:rPr>
        <w:t xml:space="preserve">TTP: schistocytes and ADAMTS13</w:t>
      </w:r>
    </w:p>
    <w:p>
      <w:pPr>
        <w:pStyle w:val="ListParagraph"/>
        <w:numPr>
          <w:ilvl w:val="0"/>
          <w:numId w:val="2"/>
        </w:numPr>
        <w:spacing w:after="50" w:line="264"/>
      </w:pPr>
      <w:r>
        <w:rPr>
          <w:rFonts w:ascii="Arial" w:cs="Arial" w:eastAsia="Arial" w:hAnsi="Arial"/>
          <w:color w:val="33444F"/>
          <w:sz w:val="21"/>
          <w:szCs w:val="21"/>
        </w:rPr>
        <w:t xml:space="preserve">Heparin-induced thrombocytopenia (HIT)</w:t>
      </w:r>
    </w:p>
    <w:p>
      <w:pPr>
        <w:pStyle w:val="ListParagraph"/>
        <w:numPr>
          <w:ilvl w:val="0"/>
          <w:numId w:val="2"/>
        </w:numPr>
        <w:spacing w:after="50" w:line="264"/>
      </w:pPr>
      <w:r>
        <w:rPr>
          <w:rFonts w:ascii="Arial" w:cs="Arial" w:eastAsia="Arial" w:hAnsi="Arial"/>
          <w:color w:val="33444F"/>
          <w:sz w:val="21"/>
          <w:szCs w:val="21"/>
        </w:rPr>
        <w:t xml:space="preserve">DIC laboratory profile; platelet function assays</w:t>
      </w:r>
    </w:p>
    <w:p>
      <w:pPr>
        <w:spacing w:after="40" w:before="120"/>
      </w:pPr>
      <w:r>
        <w:rPr>
          <w:rFonts w:ascii="Arial" w:cs="Arial" w:eastAsia="Arial" w:hAnsi="Arial"/>
          <w:b/>
          <w:bCs/>
          <w:color w:val="C62133"/>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Pseudothrombocytopenia and the citrate-tube confirmation</w:t>
      </w:r>
    </w:p>
    <w:p>
      <w:pPr>
        <w:pStyle w:val="ListParagraph"/>
        <w:numPr>
          <w:ilvl w:val="0"/>
          <w:numId w:val="2"/>
        </w:numPr>
        <w:spacing w:after="50" w:line="264"/>
      </w:pPr>
      <w:r>
        <w:rPr>
          <w:rFonts w:ascii="Arial" w:cs="Arial" w:eastAsia="Arial" w:hAnsi="Arial"/>
          <w:color w:val="33444F"/>
          <w:sz w:val="21"/>
          <w:szCs w:val="21"/>
        </w:rPr>
        <w:t xml:space="preserve">TTP pentad and ADAMTS13 testing</w:t>
      </w:r>
    </w:p>
    <w:p>
      <w:pPr>
        <w:pStyle w:val="ListParagraph"/>
        <w:numPr>
          <w:ilvl w:val="0"/>
          <w:numId w:val="2"/>
        </w:numPr>
        <w:spacing w:after="50" w:line="264"/>
      </w:pPr>
      <w:r>
        <w:rPr>
          <w:rFonts w:ascii="Arial" w:cs="Arial" w:eastAsia="Arial" w:hAnsi="Arial"/>
          <w:color w:val="33444F"/>
          <w:sz w:val="21"/>
          <w:szCs w:val="21"/>
        </w:rPr>
        <w:t xml:space="preserve">HIT: 4T score, timing, and the paradox of thrombosis</w:t>
      </w:r>
    </w:p>
    <w:p>
      <w:pPr>
        <w:spacing w:after="40" w:before="120"/>
      </w:pPr>
      <w:r>
        <w:rPr>
          <w:rFonts w:ascii="Arial" w:cs="Arial" w:eastAsia="Arial" w:hAnsi="Arial"/>
          <w:b/>
          <w:bCs/>
          <w:color w:val="C62133"/>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Coag Chapter 45 Thrombocytopenia in the Newborn Roberts Platelets</w:t>
      </w:r>
      <w:r>
        <w:rPr>
          <w:rFonts w:ascii="Arial" w:cs="Arial" w:eastAsia="Arial" w:hAnsi="Arial"/>
          <w:i/>
          <w:iCs/>
          <w:color w:val="6B7B8A"/>
          <w:sz w:val="18"/>
          <w:szCs w:val="18"/>
        </w:rPr>
        <w:t xml:space="preserve">   (Coagulation)</w:t>
      </w:r>
    </w:p>
    <w:p>
      <w:pPr>
        <w:pStyle w:val="ListParagraph"/>
        <w:numPr>
          <w:ilvl w:val="0"/>
          <w:numId w:val="3"/>
        </w:numPr>
        <w:spacing w:after="50" w:line="264"/>
      </w:pPr>
      <w:r>
        <w:rPr>
          <w:rFonts w:ascii="Arial" w:cs="Arial" w:eastAsia="Arial" w:hAnsi="Arial"/>
          <w:color w:val="33444F"/>
          <w:sz w:val="20"/>
          <w:szCs w:val="20"/>
        </w:rPr>
        <w:t xml:space="preserve">TMH S2 Platelet Function Analyzer</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Congenital Thrombocytopenia</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Platelet Aggregation Studies</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Drug Induced Thrombocytopenia</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Antiplatelet Therapy Monitoring</w:t>
      </w:r>
      <w:r>
        <w:rPr>
          <w:rFonts w:ascii="Arial" w:cs="Arial" w:eastAsia="Arial" w:hAnsi="Arial"/>
          <w:i/>
          <w:iCs/>
          <w:color w:val="6B7B8A"/>
          <w:sz w:val="18"/>
          <w:szCs w:val="18"/>
        </w:rPr>
        <w:t xml:space="preserve">   (Coagulation / Transfusion Medicine and Hemostasis (Book) - Section 2 Hemostasis)</w:t>
      </w:r>
    </w:p>
    <w:p>
      <w:pPr>
        <w:pStyle w:val="Heading3"/>
        <w:spacing w:after="40" w:before="200"/>
      </w:pPr>
      <w:r>
        <w:rPr>
          <w:rFonts w:ascii="Arial" w:cs="Arial" w:eastAsia="Arial" w:hAnsi="Arial"/>
          <w:b/>
          <w:bCs/>
          <w:color w:val="C62133"/>
          <w:sz w:val="23"/>
          <w:szCs w:val="23"/>
        </w:rPr>
        <w:t xml:space="preserve">5.  </w:t>
      </w:r>
      <w:r>
        <w:rPr>
          <w:rFonts w:ascii="Arial" w:cs="Arial" w:eastAsia="Arial" w:hAnsi="Arial"/>
          <w:b/>
          <w:bCs/>
          <w:color w:val="1B2A38"/>
          <w:sz w:val="23"/>
          <w:szCs w:val="23"/>
        </w:rPr>
        <w:t xml:space="preserve">Coagulation Testing and Bleeding / Thrombosis Evaluation</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Coag_05.pptx</w:t>
      </w:r>
    </w:p>
    <w:p>
      <w:pPr>
        <w:spacing w:after="40" w:before="120"/>
      </w:pPr>
      <w:r>
        <w:rPr>
          <w:rFonts w:ascii="Arial" w:cs="Arial" w:eastAsia="Arial" w:hAnsi="Arial"/>
          <w:b/>
          <w:bCs/>
          <w:color w:val="C62133"/>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PT, aPTT, fibrinogen, and D-dimer.</w:t>
      </w:r>
    </w:p>
    <w:p>
      <w:pPr>
        <w:pStyle w:val="ListParagraph"/>
        <w:numPr>
          <w:ilvl w:val="0"/>
          <w:numId w:val="2"/>
        </w:numPr>
        <w:spacing w:after="50" w:line="264"/>
      </w:pPr>
      <w:r>
        <w:rPr>
          <w:rFonts w:ascii="Arial" w:cs="Arial" w:eastAsia="Arial" w:hAnsi="Arial"/>
          <w:color w:val="33444F"/>
          <w:sz w:val="21"/>
          <w:szCs w:val="21"/>
        </w:rPr>
        <w:t xml:space="preserve">Use mixing studies to separate factor deficiency from inhibitor.</w:t>
      </w:r>
    </w:p>
    <w:p>
      <w:pPr>
        <w:pStyle w:val="ListParagraph"/>
        <w:numPr>
          <w:ilvl w:val="0"/>
          <w:numId w:val="2"/>
        </w:numPr>
        <w:spacing w:after="50" w:line="264"/>
      </w:pPr>
      <w:r>
        <w:rPr>
          <w:rFonts w:ascii="Arial" w:cs="Arial" w:eastAsia="Arial" w:hAnsi="Arial"/>
          <w:color w:val="33444F"/>
          <w:sz w:val="21"/>
          <w:szCs w:val="21"/>
        </w:rPr>
        <w:t xml:space="preserve">Outline lupus anticoagulant testing.</w:t>
      </w:r>
    </w:p>
    <w:p>
      <w:pPr>
        <w:pStyle w:val="ListParagraph"/>
        <w:numPr>
          <w:ilvl w:val="0"/>
          <w:numId w:val="2"/>
        </w:numPr>
        <w:spacing w:after="50" w:line="264"/>
      </w:pPr>
      <w:r>
        <w:rPr>
          <w:rFonts w:ascii="Arial" w:cs="Arial" w:eastAsia="Arial" w:hAnsi="Arial"/>
          <w:color w:val="33444F"/>
          <w:sz w:val="21"/>
          <w:szCs w:val="21"/>
        </w:rPr>
        <w:t xml:space="preserve">Build a rational thrombophilia testing strategy and timing.</w:t>
      </w:r>
    </w:p>
    <w:p>
      <w:pPr>
        <w:pStyle w:val="ListParagraph"/>
        <w:numPr>
          <w:ilvl w:val="0"/>
          <w:numId w:val="2"/>
        </w:numPr>
        <w:spacing w:after="50" w:line="264"/>
      </w:pPr>
      <w:r>
        <w:rPr>
          <w:rFonts w:ascii="Arial" w:cs="Arial" w:eastAsia="Arial" w:hAnsi="Arial"/>
          <w:color w:val="33444F"/>
          <w:sz w:val="21"/>
          <w:szCs w:val="21"/>
        </w:rPr>
        <w:t xml:space="preserve">Recognize preanalytic errors unique to coagulation.</w:t>
      </w:r>
    </w:p>
    <w:p>
      <w:pPr>
        <w:spacing w:after="40" w:before="120"/>
      </w:pPr>
      <w:r>
        <w:rPr>
          <w:rFonts w:ascii="Arial" w:cs="Arial" w:eastAsia="Arial" w:hAnsi="Arial"/>
          <w:b/>
          <w:bCs/>
          <w:color w:val="C62133"/>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PT / aPTT pathways and common causes of prolongation</w:t>
      </w:r>
    </w:p>
    <w:p>
      <w:pPr>
        <w:pStyle w:val="ListParagraph"/>
        <w:numPr>
          <w:ilvl w:val="0"/>
          <w:numId w:val="2"/>
        </w:numPr>
        <w:spacing w:after="50" w:line="264"/>
      </w:pPr>
      <w:r>
        <w:rPr>
          <w:rFonts w:ascii="Arial" w:cs="Arial" w:eastAsia="Arial" w:hAnsi="Arial"/>
          <w:color w:val="33444F"/>
          <w:sz w:val="21"/>
          <w:szCs w:val="21"/>
        </w:rPr>
        <w:t xml:space="preserve">Mixing studies: correction vs non-correction</w:t>
      </w:r>
    </w:p>
    <w:p>
      <w:pPr>
        <w:pStyle w:val="ListParagraph"/>
        <w:numPr>
          <w:ilvl w:val="0"/>
          <w:numId w:val="2"/>
        </w:numPr>
        <w:spacing w:after="50" w:line="264"/>
      </w:pPr>
      <w:r>
        <w:rPr>
          <w:rFonts w:ascii="Arial" w:cs="Arial" w:eastAsia="Arial" w:hAnsi="Arial"/>
          <w:color w:val="33444F"/>
          <w:sz w:val="21"/>
          <w:szCs w:val="21"/>
        </w:rPr>
        <w:t xml:space="preserve">Factor assays and specific inhibitors</w:t>
      </w:r>
    </w:p>
    <w:p>
      <w:pPr>
        <w:pStyle w:val="ListParagraph"/>
        <w:numPr>
          <w:ilvl w:val="0"/>
          <w:numId w:val="2"/>
        </w:numPr>
        <w:spacing w:after="50" w:line="264"/>
      </w:pPr>
      <w:r>
        <w:rPr>
          <w:rFonts w:ascii="Arial" w:cs="Arial" w:eastAsia="Arial" w:hAnsi="Arial"/>
          <w:color w:val="33444F"/>
          <w:sz w:val="21"/>
          <w:szCs w:val="21"/>
        </w:rPr>
        <w:t xml:space="preserve">Lupus anticoagulant / antiphospholipid testing</w:t>
      </w:r>
    </w:p>
    <w:p>
      <w:pPr>
        <w:pStyle w:val="ListParagraph"/>
        <w:numPr>
          <w:ilvl w:val="0"/>
          <w:numId w:val="2"/>
        </w:numPr>
        <w:spacing w:after="50" w:line="264"/>
      </w:pPr>
      <w:r>
        <w:rPr>
          <w:rFonts w:ascii="Arial" w:cs="Arial" w:eastAsia="Arial" w:hAnsi="Arial"/>
          <w:color w:val="33444F"/>
          <w:sz w:val="21"/>
          <w:szCs w:val="21"/>
        </w:rPr>
        <w:t xml:space="preserve">Thrombophilia panel and when (not) to test</w:t>
      </w:r>
    </w:p>
    <w:p>
      <w:pPr>
        <w:pStyle w:val="ListParagraph"/>
        <w:numPr>
          <w:ilvl w:val="0"/>
          <w:numId w:val="2"/>
        </w:numPr>
        <w:spacing w:after="50" w:line="264"/>
      </w:pPr>
      <w:r>
        <w:rPr>
          <w:rFonts w:ascii="Arial" w:cs="Arial" w:eastAsia="Arial" w:hAnsi="Arial"/>
          <w:color w:val="33444F"/>
          <w:sz w:val="21"/>
          <w:szCs w:val="21"/>
        </w:rPr>
        <w:t xml:space="preserve">Preanalytic pitfalls: tube fill, heparin contamination</w:t>
      </w:r>
    </w:p>
    <w:p>
      <w:pPr>
        <w:spacing w:after="40" w:before="120"/>
      </w:pPr>
      <w:r>
        <w:rPr>
          <w:rFonts w:ascii="Arial" w:cs="Arial" w:eastAsia="Arial" w:hAnsi="Arial"/>
          <w:b/>
          <w:bCs/>
          <w:color w:val="C62133"/>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Isolated prolonged aPTT differential</w:t>
      </w:r>
    </w:p>
    <w:p>
      <w:pPr>
        <w:pStyle w:val="ListParagraph"/>
        <w:numPr>
          <w:ilvl w:val="0"/>
          <w:numId w:val="2"/>
        </w:numPr>
        <w:spacing w:after="50" w:line="264"/>
      </w:pPr>
      <w:r>
        <w:rPr>
          <w:rFonts w:ascii="Arial" w:cs="Arial" w:eastAsia="Arial" w:hAnsi="Arial"/>
          <w:color w:val="33444F"/>
          <w:sz w:val="21"/>
          <w:szCs w:val="21"/>
        </w:rPr>
        <w:t xml:space="preserve">Mixing study interpretation</w:t>
      </w:r>
    </w:p>
    <w:p>
      <w:pPr>
        <w:pStyle w:val="ListParagraph"/>
        <w:numPr>
          <w:ilvl w:val="0"/>
          <w:numId w:val="2"/>
        </w:numPr>
        <w:spacing w:after="50" w:line="264"/>
      </w:pPr>
      <w:r>
        <w:rPr>
          <w:rFonts w:ascii="Arial" w:cs="Arial" w:eastAsia="Arial" w:hAnsi="Arial"/>
          <w:color w:val="33444F"/>
          <w:sz w:val="21"/>
          <w:szCs w:val="21"/>
        </w:rPr>
        <w:t xml:space="preserve">Timing of thrombophilia testing relative to event and anticoagulation</w:t>
      </w:r>
    </w:p>
    <w:p>
      <w:pPr>
        <w:spacing w:after="40" w:before="120"/>
      </w:pPr>
      <w:r>
        <w:rPr>
          <w:rFonts w:ascii="Arial" w:cs="Arial" w:eastAsia="Arial" w:hAnsi="Arial"/>
          <w:b/>
          <w:bCs/>
          <w:color w:val="C62133"/>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PRINCIPLES OF CLOTTING FACTOR THERAPY IN HEMOPHILIA A and B</w:t>
      </w:r>
      <w:r>
        <w:rPr>
          <w:rFonts w:ascii="Arial" w:cs="Arial" w:eastAsia="Arial" w:hAnsi="Arial"/>
          <w:i/>
          <w:iCs/>
          <w:color w:val="6B7B8A"/>
          <w:sz w:val="18"/>
          <w:szCs w:val="18"/>
        </w:rPr>
        <w:t xml:space="preserve">   (Coagulation)</w:t>
      </w:r>
    </w:p>
    <w:p>
      <w:pPr>
        <w:pStyle w:val="ListParagraph"/>
        <w:numPr>
          <w:ilvl w:val="0"/>
          <w:numId w:val="3"/>
        </w:numPr>
        <w:spacing w:after="50" w:line="264"/>
      </w:pPr>
      <w:r>
        <w:rPr>
          <w:rFonts w:ascii="Arial" w:cs="Arial" w:eastAsia="Arial" w:hAnsi="Arial"/>
          <w:color w:val="33444F"/>
          <w:sz w:val="20"/>
          <w:szCs w:val="20"/>
        </w:rPr>
        <w:t xml:space="preserve">COMPREHENSIVE OVERVIEW Inhibitors in Hemophilia A and B</w:t>
      </w:r>
      <w:r>
        <w:rPr>
          <w:rFonts w:ascii="Arial" w:cs="Arial" w:eastAsia="Arial" w:hAnsi="Arial"/>
          <w:i/>
          <w:iCs/>
          <w:color w:val="6B7B8A"/>
          <w:sz w:val="18"/>
          <w:szCs w:val="18"/>
        </w:rPr>
        <w:t xml:space="preserve">   (Coagulation)</w:t>
      </w:r>
    </w:p>
    <w:p>
      <w:pPr>
        <w:pStyle w:val="ListParagraph"/>
        <w:numPr>
          <w:ilvl w:val="0"/>
          <w:numId w:val="3"/>
        </w:numPr>
        <w:spacing w:after="50" w:line="264"/>
      </w:pPr>
      <w:r>
        <w:rPr>
          <w:rFonts w:ascii="Arial" w:cs="Arial" w:eastAsia="Arial" w:hAnsi="Arial"/>
          <w:color w:val="33444F"/>
          <w:sz w:val="20"/>
          <w:szCs w:val="20"/>
        </w:rPr>
        <w:t xml:space="preserve">TMH S2 Hemophilia B</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Hemophilia A</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Mixing Studies</w:t>
      </w:r>
      <w:r>
        <w:rPr>
          <w:rFonts w:ascii="Arial" w:cs="Arial" w:eastAsia="Arial" w:hAnsi="Arial"/>
          <w:i/>
          <w:iCs/>
          <w:color w:val="6B7B8A"/>
          <w:sz w:val="18"/>
          <w:szCs w:val="18"/>
        </w:rPr>
        <w:t xml:space="preserve">   (Coagulation / Transfusion Medicine and Hemostasis (Book) - Section 2 Hemostasis)</w:t>
      </w:r>
    </w:p>
    <w:p>
      <w:pPr>
        <w:pStyle w:val="ListParagraph"/>
        <w:numPr>
          <w:ilvl w:val="0"/>
          <w:numId w:val="3"/>
        </w:numPr>
        <w:spacing w:after="50" w:line="264"/>
      </w:pPr>
      <w:r>
        <w:rPr>
          <w:rFonts w:ascii="Arial" w:cs="Arial" w:eastAsia="Arial" w:hAnsi="Arial"/>
          <w:color w:val="33444F"/>
          <w:sz w:val="20"/>
          <w:szCs w:val="20"/>
        </w:rPr>
        <w:t xml:space="preserve">TMH S2 Factor XI Deficiency</w:t>
      </w:r>
      <w:r>
        <w:rPr>
          <w:rFonts w:ascii="Arial" w:cs="Arial" w:eastAsia="Arial" w:hAnsi="Arial"/>
          <w:i/>
          <w:iCs/>
          <w:color w:val="6B7B8A"/>
          <w:sz w:val="18"/>
          <w:szCs w:val="18"/>
        </w:rPr>
        <w:t xml:space="preserve">   (Coagulation / Transfusion Medicine and Hemostasis (Book) - Section 2 Hemostasis)</w:t>
      </w:r>
    </w:p>
    <w:p>
      <w:r>
        <w:br w:type="page"/>
      </w:r>
    </w:p>
    <w:p>
      <w:pPr>
        <w:pStyle w:val="Heading1"/>
        <w:spacing w:after="60" w:before="60"/>
      </w:pPr>
      <w:r>
        <w:rPr>
          <w:rFonts w:ascii="Arial" w:cs="Arial" w:eastAsia="Arial" w:hAnsi="Arial"/>
          <w:b/>
          <w:bCs/>
          <w:color w:val="AD1457"/>
          <w:sz w:val="30"/>
          <w:szCs w:val="30"/>
        </w:rPr>
        <w:t xml:space="preserve">Block 2  ·  Transfusion Medicine</w:t>
      </w:r>
    </w:p>
    <w:p>
      <w:pPr>
        <w:pBdr>
          <w:bottom w:val="single" w:color="AD1457" w:sz="8" w:space="6"/>
        </w:pBdr>
        <w:spacing w:after="120"/>
      </w:pPr>
      <w:r>
        <w:rPr>
          <w:rFonts w:ascii="Arial" w:cs="Arial" w:eastAsia="Arial" w:hAnsi="Arial"/>
          <w:color w:val="6B7B8A"/>
          <w:spacing w:val="8"/>
          <w:sz w:val="19"/>
          <w:szCs w:val="19"/>
        </w:rPr>
        <w:t xml:space="preserve">5 lectures</w:t>
      </w:r>
    </w:p>
    <w:p>
      <w:pPr>
        <w:pStyle w:val="Heading3"/>
        <w:spacing w:after="40" w:before="200"/>
      </w:pPr>
      <w:r>
        <w:rPr>
          <w:rFonts w:ascii="Arial" w:cs="Arial" w:eastAsia="Arial" w:hAnsi="Arial"/>
          <w:b/>
          <w:bCs/>
          <w:color w:val="AD1457"/>
          <w:sz w:val="23"/>
          <w:szCs w:val="23"/>
        </w:rPr>
        <w:t xml:space="preserve">6.  </w:t>
      </w:r>
      <w:r>
        <w:rPr>
          <w:rFonts w:ascii="Arial" w:cs="Arial" w:eastAsia="Arial" w:hAnsi="Arial"/>
          <w:b/>
          <w:bCs/>
          <w:color w:val="1B2A38"/>
          <w:sz w:val="23"/>
          <w:szCs w:val="23"/>
        </w:rPr>
        <w:t xml:space="preserve">ABO/Rh, Antibody Screen, and Compatibility Testing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Trans_01.pptx</w:t>
      </w:r>
    </w:p>
    <w:p>
      <w:pPr>
        <w:spacing w:after="40" w:before="120"/>
      </w:pPr>
      <w:r>
        <w:rPr>
          <w:rFonts w:ascii="Arial" w:cs="Arial" w:eastAsia="Arial" w:hAnsi="Arial"/>
          <w:b/>
          <w:bCs/>
          <w:color w:val="AD1457"/>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Explain ABO and Rh typing and resolve common discrepancies.</w:t>
      </w:r>
    </w:p>
    <w:p>
      <w:pPr>
        <w:pStyle w:val="ListParagraph"/>
        <w:numPr>
          <w:ilvl w:val="0"/>
          <w:numId w:val="2"/>
        </w:numPr>
        <w:spacing w:after="50" w:line="264"/>
      </w:pPr>
      <w:r>
        <w:rPr>
          <w:rFonts w:ascii="Arial" w:cs="Arial" w:eastAsia="Arial" w:hAnsi="Arial"/>
          <w:color w:val="33444F"/>
          <w:sz w:val="21"/>
          <w:szCs w:val="21"/>
        </w:rPr>
        <w:t xml:space="preserve">Describe the antibody screen and its role in pretransfusion testing.</w:t>
      </w:r>
    </w:p>
    <w:p>
      <w:pPr>
        <w:pStyle w:val="ListParagraph"/>
        <w:numPr>
          <w:ilvl w:val="0"/>
          <w:numId w:val="2"/>
        </w:numPr>
        <w:spacing w:after="50" w:line="264"/>
      </w:pPr>
      <w:r>
        <w:rPr>
          <w:rFonts w:ascii="Arial" w:cs="Arial" w:eastAsia="Arial" w:hAnsi="Arial"/>
          <w:color w:val="33444F"/>
          <w:sz w:val="21"/>
          <w:szCs w:val="21"/>
        </w:rPr>
        <w:t xml:space="preserve">Contrast immediate-spin and antiglobulin crossmatch.</w:t>
      </w:r>
    </w:p>
    <w:p>
      <w:pPr>
        <w:pStyle w:val="ListParagraph"/>
        <w:numPr>
          <w:ilvl w:val="0"/>
          <w:numId w:val="2"/>
        </w:numPr>
        <w:spacing w:after="50" w:line="264"/>
      </w:pPr>
      <w:r>
        <w:rPr>
          <w:rFonts w:ascii="Arial" w:cs="Arial" w:eastAsia="Arial" w:hAnsi="Arial"/>
          <w:color w:val="33444F"/>
          <w:sz w:val="21"/>
          <w:szCs w:val="21"/>
        </w:rPr>
        <w:t xml:space="preserve">Apply electronic crossmatch criteria.</w:t>
      </w:r>
    </w:p>
    <w:p>
      <w:pPr>
        <w:pStyle w:val="ListParagraph"/>
        <w:numPr>
          <w:ilvl w:val="0"/>
          <w:numId w:val="2"/>
        </w:numPr>
        <w:spacing w:after="50" w:line="264"/>
      </w:pPr>
      <w:r>
        <w:rPr>
          <w:rFonts w:ascii="Arial" w:cs="Arial" w:eastAsia="Arial" w:hAnsi="Arial"/>
          <w:color w:val="33444F"/>
          <w:sz w:val="21"/>
          <w:szCs w:val="21"/>
        </w:rPr>
        <w:t xml:space="preserve">State emergency-release principles.</w:t>
      </w:r>
    </w:p>
    <w:p>
      <w:pPr>
        <w:spacing w:after="40" w:before="120"/>
      </w:pPr>
      <w:r>
        <w:rPr>
          <w:rFonts w:ascii="Arial" w:cs="Arial" w:eastAsia="Arial" w:hAnsi="Arial"/>
          <w:b/>
          <w:bCs/>
          <w:color w:val="AD1457"/>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ABO forward/reverse typing and discrepancies</w:t>
      </w:r>
    </w:p>
    <w:p>
      <w:pPr>
        <w:pStyle w:val="ListParagraph"/>
        <w:numPr>
          <w:ilvl w:val="0"/>
          <w:numId w:val="2"/>
        </w:numPr>
        <w:spacing w:after="50" w:line="264"/>
      </w:pPr>
      <w:r>
        <w:rPr>
          <w:rFonts w:ascii="Arial" w:cs="Arial" w:eastAsia="Arial" w:hAnsi="Arial"/>
          <w:color w:val="33444F"/>
          <w:sz w:val="21"/>
          <w:szCs w:val="21"/>
        </w:rPr>
        <w:t xml:space="preserve">Rh(D) typing, weak D, partial D</w:t>
      </w:r>
    </w:p>
    <w:p>
      <w:pPr>
        <w:pStyle w:val="ListParagraph"/>
        <w:numPr>
          <w:ilvl w:val="0"/>
          <w:numId w:val="2"/>
        </w:numPr>
        <w:spacing w:after="50" w:line="264"/>
      </w:pPr>
      <w:r>
        <w:rPr>
          <w:rFonts w:ascii="Arial" w:cs="Arial" w:eastAsia="Arial" w:hAnsi="Arial"/>
          <w:color w:val="33444F"/>
          <w:sz w:val="21"/>
          <w:szCs w:val="21"/>
        </w:rPr>
        <w:t xml:space="preserve">Antibody screen and pretransfusion workflow</w:t>
      </w:r>
    </w:p>
    <w:p>
      <w:pPr>
        <w:pStyle w:val="ListParagraph"/>
        <w:numPr>
          <w:ilvl w:val="0"/>
          <w:numId w:val="2"/>
        </w:numPr>
        <w:spacing w:after="50" w:line="264"/>
      </w:pPr>
      <w:r>
        <w:rPr>
          <w:rFonts w:ascii="Arial" w:cs="Arial" w:eastAsia="Arial" w:hAnsi="Arial"/>
          <w:color w:val="33444F"/>
          <w:sz w:val="21"/>
          <w:szCs w:val="21"/>
        </w:rPr>
        <w:t xml:space="preserve">Immediate-spin vs AHG crossmatch</w:t>
      </w:r>
    </w:p>
    <w:p>
      <w:pPr>
        <w:pStyle w:val="ListParagraph"/>
        <w:numPr>
          <w:ilvl w:val="0"/>
          <w:numId w:val="2"/>
        </w:numPr>
        <w:spacing w:after="50" w:line="264"/>
      </w:pPr>
      <w:r>
        <w:rPr>
          <w:rFonts w:ascii="Arial" w:cs="Arial" w:eastAsia="Arial" w:hAnsi="Arial"/>
          <w:color w:val="33444F"/>
          <w:sz w:val="21"/>
          <w:szCs w:val="21"/>
        </w:rPr>
        <w:t xml:space="preserve">Electronic / computer crossmatch</w:t>
      </w:r>
    </w:p>
    <w:p>
      <w:pPr>
        <w:pStyle w:val="ListParagraph"/>
        <w:numPr>
          <w:ilvl w:val="0"/>
          <w:numId w:val="2"/>
        </w:numPr>
        <w:spacing w:after="50" w:line="264"/>
      </w:pPr>
      <w:r>
        <w:rPr>
          <w:rFonts w:ascii="Arial" w:cs="Arial" w:eastAsia="Arial" w:hAnsi="Arial"/>
          <w:color w:val="33444F"/>
          <w:sz w:val="21"/>
          <w:szCs w:val="21"/>
        </w:rPr>
        <w:t xml:space="preserve">Emergency release and group O use</w:t>
      </w:r>
    </w:p>
    <w:p>
      <w:pPr>
        <w:spacing w:after="40" w:before="120"/>
      </w:pPr>
      <w:r>
        <w:rPr>
          <w:rFonts w:ascii="Arial" w:cs="Arial" w:eastAsia="Arial" w:hAnsi="Arial"/>
          <w:b/>
          <w:bCs/>
          <w:color w:val="AD1457"/>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ABO discrepancy resolution</w:t>
      </w:r>
    </w:p>
    <w:p>
      <w:pPr>
        <w:pStyle w:val="ListParagraph"/>
        <w:numPr>
          <w:ilvl w:val="0"/>
          <w:numId w:val="2"/>
        </w:numPr>
        <w:spacing w:after="50" w:line="264"/>
      </w:pPr>
      <w:r>
        <w:rPr>
          <w:rFonts w:ascii="Arial" w:cs="Arial" w:eastAsia="Arial" w:hAnsi="Arial"/>
          <w:color w:val="33444F"/>
          <w:sz w:val="21"/>
          <w:szCs w:val="21"/>
        </w:rPr>
        <w:t xml:space="preserve">When the immediate-spin crossmatch is sufficient</w:t>
      </w:r>
    </w:p>
    <w:p>
      <w:pPr>
        <w:pStyle w:val="ListParagraph"/>
        <w:numPr>
          <w:ilvl w:val="0"/>
          <w:numId w:val="2"/>
        </w:numPr>
        <w:spacing w:after="50" w:line="264"/>
      </w:pPr>
      <w:r>
        <w:rPr>
          <w:rFonts w:ascii="Arial" w:cs="Arial" w:eastAsia="Arial" w:hAnsi="Arial"/>
          <w:color w:val="33444F"/>
          <w:sz w:val="21"/>
          <w:szCs w:val="21"/>
        </w:rPr>
        <w:t xml:space="preserve">Emergency-release documentation</w:t>
      </w:r>
    </w:p>
    <w:p>
      <w:pPr>
        <w:spacing w:after="40" w:before="120"/>
      </w:pPr>
      <w:r>
        <w:rPr>
          <w:rFonts w:ascii="Arial" w:cs="Arial" w:eastAsia="Arial" w:hAnsi="Arial"/>
          <w:b/>
          <w:bCs/>
          <w:color w:val="AD1457"/>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Harmening 7 The Rh Blood Group System</w:t>
      </w:r>
      <w:r>
        <w:rPr>
          <w:rFonts w:ascii="Arial" w:cs="Arial" w:eastAsia="Arial" w:hAnsi="Arial"/>
          <w:i/>
          <w:iCs/>
          <w:color w:val="6B7B8A"/>
          <w:sz w:val="18"/>
          <w:szCs w:val="18"/>
        </w:rPr>
        <w:t xml:space="preserve">   (Transfusion Medicine / Harmening)</w:t>
      </w:r>
    </w:p>
    <w:p>
      <w:pPr>
        <w:pStyle w:val="ListParagraph"/>
        <w:numPr>
          <w:ilvl w:val="0"/>
          <w:numId w:val="3"/>
        </w:numPr>
        <w:spacing w:after="50" w:line="264"/>
      </w:pPr>
      <w:r>
        <w:rPr>
          <w:rFonts w:ascii="Arial" w:cs="Arial" w:eastAsia="Arial" w:hAnsi="Arial"/>
          <w:color w:val="33444F"/>
          <w:sz w:val="20"/>
          <w:szCs w:val="20"/>
        </w:rPr>
        <w:t xml:space="preserve">Harmening 6 The ABO Blood Group System</w:t>
      </w:r>
      <w:r>
        <w:rPr>
          <w:rFonts w:ascii="Arial" w:cs="Arial" w:eastAsia="Arial" w:hAnsi="Arial"/>
          <w:i/>
          <w:iCs/>
          <w:color w:val="6B7B8A"/>
          <w:sz w:val="18"/>
          <w:szCs w:val="18"/>
        </w:rPr>
        <w:t xml:space="preserve">   (Transfusion Medicine / Harmening)</w:t>
      </w:r>
    </w:p>
    <w:p>
      <w:pPr>
        <w:pStyle w:val="ListParagraph"/>
        <w:numPr>
          <w:ilvl w:val="0"/>
          <w:numId w:val="3"/>
        </w:numPr>
        <w:spacing w:after="50" w:line="264"/>
      </w:pPr>
      <w:r>
        <w:rPr>
          <w:rFonts w:ascii="Arial" w:cs="Arial" w:eastAsia="Arial" w:hAnsi="Arial"/>
          <w:color w:val="33444F"/>
          <w:sz w:val="20"/>
          <w:szCs w:val="20"/>
        </w:rPr>
        <w:t xml:space="preserve">TMH S1 C H A P T E R 2 3 ABO and H Blood Group System</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TMH S1 C H A P T E R 2 4 Rh and RhAG Blood Group Systems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TMH S1 C H A P T E R 2 2 Molecular DNA Based Blood Group Typing</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ABOHL</w:t>
      </w:r>
      <w:r>
        <w:rPr>
          <w:rFonts w:ascii="Arial" w:cs="Arial" w:eastAsia="Arial" w:hAnsi="Arial"/>
          <w:i/>
          <w:iCs/>
          <w:color w:val="6B7B8A"/>
          <w:sz w:val="18"/>
          <w:szCs w:val="18"/>
        </w:rPr>
        <w:t xml:space="preserve">   (Transfusion Medicine / Dr. Brancamp Lectures)</w:t>
      </w:r>
    </w:p>
    <w:p>
      <w:pPr>
        <w:pStyle w:val="Heading3"/>
        <w:spacing w:after="40" w:before="200"/>
      </w:pPr>
      <w:r>
        <w:rPr>
          <w:rFonts w:ascii="Arial" w:cs="Arial" w:eastAsia="Arial" w:hAnsi="Arial"/>
          <w:b/>
          <w:bCs/>
          <w:color w:val="AD1457"/>
          <w:sz w:val="23"/>
          <w:szCs w:val="23"/>
        </w:rPr>
        <w:t xml:space="preserve">7.  </w:t>
      </w:r>
      <w:r>
        <w:rPr>
          <w:rFonts w:ascii="Arial" w:cs="Arial" w:eastAsia="Arial" w:hAnsi="Arial"/>
          <w:b/>
          <w:bCs/>
          <w:color w:val="1B2A38"/>
          <w:sz w:val="23"/>
          <w:szCs w:val="23"/>
        </w:rPr>
        <w:t xml:space="preserve">Antibody Identification and Complex Serology</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Trans_02.pptx</w:t>
      </w:r>
    </w:p>
    <w:p>
      <w:pPr>
        <w:spacing w:after="40" w:before="120"/>
      </w:pPr>
      <w:r>
        <w:rPr>
          <w:rFonts w:ascii="Arial" w:cs="Arial" w:eastAsia="Arial" w:hAnsi="Arial"/>
          <w:b/>
          <w:bCs/>
          <w:color w:val="AD1457"/>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Work an antibody identification panel systematically.</w:t>
      </w:r>
    </w:p>
    <w:p>
      <w:pPr>
        <w:pStyle w:val="ListParagraph"/>
        <w:numPr>
          <w:ilvl w:val="0"/>
          <w:numId w:val="2"/>
        </w:numPr>
        <w:spacing w:after="50" w:line="264"/>
      </w:pPr>
      <w:r>
        <w:rPr>
          <w:rFonts w:ascii="Arial" w:cs="Arial" w:eastAsia="Arial" w:hAnsi="Arial"/>
          <w:color w:val="33444F"/>
          <w:sz w:val="21"/>
          <w:szCs w:val="21"/>
        </w:rPr>
        <w:t xml:space="preserve">Recognize common clinically significant alloantibodies.</w:t>
      </w:r>
    </w:p>
    <w:p>
      <w:pPr>
        <w:pStyle w:val="ListParagraph"/>
        <w:numPr>
          <w:ilvl w:val="0"/>
          <w:numId w:val="2"/>
        </w:numPr>
        <w:spacing w:after="50" w:line="264"/>
      </w:pPr>
      <w:r>
        <w:rPr>
          <w:rFonts w:ascii="Arial" w:cs="Arial" w:eastAsia="Arial" w:hAnsi="Arial"/>
          <w:color w:val="33444F"/>
          <w:sz w:val="21"/>
          <w:szCs w:val="21"/>
        </w:rPr>
        <w:t xml:space="preserve">Approach warm autoantibodies and the adsorption concept.</w:t>
      </w:r>
    </w:p>
    <w:p>
      <w:pPr>
        <w:pStyle w:val="ListParagraph"/>
        <w:numPr>
          <w:ilvl w:val="0"/>
          <w:numId w:val="2"/>
        </w:numPr>
        <w:spacing w:after="50" w:line="264"/>
      </w:pPr>
      <w:r>
        <w:rPr>
          <w:rFonts w:ascii="Arial" w:cs="Arial" w:eastAsia="Arial" w:hAnsi="Arial"/>
          <w:color w:val="33444F"/>
          <w:sz w:val="21"/>
          <w:szCs w:val="21"/>
        </w:rPr>
        <w:t xml:space="preserve">Identify high-yield problem-solving patterns (dosage, enzymes).</w:t>
      </w:r>
    </w:p>
    <w:p>
      <w:pPr>
        <w:pStyle w:val="ListParagraph"/>
        <w:numPr>
          <w:ilvl w:val="0"/>
          <w:numId w:val="2"/>
        </w:numPr>
        <w:spacing w:after="50" w:line="264"/>
      </w:pPr>
      <w:r>
        <w:rPr>
          <w:rFonts w:ascii="Arial" w:cs="Arial" w:eastAsia="Arial" w:hAnsi="Arial"/>
          <w:color w:val="33444F"/>
          <w:sz w:val="21"/>
          <w:szCs w:val="21"/>
        </w:rPr>
        <w:t xml:space="preserve">Select antigen-negative units appropriately.</w:t>
      </w:r>
    </w:p>
    <w:p>
      <w:pPr>
        <w:spacing w:after="40" w:before="120"/>
      </w:pPr>
      <w:r>
        <w:rPr>
          <w:rFonts w:ascii="Arial" w:cs="Arial" w:eastAsia="Arial" w:hAnsi="Arial"/>
          <w:b/>
          <w:bCs/>
          <w:color w:val="AD1457"/>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Panel interpretation: ruling out and in</w:t>
      </w:r>
    </w:p>
    <w:p>
      <w:pPr>
        <w:pStyle w:val="ListParagraph"/>
        <w:numPr>
          <w:ilvl w:val="0"/>
          <w:numId w:val="2"/>
        </w:numPr>
        <w:spacing w:after="50" w:line="264"/>
      </w:pPr>
      <w:r>
        <w:rPr>
          <w:rFonts w:ascii="Arial" w:cs="Arial" w:eastAsia="Arial" w:hAnsi="Arial"/>
          <w:color w:val="33444F"/>
          <w:sz w:val="21"/>
          <w:szCs w:val="21"/>
        </w:rPr>
        <w:t xml:space="preserve">Clinically significant alloantibodies (Rh, Kell, Kidd, Duffy)</w:t>
      </w:r>
    </w:p>
    <w:p>
      <w:pPr>
        <w:pStyle w:val="ListParagraph"/>
        <w:numPr>
          <w:ilvl w:val="0"/>
          <w:numId w:val="2"/>
        </w:numPr>
        <w:spacing w:after="50" w:line="264"/>
      </w:pPr>
      <w:r>
        <w:rPr>
          <w:rFonts w:ascii="Arial" w:cs="Arial" w:eastAsia="Arial" w:hAnsi="Arial"/>
          <w:color w:val="33444F"/>
          <w:sz w:val="21"/>
          <w:szCs w:val="21"/>
        </w:rPr>
        <w:t xml:space="preserve">Warm autoantibody workup; adsorptions</w:t>
      </w:r>
    </w:p>
    <w:p>
      <w:pPr>
        <w:pStyle w:val="ListParagraph"/>
        <w:numPr>
          <w:ilvl w:val="0"/>
          <w:numId w:val="2"/>
        </w:numPr>
        <w:spacing w:after="50" w:line="264"/>
      </w:pPr>
      <w:r>
        <w:rPr>
          <w:rFonts w:ascii="Arial" w:cs="Arial" w:eastAsia="Arial" w:hAnsi="Arial"/>
          <w:color w:val="33444F"/>
          <w:sz w:val="21"/>
          <w:szCs w:val="21"/>
        </w:rPr>
        <w:t xml:space="preserve">Enzyme effects and antigen dosage</w:t>
      </w:r>
    </w:p>
    <w:p>
      <w:pPr>
        <w:pStyle w:val="ListParagraph"/>
        <w:numPr>
          <w:ilvl w:val="0"/>
          <w:numId w:val="2"/>
        </w:numPr>
        <w:spacing w:after="50" w:line="264"/>
      </w:pPr>
      <w:r>
        <w:rPr>
          <w:rFonts w:ascii="Arial" w:cs="Arial" w:eastAsia="Arial" w:hAnsi="Arial"/>
          <w:color w:val="33444F"/>
          <w:sz w:val="21"/>
          <w:szCs w:val="21"/>
        </w:rPr>
        <w:t xml:space="preserve">Phenotyping and antigen-negative selection</w:t>
      </w:r>
    </w:p>
    <w:p>
      <w:pPr>
        <w:pStyle w:val="ListParagraph"/>
        <w:numPr>
          <w:ilvl w:val="0"/>
          <w:numId w:val="2"/>
        </w:numPr>
        <w:spacing w:after="50" w:line="264"/>
      </w:pPr>
      <w:r>
        <w:rPr>
          <w:rFonts w:ascii="Arial" w:cs="Arial" w:eastAsia="Arial" w:hAnsi="Arial"/>
          <w:color w:val="33444F"/>
          <w:sz w:val="21"/>
          <w:szCs w:val="21"/>
        </w:rPr>
        <w:t xml:space="preserve">High-frequency / low-frequency antigens</w:t>
      </w:r>
    </w:p>
    <w:p>
      <w:pPr>
        <w:spacing w:after="40" w:before="120"/>
      </w:pPr>
      <w:r>
        <w:rPr>
          <w:rFonts w:ascii="Arial" w:cs="Arial" w:eastAsia="Arial" w:hAnsi="Arial"/>
          <w:b/>
          <w:bCs/>
          <w:color w:val="AD1457"/>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Single vs multiple alloantibodies on a panel</w:t>
      </w:r>
    </w:p>
    <w:p>
      <w:pPr>
        <w:pStyle w:val="ListParagraph"/>
        <w:numPr>
          <w:ilvl w:val="0"/>
          <w:numId w:val="2"/>
        </w:numPr>
        <w:spacing w:after="50" w:line="264"/>
      </w:pPr>
      <w:r>
        <w:rPr>
          <w:rFonts w:ascii="Arial" w:cs="Arial" w:eastAsia="Arial" w:hAnsi="Arial"/>
          <w:color w:val="33444F"/>
          <w:sz w:val="21"/>
          <w:szCs w:val="21"/>
        </w:rPr>
        <w:t xml:space="preserve">Anti-Jkᵃ dosage and evanescence</w:t>
      </w:r>
    </w:p>
    <w:p>
      <w:pPr>
        <w:pStyle w:val="ListParagraph"/>
        <w:numPr>
          <w:ilvl w:val="0"/>
          <w:numId w:val="2"/>
        </w:numPr>
        <w:spacing w:after="50" w:line="264"/>
      </w:pPr>
      <w:r>
        <w:rPr>
          <w:rFonts w:ascii="Arial" w:cs="Arial" w:eastAsia="Arial" w:hAnsi="Arial"/>
          <w:color w:val="33444F"/>
          <w:sz w:val="21"/>
          <w:szCs w:val="21"/>
        </w:rPr>
        <w:t xml:space="preserve">Warm autoantibody masking an alloantibody</w:t>
      </w:r>
    </w:p>
    <w:p>
      <w:pPr>
        <w:spacing w:after="40" w:before="120"/>
      </w:pPr>
      <w:r>
        <w:rPr>
          <w:rFonts w:ascii="Arial" w:cs="Arial" w:eastAsia="Arial" w:hAnsi="Arial"/>
          <w:b/>
          <w:bCs/>
          <w:color w:val="AD1457"/>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Pretransfusion testing and antibody identification lectures</w:t>
      </w:r>
      <w:r>
        <w:rPr>
          <w:rFonts w:ascii="Arial" w:cs="Arial" w:eastAsia="Arial" w:hAnsi="Arial"/>
          <w:i/>
          <w:iCs/>
          <w:color w:val="6B7B8A"/>
          <w:sz w:val="18"/>
          <w:szCs w:val="18"/>
        </w:rPr>
        <w:t xml:space="preserve">   (Transfusion Medicine / Dr Otrock lectures)</w:t>
      </w:r>
    </w:p>
    <w:p>
      <w:pPr>
        <w:pStyle w:val="ListParagraph"/>
        <w:numPr>
          <w:ilvl w:val="0"/>
          <w:numId w:val="3"/>
        </w:numPr>
        <w:spacing w:after="50" w:line="264"/>
      </w:pPr>
      <w:r>
        <w:rPr>
          <w:rFonts w:ascii="Arial" w:cs="Arial" w:eastAsia="Arial" w:hAnsi="Arial"/>
          <w:color w:val="33444F"/>
          <w:sz w:val="20"/>
          <w:szCs w:val="20"/>
        </w:rPr>
        <w:t xml:space="preserve">TMH S1 C H A P T E R 2 0 Antibody Identification</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TMH S1 C H A P T E R 2 5 Kell and Kidd Blood Group Systems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DAT and Immune Hemolysis</w:t>
      </w:r>
      <w:r>
        <w:rPr>
          <w:rFonts w:ascii="Arial" w:cs="Arial" w:eastAsia="Arial" w:hAnsi="Arial"/>
          <w:i/>
          <w:iCs/>
          <w:color w:val="6B7B8A"/>
          <w:sz w:val="18"/>
          <w:szCs w:val="18"/>
        </w:rPr>
        <w:t xml:space="preserve">   (Transfusion Medicine / Dr. Eisenbrey Lectures)</w:t>
      </w:r>
    </w:p>
    <w:p>
      <w:pPr>
        <w:pStyle w:val="ListParagraph"/>
        <w:numPr>
          <w:ilvl w:val="0"/>
          <w:numId w:val="3"/>
        </w:numPr>
        <w:spacing w:after="50" w:line="264"/>
      </w:pPr>
      <w:r>
        <w:rPr>
          <w:rFonts w:ascii="Arial" w:cs="Arial" w:eastAsia="Arial" w:hAnsi="Arial"/>
          <w:color w:val="33444F"/>
          <w:sz w:val="20"/>
          <w:szCs w:val="20"/>
        </w:rPr>
        <w:t xml:space="preserve">Harmening 5 The Antiglobulin Test</w:t>
      </w:r>
      <w:r>
        <w:rPr>
          <w:rFonts w:ascii="Arial" w:cs="Arial" w:eastAsia="Arial" w:hAnsi="Arial"/>
          <w:i/>
          <w:iCs/>
          <w:color w:val="6B7B8A"/>
          <w:sz w:val="18"/>
          <w:szCs w:val="18"/>
        </w:rPr>
        <w:t xml:space="preserve">   (Transfusion Medicine / Harmening)</w:t>
      </w:r>
    </w:p>
    <w:p>
      <w:pPr>
        <w:pStyle w:val="ListParagraph"/>
        <w:numPr>
          <w:ilvl w:val="0"/>
          <w:numId w:val="3"/>
        </w:numPr>
        <w:spacing w:after="50" w:line="264"/>
      </w:pPr>
      <w:r>
        <w:rPr>
          <w:rFonts w:ascii="Arial" w:cs="Arial" w:eastAsia="Arial" w:hAnsi="Arial"/>
          <w:color w:val="33444F"/>
          <w:sz w:val="20"/>
          <w:szCs w:val="20"/>
        </w:rPr>
        <w:t xml:space="preserve">AABB Chap17 Direct Antiglobulin Test</w:t>
      </w:r>
      <w:r>
        <w:rPr>
          <w:rFonts w:ascii="Arial" w:cs="Arial" w:eastAsia="Arial" w:hAnsi="Arial"/>
          <w:i/>
          <w:iCs/>
          <w:color w:val="6B7B8A"/>
          <w:sz w:val="18"/>
          <w:szCs w:val="18"/>
        </w:rPr>
        <w:t xml:space="preserve">   (Transfusion Medicine / AABB Technical Manual)</w:t>
      </w:r>
    </w:p>
    <w:p>
      <w:pPr>
        <w:pStyle w:val="Heading3"/>
        <w:spacing w:after="40" w:before="200"/>
      </w:pPr>
      <w:r>
        <w:rPr>
          <w:rFonts w:ascii="Arial" w:cs="Arial" w:eastAsia="Arial" w:hAnsi="Arial"/>
          <w:b/>
          <w:bCs/>
          <w:color w:val="AD1457"/>
          <w:sz w:val="23"/>
          <w:szCs w:val="23"/>
        </w:rPr>
        <w:t xml:space="preserve">8.  </w:t>
      </w:r>
      <w:r>
        <w:rPr>
          <w:rFonts w:ascii="Arial" w:cs="Arial" w:eastAsia="Arial" w:hAnsi="Arial"/>
          <w:b/>
          <w:bCs/>
          <w:color w:val="1B2A38"/>
          <w:sz w:val="23"/>
          <w:szCs w:val="23"/>
        </w:rPr>
        <w:t xml:space="preserve">Transfusion Reactions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Trans_03.pptx</w:t>
      </w:r>
    </w:p>
    <w:p>
      <w:pPr>
        <w:spacing w:after="40" w:before="120"/>
      </w:pPr>
      <w:r>
        <w:rPr>
          <w:rFonts w:ascii="Arial" w:cs="Arial" w:eastAsia="Arial" w:hAnsi="Arial"/>
          <w:b/>
          <w:bCs/>
          <w:color w:val="AD1457"/>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Execute the universal first response to a suspected acute reaction.</w:t>
      </w:r>
    </w:p>
    <w:p>
      <w:pPr>
        <w:pStyle w:val="ListParagraph"/>
        <w:numPr>
          <w:ilvl w:val="0"/>
          <w:numId w:val="2"/>
        </w:numPr>
        <w:spacing w:after="50" w:line="264"/>
      </w:pPr>
      <w:r>
        <w:rPr>
          <w:rFonts w:ascii="Arial" w:cs="Arial" w:eastAsia="Arial" w:hAnsi="Arial"/>
          <w:color w:val="33444F"/>
          <w:sz w:val="21"/>
          <w:szCs w:val="21"/>
        </w:rPr>
        <w:t xml:space="preserve">Classify reactions by timing and mechanism.</w:t>
      </w:r>
    </w:p>
    <w:p>
      <w:pPr>
        <w:pStyle w:val="ListParagraph"/>
        <w:numPr>
          <w:ilvl w:val="0"/>
          <w:numId w:val="2"/>
        </w:numPr>
        <w:spacing w:after="50" w:line="264"/>
      </w:pPr>
      <w:r>
        <w:rPr>
          <w:rFonts w:ascii="Arial" w:cs="Arial" w:eastAsia="Arial" w:hAnsi="Arial"/>
          <w:color w:val="33444F"/>
          <w:sz w:val="21"/>
          <w:szCs w:val="21"/>
        </w:rPr>
        <w:t xml:space="preserve">Manage hemolytic, febrile, allergic/anaphylactic, and septic reactions.</w:t>
      </w:r>
    </w:p>
    <w:p>
      <w:pPr>
        <w:pStyle w:val="ListParagraph"/>
        <w:numPr>
          <w:ilvl w:val="0"/>
          <w:numId w:val="2"/>
        </w:numPr>
        <w:spacing w:after="50" w:line="264"/>
      </w:pPr>
      <w:r>
        <w:rPr>
          <w:rFonts w:ascii="Arial" w:cs="Arial" w:eastAsia="Arial" w:hAnsi="Arial"/>
          <w:color w:val="33444F"/>
          <w:sz w:val="21"/>
          <w:szCs w:val="21"/>
        </w:rPr>
        <w:t xml:space="preserve">Distinguish TACO from TRALI.</w:t>
      </w:r>
    </w:p>
    <w:p>
      <w:pPr>
        <w:pStyle w:val="ListParagraph"/>
        <w:numPr>
          <w:ilvl w:val="0"/>
          <w:numId w:val="2"/>
        </w:numPr>
        <w:spacing w:after="50" w:line="264"/>
      </w:pPr>
      <w:r>
        <w:rPr>
          <w:rFonts w:ascii="Arial" w:cs="Arial" w:eastAsia="Arial" w:hAnsi="Arial"/>
          <w:color w:val="33444F"/>
          <w:sz w:val="21"/>
          <w:szCs w:val="21"/>
        </w:rPr>
        <w:t xml:space="preserve">Select product modifications to prevent recurrence.</w:t>
      </w:r>
    </w:p>
    <w:p>
      <w:pPr>
        <w:spacing w:after="40" w:before="120"/>
      </w:pPr>
      <w:r>
        <w:rPr>
          <w:rFonts w:ascii="Arial" w:cs="Arial" w:eastAsia="Arial" w:hAnsi="Arial"/>
          <w:b/>
          <w:bCs/>
          <w:color w:val="AD1457"/>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First response: stop–stabilize–verify–notify</w:t>
      </w:r>
    </w:p>
    <w:p>
      <w:pPr>
        <w:pStyle w:val="ListParagraph"/>
        <w:numPr>
          <w:ilvl w:val="0"/>
          <w:numId w:val="2"/>
        </w:numPr>
        <w:spacing w:after="50" w:line="264"/>
      </w:pPr>
      <w:r>
        <w:rPr>
          <w:rFonts w:ascii="Arial" w:cs="Arial" w:eastAsia="Arial" w:hAnsi="Arial"/>
          <w:color w:val="33444F"/>
          <w:sz w:val="21"/>
          <w:szCs w:val="21"/>
        </w:rPr>
        <w:t xml:space="preserve">Acute hemolytic (AHTR) and the ABO error</w:t>
      </w:r>
    </w:p>
    <w:p>
      <w:pPr>
        <w:pStyle w:val="ListParagraph"/>
        <w:numPr>
          <w:ilvl w:val="0"/>
          <w:numId w:val="2"/>
        </w:numPr>
        <w:spacing w:after="50" w:line="264"/>
      </w:pPr>
      <w:r>
        <w:rPr>
          <w:rFonts w:ascii="Arial" w:cs="Arial" w:eastAsia="Arial" w:hAnsi="Arial"/>
          <w:color w:val="33444F"/>
          <w:sz w:val="21"/>
          <w:szCs w:val="21"/>
        </w:rPr>
        <w:t xml:space="preserve">FNHTR, allergic, and anaphylactic reactions</w:t>
      </w:r>
    </w:p>
    <w:p>
      <w:pPr>
        <w:pStyle w:val="ListParagraph"/>
        <w:numPr>
          <w:ilvl w:val="0"/>
          <w:numId w:val="2"/>
        </w:numPr>
        <w:spacing w:after="50" w:line="264"/>
      </w:pPr>
      <w:r>
        <w:rPr>
          <w:rFonts w:ascii="Arial" w:cs="Arial" w:eastAsia="Arial" w:hAnsi="Arial"/>
          <w:color w:val="33444F"/>
          <w:sz w:val="21"/>
          <w:szCs w:val="21"/>
        </w:rPr>
        <w:t xml:space="preserve">Septic reactions and platelet storage risk</w:t>
      </w:r>
    </w:p>
    <w:p>
      <w:pPr>
        <w:pStyle w:val="ListParagraph"/>
        <w:numPr>
          <w:ilvl w:val="0"/>
          <w:numId w:val="2"/>
        </w:numPr>
        <w:spacing w:after="50" w:line="264"/>
      </w:pPr>
      <w:r>
        <w:rPr>
          <w:rFonts w:ascii="Arial" w:cs="Arial" w:eastAsia="Arial" w:hAnsi="Arial"/>
          <w:color w:val="33444F"/>
          <w:sz w:val="21"/>
          <w:szCs w:val="21"/>
        </w:rPr>
        <w:t xml:space="preserve">TACO vs TRALI</w:t>
      </w:r>
    </w:p>
    <w:p>
      <w:pPr>
        <w:pStyle w:val="ListParagraph"/>
        <w:numPr>
          <w:ilvl w:val="0"/>
          <w:numId w:val="2"/>
        </w:numPr>
        <w:spacing w:after="50" w:line="264"/>
      </w:pPr>
      <w:r>
        <w:rPr>
          <w:rFonts w:ascii="Arial" w:cs="Arial" w:eastAsia="Arial" w:hAnsi="Arial"/>
          <w:color w:val="33444F"/>
          <w:sz w:val="21"/>
          <w:szCs w:val="21"/>
        </w:rPr>
        <w:t xml:space="preserve">Delayed reactions and prevention strategies</w:t>
      </w:r>
    </w:p>
    <w:p>
      <w:pPr>
        <w:spacing w:after="40" w:before="120"/>
      </w:pPr>
      <w:r>
        <w:rPr>
          <w:rFonts w:ascii="Arial" w:cs="Arial" w:eastAsia="Arial" w:hAnsi="Arial"/>
          <w:b/>
          <w:bCs/>
          <w:color w:val="AD1457"/>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AHTR root cause (misidentification)</w:t>
      </w:r>
    </w:p>
    <w:p>
      <w:pPr>
        <w:pStyle w:val="ListParagraph"/>
        <w:numPr>
          <w:ilvl w:val="0"/>
          <w:numId w:val="2"/>
        </w:numPr>
        <w:spacing w:after="50" w:line="264"/>
      </w:pPr>
      <w:r>
        <w:rPr>
          <w:rFonts w:ascii="Arial" w:cs="Arial" w:eastAsia="Arial" w:hAnsi="Arial"/>
          <w:color w:val="33444F"/>
          <w:sz w:val="21"/>
          <w:szCs w:val="21"/>
        </w:rPr>
        <w:t xml:space="preserve">TACO vs TRALI discriminators (BNP, BP, diuretic response)</w:t>
      </w:r>
    </w:p>
    <w:p>
      <w:pPr>
        <w:pStyle w:val="ListParagraph"/>
        <w:numPr>
          <w:ilvl w:val="0"/>
          <w:numId w:val="2"/>
        </w:numPr>
        <w:spacing w:after="50" w:line="264"/>
      </w:pPr>
      <w:r>
        <w:rPr>
          <w:rFonts w:ascii="Arial" w:cs="Arial" w:eastAsia="Arial" w:hAnsi="Arial"/>
          <w:color w:val="33444F"/>
          <w:sz w:val="21"/>
          <w:szCs w:val="21"/>
        </w:rPr>
        <w:t xml:space="preserve">Irradiation for TA-GVHD prevention</w:t>
      </w:r>
    </w:p>
    <w:p>
      <w:pPr>
        <w:spacing w:after="40" w:before="120"/>
      </w:pPr>
      <w:r>
        <w:rPr>
          <w:rFonts w:ascii="Arial" w:cs="Arial" w:eastAsia="Arial" w:hAnsi="Arial"/>
          <w:b/>
          <w:bCs/>
          <w:color w:val="AD1457"/>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TMH S1 C H A P T E R 5 9 Febrile Non Hemolytic Transfusion Reactions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TMH S1 C H A P T E R 6 5 Septic Transfusion Reactions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TMH S1 C H A P T E R 6 1 Acute Hemolytic Transfusion Reactions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Trans Transfusion reactions pathology residents lecture</w:t>
      </w:r>
      <w:r>
        <w:rPr>
          <w:rFonts w:ascii="Arial" w:cs="Arial" w:eastAsia="Arial" w:hAnsi="Arial"/>
          <w:i/>
          <w:iCs/>
          <w:color w:val="6B7B8A"/>
          <w:sz w:val="18"/>
          <w:szCs w:val="18"/>
        </w:rPr>
        <w:t xml:space="preserve">   (Transfusion Medicine / Dr Otrock lectures)</w:t>
      </w:r>
    </w:p>
    <w:p>
      <w:pPr>
        <w:pStyle w:val="ListParagraph"/>
        <w:numPr>
          <w:ilvl w:val="0"/>
          <w:numId w:val="3"/>
        </w:numPr>
        <w:spacing w:after="50" w:line="264"/>
      </w:pPr>
      <w:r>
        <w:rPr>
          <w:rFonts w:ascii="Arial" w:cs="Arial" w:eastAsia="Arial" w:hAnsi="Arial"/>
          <w:color w:val="33444F"/>
          <w:sz w:val="20"/>
          <w:szCs w:val="20"/>
        </w:rPr>
        <w:t xml:space="preserve">TMH S1 C H A P T E R 6 0 Allergic Transfusion Reactions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Harmening 20 Autoimmune Hemolytic Anemia</w:t>
      </w:r>
      <w:r>
        <w:rPr>
          <w:rFonts w:ascii="Arial" w:cs="Arial" w:eastAsia="Arial" w:hAnsi="Arial"/>
          <w:i/>
          <w:iCs/>
          <w:color w:val="6B7B8A"/>
          <w:sz w:val="18"/>
          <w:szCs w:val="18"/>
        </w:rPr>
        <w:t xml:space="preserve">   (Transfusion Medicine / Harmening)</w:t>
      </w:r>
    </w:p>
    <w:p>
      <w:pPr>
        <w:pStyle w:val="Heading3"/>
        <w:spacing w:after="40" w:before="200"/>
      </w:pPr>
      <w:r>
        <w:rPr>
          <w:rFonts w:ascii="Arial" w:cs="Arial" w:eastAsia="Arial" w:hAnsi="Arial"/>
          <w:b/>
          <w:bCs/>
          <w:color w:val="AD1457"/>
          <w:sz w:val="23"/>
          <w:szCs w:val="23"/>
        </w:rPr>
        <w:t xml:space="preserve">9.  </w:t>
      </w:r>
      <w:r>
        <w:rPr>
          <w:rFonts w:ascii="Arial" w:cs="Arial" w:eastAsia="Arial" w:hAnsi="Arial"/>
          <w:b/>
          <w:bCs/>
          <w:color w:val="1B2A38"/>
          <w:sz w:val="23"/>
          <w:szCs w:val="23"/>
        </w:rPr>
        <w:t xml:space="preserve">Component Therapy and Massive Transfusion</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Trans_04.pptx</w:t>
      </w:r>
    </w:p>
    <w:p>
      <w:pPr>
        <w:spacing w:after="40" w:before="120"/>
      </w:pPr>
      <w:r>
        <w:rPr>
          <w:rFonts w:ascii="Arial" w:cs="Arial" w:eastAsia="Arial" w:hAnsi="Arial"/>
          <w:b/>
          <w:bCs/>
          <w:color w:val="AD1457"/>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Select the correct component for the clinical indication.</w:t>
      </w:r>
    </w:p>
    <w:p>
      <w:pPr>
        <w:pStyle w:val="ListParagraph"/>
        <w:numPr>
          <w:ilvl w:val="0"/>
          <w:numId w:val="2"/>
        </w:numPr>
        <w:spacing w:after="50" w:line="264"/>
      </w:pPr>
      <w:r>
        <w:rPr>
          <w:rFonts w:ascii="Arial" w:cs="Arial" w:eastAsia="Arial" w:hAnsi="Arial"/>
          <w:color w:val="33444F"/>
          <w:sz w:val="21"/>
          <w:szCs w:val="21"/>
        </w:rPr>
        <w:t xml:space="preserve">State evidence-based thresholds for red cells and platelets.</w:t>
      </w:r>
    </w:p>
    <w:p>
      <w:pPr>
        <w:pStyle w:val="ListParagraph"/>
        <w:numPr>
          <w:ilvl w:val="0"/>
          <w:numId w:val="2"/>
        </w:numPr>
        <w:spacing w:after="50" w:line="264"/>
      </w:pPr>
      <w:r>
        <w:rPr>
          <w:rFonts w:ascii="Arial" w:cs="Arial" w:eastAsia="Arial" w:hAnsi="Arial"/>
          <w:color w:val="33444F"/>
          <w:sz w:val="21"/>
          <w:szCs w:val="21"/>
        </w:rPr>
        <w:t xml:space="preserve">Describe plasma, cryoprecipitate, and fibrinogen replacement.</w:t>
      </w:r>
    </w:p>
    <w:p>
      <w:pPr>
        <w:pStyle w:val="ListParagraph"/>
        <w:numPr>
          <w:ilvl w:val="0"/>
          <w:numId w:val="2"/>
        </w:numPr>
        <w:spacing w:after="50" w:line="264"/>
      </w:pPr>
      <w:r>
        <w:rPr>
          <w:rFonts w:ascii="Arial" w:cs="Arial" w:eastAsia="Arial" w:hAnsi="Arial"/>
          <w:color w:val="33444F"/>
          <w:sz w:val="21"/>
          <w:szCs w:val="21"/>
        </w:rPr>
        <w:t xml:space="preserve">Outline a massive transfusion protocol.</w:t>
      </w:r>
    </w:p>
    <w:p>
      <w:pPr>
        <w:pStyle w:val="ListParagraph"/>
        <w:numPr>
          <w:ilvl w:val="0"/>
          <w:numId w:val="2"/>
        </w:numPr>
        <w:spacing w:after="50" w:line="264"/>
      </w:pPr>
      <w:r>
        <w:rPr>
          <w:rFonts w:ascii="Arial" w:cs="Arial" w:eastAsia="Arial" w:hAnsi="Arial"/>
          <w:color w:val="33444F"/>
          <w:sz w:val="21"/>
          <w:szCs w:val="21"/>
        </w:rPr>
        <w:t xml:space="preserve">Recognize complications of large-volume transfusion.</w:t>
      </w:r>
    </w:p>
    <w:p>
      <w:pPr>
        <w:spacing w:after="40" w:before="120"/>
      </w:pPr>
      <w:r>
        <w:rPr>
          <w:rFonts w:ascii="Arial" w:cs="Arial" w:eastAsia="Arial" w:hAnsi="Arial"/>
          <w:b/>
          <w:bCs/>
          <w:color w:val="AD1457"/>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RBC, platelet, plasma, cryoprecipitate indications</w:t>
      </w:r>
    </w:p>
    <w:p>
      <w:pPr>
        <w:pStyle w:val="ListParagraph"/>
        <w:numPr>
          <w:ilvl w:val="0"/>
          <w:numId w:val="2"/>
        </w:numPr>
        <w:spacing w:after="50" w:line="264"/>
      </w:pPr>
      <w:r>
        <w:rPr>
          <w:rFonts w:ascii="Arial" w:cs="Arial" w:eastAsia="Arial" w:hAnsi="Arial"/>
          <w:color w:val="33444F"/>
          <w:sz w:val="21"/>
          <w:szCs w:val="21"/>
        </w:rPr>
        <w:t xml:space="preserve">Restrictive transfusion thresholds</w:t>
      </w:r>
    </w:p>
    <w:p>
      <w:pPr>
        <w:pStyle w:val="ListParagraph"/>
        <w:numPr>
          <w:ilvl w:val="0"/>
          <w:numId w:val="2"/>
        </w:numPr>
        <w:spacing w:after="50" w:line="264"/>
      </w:pPr>
      <w:r>
        <w:rPr>
          <w:rFonts w:ascii="Arial" w:cs="Arial" w:eastAsia="Arial" w:hAnsi="Arial"/>
          <w:color w:val="33444F"/>
          <w:sz w:val="21"/>
          <w:szCs w:val="21"/>
        </w:rPr>
        <w:t xml:space="preserve">Fibrinogen replacement and cryoprecipitate</w:t>
      </w:r>
    </w:p>
    <w:p>
      <w:pPr>
        <w:pStyle w:val="ListParagraph"/>
        <w:numPr>
          <w:ilvl w:val="0"/>
          <w:numId w:val="2"/>
        </w:numPr>
        <w:spacing w:after="50" w:line="264"/>
      </w:pPr>
      <w:r>
        <w:rPr>
          <w:rFonts w:ascii="Arial" w:cs="Arial" w:eastAsia="Arial" w:hAnsi="Arial"/>
          <w:color w:val="33444F"/>
          <w:sz w:val="21"/>
          <w:szCs w:val="21"/>
        </w:rPr>
        <w:t xml:space="preserve">Massive transfusion protocols and ratios</w:t>
      </w:r>
    </w:p>
    <w:p>
      <w:pPr>
        <w:pStyle w:val="ListParagraph"/>
        <w:numPr>
          <w:ilvl w:val="0"/>
          <w:numId w:val="2"/>
        </w:numPr>
        <w:spacing w:after="50" w:line="264"/>
      </w:pPr>
      <w:r>
        <w:rPr>
          <w:rFonts w:ascii="Arial" w:cs="Arial" w:eastAsia="Arial" w:hAnsi="Arial"/>
          <w:color w:val="33444F"/>
          <w:sz w:val="21"/>
          <w:szCs w:val="21"/>
        </w:rPr>
        <w:t xml:space="preserve">Citrate toxicity, hypothermia, electrolyte shifts</w:t>
      </w:r>
    </w:p>
    <w:p>
      <w:pPr>
        <w:pStyle w:val="ListParagraph"/>
        <w:numPr>
          <w:ilvl w:val="0"/>
          <w:numId w:val="2"/>
        </w:numPr>
        <w:spacing w:after="50" w:line="264"/>
      </w:pPr>
      <w:r>
        <w:rPr>
          <w:rFonts w:ascii="Arial" w:cs="Arial" w:eastAsia="Arial" w:hAnsi="Arial"/>
          <w:color w:val="33444F"/>
          <w:sz w:val="21"/>
          <w:szCs w:val="21"/>
        </w:rPr>
        <w:t xml:space="preserve">Viscoelastic-guided resuscitation</w:t>
      </w:r>
    </w:p>
    <w:p>
      <w:pPr>
        <w:spacing w:after="40" w:before="120"/>
      </w:pPr>
      <w:r>
        <w:rPr>
          <w:rFonts w:ascii="Arial" w:cs="Arial" w:eastAsia="Arial" w:hAnsi="Arial"/>
          <w:b/>
          <w:bCs/>
          <w:color w:val="AD1457"/>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Restrictive vs liberal RBC thresholds</w:t>
      </w:r>
    </w:p>
    <w:p>
      <w:pPr>
        <w:pStyle w:val="ListParagraph"/>
        <w:numPr>
          <w:ilvl w:val="0"/>
          <w:numId w:val="2"/>
        </w:numPr>
        <w:spacing w:after="50" w:line="264"/>
      </w:pPr>
      <w:r>
        <w:rPr>
          <w:rFonts w:ascii="Arial" w:cs="Arial" w:eastAsia="Arial" w:hAnsi="Arial"/>
          <w:color w:val="33444F"/>
          <w:sz w:val="21"/>
          <w:szCs w:val="21"/>
        </w:rPr>
        <w:t xml:space="preserve">Platelet dose and refractoriness</w:t>
      </w:r>
    </w:p>
    <w:p>
      <w:pPr>
        <w:pStyle w:val="ListParagraph"/>
        <w:numPr>
          <w:ilvl w:val="0"/>
          <w:numId w:val="2"/>
        </w:numPr>
        <w:spacing w:after="50" w:line="264"/>
      </w:pPr>
      <w:r>
        <w:rPr>
          <w:rFonts w:ascii="Arial" w:cs="Arial" w:eastAsia="Arial" w:hAnsi="Arial"/>
          <w:color w:val="33444F"/>
          <w:sz w:val="21"/>
          <w:szCs w:val="21"/>
        </w:rPr>
        <w:t xml:space="preserve">Citrate effect: ionized calcium in massive transfusion</w:t>
      </w:r>
    </w:p>
    <w:p>
      <w:pPr>
        <w:spacing w:after="40" w:before="120"/>
      </w:pPr>
      <w:r>
        <w:rPr>
          <w:rFonts w:ascii="Arial" w:cs="Arial" w:eastAsia="Arial" w:hAnsi="Arial"/>
          <w:b/>
          <w:bCs/>
          <w:color w:val="AD1457"/>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Blood Components AlyssaVitale</w:t>
      </w:r>
      <w:r>
        <w:rPr>
          <w:rFonts w:ascii="Arial" w:cs="Arial" w:eastAsia="Arial" w:hAnsi="Arial"/>
          <w:i/>
          <w:iCs/>
          <w:color w:val="6B7B8A"/>
          <w:sz w:val="18"/>
          <w:szCs w:val="18"/>
        </w:rPr>
        <w:t xml:space="preserve">   (Transfusion Medicine)</w:t>
      </w:r>
    </w:p>
    <w:p>
      <w:pPr>
        <w:pStyle w:val="ListParagraph"/>
        <w:numPr>
          <w:ilvl w:val="0"/>
          <w:numId w:val="3"/>
        </w:numPr>
        <w:spacing w:after="50" w:line="264"/>
      </w:pPr>
      <w:r>
        <w:rPr>
          <w:rFonts w:ascii="Arial" w:cs="Arial" w:eastAsia="Arial" w:hAnsi="Arial"/>
          <w:color w:val="33444F"/>
          <w:sz w:val="20"/>
          <w:szCs w:val="20"/>
        </w:rPr>
        <w:t xml:space="preserve">ApheresisBook chap06 Automated Donations Plasma Red Cells and Multicomponent</w:t>
      </w:r>
      <w:r>
        <w:rPr>
          <w:rFonts w:ascii="Arial" w:cs="Arial" w:eastAsia="Arial" w:hAnsi="Arial"/>
          <w:i/>
          <w:iCs/>
          <w:color w:val="6B7B8A"/>
          <w:sz w:val="18"/>
          <w:szCs w:val="18"/>
        </w:rPr>
        <w:t xml:space="preserve">   (Transfusion Medicine / Apheresis Principles and Practice, 3rd Edition)</w:t>
      </w:r>
    </w:p>
    <w:p>
      <w:pPr>
        <w:pStyle w:val="ListParagraph"/>
        <w:numPr>
          <w:ilvl w:val="0"/>
          <w:numId w:val="3"/>
        </w:numPr>
        <w:spacing w:after="50" w:line="264"/>
      </w:pPr>
      <w:r>
        <w:rPr>
          <w:rFonts w:ascii="Arial" w:cs="Arial" w:eastAsia="Arial" w:hAnsi="Arial"/>
          <w:color w:val="33444F"/>
          <w:sz w:val="20"/>
          <w:szCs w:val="20"/>
        </w:rPr>
        <w:t xml:space="preserve">TMH S1 C H A P T E R 3 4 Cryoprecipitate and Fibrinogen Concentrates</w:t>
      </w:r>
      <w:r>
        <w:rPr>
          <w:rFonts w:ascii="Arial" w:cs="Arial" w:eastAsia="Arial" w:hAnsi="Arial"/>
          <w:i/>
          <w:iCs/>
          <w:color w:val="6B7B8A"/>
          <w:sz w:val="18"/>
          <w:szCs w:val="18"/>
        </w:rPr>
        <w:t xml:space="preserve">   (Transfusion Medicine / Transfusion Medicine and Hemostasis (Book) - Section 1 Transfusion)</w:t>
      </w:r>
    </w:p>
    <w:p>
      <w:pPr>
        <w:pStyle w:val="ListParagraph"/>
        <w:numPr>
          <w:ilvl w:val="0"/>
          <w:numId w:val="3"/>
        </w:numPr>
        <w:spacing w:after="50" w:line="264"/>
      </w:pPr>
      <w:r>
        <w:rPr>
          <w:rFonts w:ascii="Arial" w:cs="Arial" w:eastAsia="Arial" w:hAnsi="Arial"/>
          <w:color w:val="33444F"/>
          <w:sz w:val="20"/>
          <w:szCs w:val="20"/>
        </w:rPr>
        <w:t xml:space="preserve">Thromboelastography</w:t>
      </w:r>
      <w:r>
        <w:rPr>
          <w:rFonts w:ascii="Arial" w:cs="Arial" w:eastAsia="Arial" w:hAnsi="Arial"/>
          <w:i/>
          <w:iCs/>
          <w:color w:val="6B7B8A"/>
          <w:sz w:val="18"/>
          <w:szCs w:val="18"/>
        </w:rPr>
        <w:t xml:space="preserve">   (Transfusion Medicine)</w:t>
      </w:r>
    </w:p>
    <w:p>
      <w:pPr>
        <w:pStyle w:val="ListParagraph"/>
        <w:numPr>
          <w:ilvl w:val="0"/>
          <w:numId w:val="3"/>
        </w:numPr>
        <w:spacing w:after="50" w:line="264"/>
      </w:pPr>
      <w:r>
        <w:rPr>
          <w:rFonts w:ascii="Arial" w:cs="Arial" w:eastAsia="Arial" w:hAnsi="Arial"/>
          <w:color w:val="33444F"/>
          <w:sz w:val="20"/>
          <w:szCs w:val="20"/>
        </w:rPr>
        <w:t xml:space="preserve">Thromboelastography 2</w:t>
      </w:r>
      <w:r>
        <w:rPr>
          <w:rFonts w:ascii="Arial" w:cs="Arial" w:eastAsia="Arial" w:hAnsi="Arial"/>
          <w:i/>
          <w:iCs/>
          <w:color w:val="6B7B8A"/>
          <w:sz w:val="18"/>
          <w:szCs w:val="18"/>
        </w:rPr>
        <w:t xml:space="preserve">   (Transfusion Medicine)</w:t>
      </w:r>
    </w:p>
    <w:p>
      <w:pPr>
        <w:pStyle w:val="ListParagraph"/>
        <w:numPr>
          <w:ilvl w:val="0"/>
          <w:numId w:val="3"/>
        </w:numPr>
        <w:spacing w:after="50" w:line="264"/>
      </w:pPr>
      <w:r>
        <w:rPr>
          <w:rFonts w:ascii="Arial" w:cs="Arial" w:eastAsia="Arial" w:hAnsi="Arial"/>
          <w:color w:val="33444F"/>
          <w:sz w:val="20"/>
          <w:szCs w:val="20"/>
        </w:rPr>
        <w:t xml:space="preserve">Inherited platelet disorders JAS</w:t>
      </w:r>
      <w:r>
        <w:rPr>
          <w:rFonts w:ascii="Arial" w:cs="Arial" w:eastAsia="Arial" w:hAnsi="Arial"/>
          <w:i/>
          <w:iCs/>
          <w:color w:val="6B7B8A"/>
          <w:sz w:val="18"/>
          <w:szCs w:val="18"/>
        </w:rPr>
        <w:t xml:space="preserve">   (Transfusion Medicine)</w:t>
      </w:r>
    </w:p>
    <w:p>
      <w:pPr>
        <w:pStyle w:val="Heading3"/>
        <w:spacing w:after="40" w:before="200"/>
      </w:pPr>
      <w:r>
        <w:rPr>
          <w:rFonts w:ascii="Arial" w:cs="Arial" w:eastAsia="Arial" w:hAnsi="Arial"/>
          <w:b/>
          <w:bCs/>
          <w:color w:val="AD1457"/>
          <w:sz w:val="23"/>
          <w:szCs w:val="23"/>
        </w:rPr>
        <w:t xml:space="preserve">10.  </w:t>
      </w:r>
      <w:r>
        <w:rPr>
          <w:rFonts w:ascii="Arial" w:cs="Arial" w:eastAsia="Arial" w:hAnsi="Arial"/>
          <w:b/>
          <w:bCs/>
          <w:color w:val="1B2A38"/>
          <w:sz w:val="23"/>
          <w:szCs w:val="23"/>
        </w:rPr>
        <w:t xml:space="preserve">Special Topics in Blood Bank</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Trans_05.pptx</w:t>
      </w:r>
    </w:p>
    <w:p>
      <w:pPr>
        <w:spacing w:after="40" w:before="120"/>
      </w:pPr>
      <w:r>
        <w:rPr>
          <w:rFonts w:ascii="Arial" w:cs="Arial" w:eastAsia="Arial" w:hAnsi="Arial"/>
          <w:b/>
          <w:bCs/>
          <w:color w:val="AD1457"/>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HDFN pathophysiology and prevention.</w:t>
      </w:r>
    </w:p>
    <w:p>
      <w:pPr>
        <w:pStyle w:val="ListParagraph"/>
        <w:numPr>
          <w:ilvl w:val="0"/>
          <w:numId w:val="2"/>
        </w:numPr>
        <w:spacing w:after="50" w:line="264"/>
      </w:pPr>
      <w:r>
        <w:rPr>
          <w:rFonts w:ascii="Arial" w:cs="Arial" w:eastAsia="Arial" w:hAnsi="Arial"/>
          <w:color w:val="33444F"/>
          <w:sz w:val="21"/>
          <w:szCs w:val="21"/>
        </w:rPr>
        <w:t xml:space="preserve">State neonatal transfusion considerations.</w:t>
      </w:r>
    </w:p>
    <w:p>
      <w:pPr>
        <w:pStyle w:val="ListParagraph"/>
        <w:numPr>
          <w:ilvl w:val="0"/>
          <w:numId w:val="2"/>
        </w:numPr>
        <w:spacing w:after="50" w:line="264"/>
      </w:pPr>
      <w:r>
        <w:rPr>
          <w:rFonts w:ascii="Arial" w:cs="Arial" w:eastAsia="Arial" w:hAnsi="Arial"/>
          <w:color w:val="33444F"/>
          <w:sz w:val="21"/>
          <w:szCs w:val="21"/>
        </w:rPr>
        <w:t xml:space="preserve">Explain Rh immune globulin use and dosing logic.</w:t>
      </w:r>
    </w:p>
    <w:p>
      <w:pPr>
        <w:pStyle w:val="ListParagraph"/>
        <w:numPr>
          <w:ilvl w:val="0"/>
          <w:numId w:val="2"/>
        </w:numPr>
        <w:spacing w:after="50" w:line="264"/>
      </w:pPr>
      <w:r>
        <w:rPr>
          <w:rFonts w:ascii="Arial" w:cs="Arial" w:eastAsia="Arial" w:hAnsi="Arial"/>
          <w:color w:val="33444F"/>
          <w:sz w:val="21"/>
          <w:szCs w:val="21"/>
        </w:rPr>
        <w:t xml:space="preserve">Indicate irradiated and CMV-safe products.</w:t>
      </w:r>
    </w:p>
    <w:p>
      <w:pPr>
        <w:pStyle w:val="ListParagraph"/>
        <w:numPr>
          <w:ilvl w:val="0"/>
          <w:numId w:val="2"/>
        </w:numPr>
        <w:spacing w:after="50" w:line="264"/>
      </w:pPr>
      <w:r>
        <w:rPr>
          <w:rFonts w:ascii="Arial" w:cs="Arial" w:eastAsia="Arial" w:hAnsi="Arial"/>
          <w:color w:val="33444F"/>
          <w:sz w:val="21"/>
          <w:szCs w:val="21"/>
        </w:rPr>
        <w:t xml:space="preserve">Introduce therapeutic apheresis.</w:t>
      </w:r>
    </w:p>
    <w:p>
      <w:pPr>
        <w:spacing w:after="40" w:before="120"/>
      </w:pPr>
      <w:r>
        <w:rPr>
          <w:rFonts w:ascii="Arial" w:cs="Arial" w:eastAsia="Arial" w:hAnsi="Arial"/>
          <w:b/>
          <w:bCs/>
          <w:color w:val="AD1457"/>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Hemolytic disease of the fetus and newborn</w:t>
      </w:r>
    </w:p>
    <w:p>
      <w:pPr>
        <w:pStyle w:val="ListParagraph"/>
        <w:numPr>
          <w:ilvl w:val="0"/>
          <w:numId w:val="2"/>
        </w:numPr>
        <w:spacing w:after="50" w:line="264"/>
      </w:pPr>
      <w:r>
        <w:rPr>
          <w:rFonts w:ascii="Arial" w:cs="Arial" w:eastAsia="Arial" w:hAnsi="Arial"/>
          <w:color w:val="33444F"/>
          <w:sz w:val="21"/>
          <w:szCs w:val="21"/>
        </w:rPr>
        <w:t xml:space="preserve">Neonatal and intrauterine transfusion</w:t>
      </w:r>
    </w:p>
    <w:p>
      <w:pPr>
        <w:pStyle w:val="ListParagraph"/>
        <w:numPr>
          <w:ilvl w:val="0"/>
          <w:numId w:val="2"/>
        </w:numPr>
        <w:spacing w:after="50" w:line="264"/>
      </w:pPr>
      <w:r>
        <w:rPr>
          <w:rFonts w:ascii="Arial" w:cs="Arial" w:eastAsia="Arial" w:hAnsi="Arial"/>
          <w:color w:val="33444F"/>
          <w:sz w:val="21"/>
          <w:szCs w:val="21"/>
        </w:rPr>
        <w:t xml:space="preserve">Rh immune globulin and the fetomaternal hemorrhage estimate</w:t>
      </w:r>
    </w:p>
    <w:p>
      <w:pPr>
        <w:pStyle w:val="ListParagraph"/>
        <w:numPr>
          <w:ilvl w:val="0"/>
          <w:numId w:val="2"/>
        </w:numPr>
        <w:spacing w:after="50" w:line="264"/>
      </w:pPr>
      <w:r>
        <w:rPr>
          <w:rFonts w:ascii="Arial" w:cs="Arial" w:eastAsia="Arial" w:hAnsi="Arial"/>
          <w:color w:val="33444F"/>
          <w:sz w:val="21"/>
          <w:szCs w:val="21"/>
        </w:rPr>
        <w:t xml:space="preserve">Irradiated, leukoreduced, CMV-safe products</w:t>
      </w:r>
    </w:p>
    <w:p>
      <w:pPr>
        <w:pStyle w:val="ListParagraph"/>
        <w:numPr>
          <w:ilvl w:val="0"/>
          <w:numId w:val="2"/>
        </w:numPr>
        <w:spacing w:after="50" w:line="264"/>
      </w:pPr>
      <w:r>
        <w:rPr>
          <w:rFonts w:ascii="Arial" w:cs="Arial" w:eastAsia="Arial" w:hAnsi="Arial"/>
          <w:color w:val="33444F"/>
          <w:sz w:val="21"/>
          <w:szCs w:val="21"/>
        </w:rPr>
        <w:t xml:space="preserve">Apheresis basics and common indications</w:t>
      </w:r>
    </w:p>
    <w:p>
      <w:pPr>
        <w:pStyle w:val="ListParagraph"/>
        <w:numPr>
          <w:ilvl w:val="0"/>
          <w:numId w:val="2"/>
        </w:numPr>
        <w:spacing w:after="50" w:line="264"/>
      </w:pPr>
      <w:r>
        <w:rPr>
          <w:rFonts w:ascii="Arial" w:cs="Arial" w:eastAsia="Arial" w:hAnsi="Arial"/>
          <w:color w:val="33444F"/>
          <w:sz w:val="21"/>
          <w:szCs w:val="21"/>
        </w:rPr>
        <w:t xml:space="preserve">IgA deficiency and washed products</w:t>
      </w:r>
    </w:p>
    <w:p>
      <w:pPr>
        <w:spacing w:after="40" w:before="120"/>
      </w:pPr>
      <w:r>
        <w:rPr>
          <w:rFonts w:ascii="Arial" w:cs="Arial" w:eastAsia="Arial" w:hAnsi="Arial"/>
          <w:b/>
          <w:bCs/>
          <w:color w:val="AD1457"/>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Rh immune globulin candidate selection</w:t>
      </w:r>
    </w:p>
    <w:p>
      <w:pPr>
        <w:pStyle w:val="ListParagraph"/>
        <w:numPr>
          <w:ilvl w:val="0"/>
          <w:numId w:val="2"/>
        </w:numPr>
        <w:spacing w:after="50" w:line="264"/>
      </w:pPr>
      <w:r>
        <w:rPr>
          <w:rFonts w:ascii="Arial" w:cs="Arial" w:eastAsia="Arial" w:hAnsi="Arial"/>
          <w:color w:val="33444F"/>
          <w:sz w:val="21"/>
          <w:szCs w:val="21"/>
        </w:rPr>
        <w:t xml:space="preserve">Kleihauer-Betke / FMH dose calculation</w:t>
      </w:r>
    </w:p>
    <w:p>
      <w:pPr>
        <w:pStyle w:val="ListParagraph"/>
        <w:numPr>
          <w:ilvl w:val="0"/>
          <w:numId w:val="2"/>
        </w:numPr>
        <w:spacing w:after="50" w:line="264"/>
      </w:pPr>
      <w:r>
        <w:rPr>
          <w:rFonts w:ascii="Arial" w:cs="Arial" w:eastAsia="Arial" w:hAnsi="Arial"/>
          <w:color w:val="33444F"/>
          <w:sz w:val="21"/>
          <w:szCs w:val="21"/>
        </w:rPr>
        <w:t xml:space="preserve">Indications for irradiated components</w:t>
      </w:r>
    </w:p>
    <w:p>
      <w:pPr>
        <w:spacing w:after="40" w:before="120"/>
      </w:pPr>
      <w:r>
        <w:rPr>
          <w:rFonts w:ascii="Arial" w:cs="Arial" w:eastAsia="Arial" w:hAnsi="Arial"/>
          <w:b/>
          <w:bCs/>
          <w:color w:val="AD1457"/>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AABB Chap30 Stem Cell Collection by Apheresis</w:t>
      </w:r>
      <w:r>
        <w:rPr>
          <w:rFonts w:ascii="Arial" w:cs="Arial" w:eastAsia="Arial" w:hAnsi="Arial"/>
          <w:i/>
          <w:iCs/>
          <w:color w:val="6B7B8A"/>
          <w:sz w:val="18"/>
          <w:szCs w:val="18"/>
        </w:rPr>
        <w:t xml:space="preserve">   (Transfusion Medicine / AABB Technical Manual)</w:t>
      </w:r>
    </w:p>
    <w:p>
      <w:pPr>
        <w:pStyle w:val="ListParagraph"/>
        <w:numPr>
          <w:ilvl w:val="0"/>
          <w:numId w:val="3"/>
        </w:numPr>
        <w:spacing w:after="50" w:line="264"/>
      </w:pPr>
      <w:r>
        <w:rPr>
          <w:rFonts w:ascii="Arial" w:cs="Arial" w:eastAsia="Arial" w:hAnsi="Arial"/>
          <w:color w:val="33444F"/>
          <w:sz w:val="20"/>
          <w:szCs w:val="20"/>
        </w:rPr>
        <w:t xml:space="preserve">ApheresisBook chap22 hematopoetic stem cell transplantation an overview</w:t>
      </w:r>
      <w:r>
        <w:rPr>
          <w:rFonts w:ascii="Arial" w:cs="Arial" w:eastAsia="Arial" w:hAnsi="Arial"/>
          <w:i/>
          <w:iCs/>
          <w:color w:val="6B7B8A"/>
          <w:sz w:val="18"/>
          <w:szCs w:val="18"/>
        </w:rPr>
        <w:t xml:space="preserve">   (Transfusion Medicine / Apheresis Principles and Practice, 3rd Edition)</w:t>
      </w:r>
    </w:p>
    <w:p>
      <w:pPr>
        <w:pStyle w:val="ListParagraph"/>
        <w:numPr>
          <w:ilvl w:val="0"/>
          <w:numId w:val="3"/>
        </w:numPr>
        <w:spacing w:after="50" w:line="264"/>
      </w:pPr>
      <w:r>
        <w:rPr>
          <w:rFonts w:ascii="Arial" w:cs="Arial" w:eastAsia="Arial" w:hAnsi="Arial"/>
          <w:color w:val="33444F"/>
          <w:sz w:val="20"/>
          <w:szCs w:val="20"/>
        </w:rPr>
        <w:t xml:space="preserve">Therapeutic apheresis lecture</w:t>
      </w:r>
      <w:r>
        <w:rPr>
          <w:rFonts w:ascii="Arial" w:cs="Arial" w:eastAsia="Arial" w:hAnsi="Arial"/>
          <w:i/>
          <w:iCs/>
          <w:color w:val="6B7B8A"/>
          <w:sz w:val="18"/>
          <w:szCs w:val="18"/>
        </w:rPr>
        <w:t xml:space="preserve">   (Transfusion Medicine / Dr. Eisenbrey Lectures)</w:t>
      </w:r>
    </w:p>
    <w:p>
      <w:pPr>
        <w:pStyle w:val="ListParagraph"/>
        <w:numPr>
          <w:ilvl w:val="0"/>
          <w:numId w:val="3"/>
        </w:numPr>
        <w:spacing w:after="50" w:line="264"/>
      </w:pPr>
      <w:r>
        <w:rPr>
          <w:rFonts w:ascii="Arial" w:cs="Arial" w:eastAsia="Arial" w:hAnsi="Arial"/>
          <w:color w:val="33444F"/>
          <w:sz w:val="20"/>
          <w:szCs w:val="20"/>
        </w:rPr>
        <w:t xml:space="preserve">Transfusion Support for Hematopoietic Stem Cell Transplant Recipients</w:t>
      </w:r>
      <w:r>
        <w:rPr>
          <w:rFonts w:ascii="Arial" w:cs="Arial" w:eastAsia="Arial" w:hAnsi="Arial"/>
          <w:i/>
          <w:iCs/>
          <w:color w:val="6B7B8A"/>
          <w:sz w:val="18"/>
          <w:szCs w:val="18"/>
        </w:rPr>
        <w:t xml:space="preserve">   (Transfusion Medicine / Dr. Eisenbrey Lectures)</w:t>
      </w:r>
    </w:p>
    <w:p>
      <w:pPr>
        <w:pStyle w:val="ListParagraph"/>
        <w:numPr>
          <w:ilvl w:val="0"/>
          <w:numId w:val="3"/>
        </w:numPr>
        <w:spacing w:after="50" w:line="264"/>
      </w:pPr>
      <w:r>
        <w:rPr>
          <w:rFonts w:ascii="Arial" w:cs="Arial" w:eastAsia="Arial" w:hAnsi="Arial"/>
          <w:color w:val="33444F"/>
          <w:sz w:val="20"/>
          <w:szCs w:val="20"/>
        </w:rPr>
        <w:t xml:space="preserve">Harmening 14 Apheresis</w:t>
      </w:r>
      <w:r>
        <w:rPr>
          <w:rFonts w:ascii="Arial" w:cs="Arial" w:eastAsia="Arial" w:hAnsi="Arial"/>
          <w:i/>
          <w:iCs/>
          <w:color w:val="6B7B8A"/>
          <w:sz w:val="18"/>
          <w:szCs w:val="18"/>
        </w:rPr>
        <w:t xml:space="preserve">   (Transfusion Medicine / Harmening)</w:t>
      </w:r>
    </w:p>
    <w:p>
      <w:pPr>
        <w:pStyle w:val="ListParagraph"/>
        <w:numPr>
          <w:ilvl w:val="0"/>
          <w:numId w:val="3"/>
        </w:numPr>
        <w:spacing w:after="50" w:line="264"/>
      </w:pPr>
      <w:r>
        <w:rPr>
          <w:rFonts w:ascii="Arial" w:cs="Arial" w:eastAsia="Arial" w:hAnsi="Arial"/>
          <w:color w:val="33444F"/>
          <w:sz w:val="20"/>
          <w:szCs w:val="20"/>
        </w:rPr>
        <w:t xml:space="preserve">AABB Chap26 Therapeutic Apheresis</w:t>
      </w:r>
      <w:r>
        <w:rPr>
          <w:rFonts w:ascii="Arial" w:cs="Arial" w:eastAsia="Arial" w:hAnsi="Arial"/>
          <w:i/>
          <w:iCs/>
          <w:color w:val="6B7B8A"/>
          <w:sz w:val="18"/>
          <w:szCs w:val="18"/>
        </w:rPr>
        <w:t xml:space="preserve">   (Transfusion Medicine / AABB Technical Manual)</w:t>
      </w:r>
    </w:p>
    <w:p>
      <w:r>
        <w:br w:type="page"/>
      </w:r>
    </w:p>
    <w:p>
      <w:pPr>
        <w:pStyle w:val="Heading1"/>
        <w:spacing w:after="60" w:before="60"/>
      </w:pPr>
      <w:r>
        <w:rPr>
          <w:rFonts w:ascii="Arial" w:cs="Arial" w:eastAsia="Arial" w:hAnsi="Arial"/>
          <w:b/>
          <w:bCs/>
          <w:color w:val="1565C0"/>
          <w:sz w:val="30"/>
          <w:szCs w:val="30"/>
        </w:rPr>
        <w:t xml:space="preserve">Block 3  ·  Clinical Chemistry</w:t>
      </w:r>
    </w:p>
    <w:p>
      <w:pPr>
        <w:pBdr>
          <w:bottom w:val="single" w:color="1565C0" w:sz="8" w:space="6"/>
        </w:pBdr>
        <w:spacing w:after="120"/>
      </w:pPr>
      <w:r>
        <w:rPr>
          <w:rFonts w:ascii="Arial" w:cs="Arial" w:eastAsia="Arial" w:hAnsi="Arial"/>
          <w:color w:val="6B7B8A"/>
          <w:spacing w:val="8"/>
          <w:sz w:val="19"/>
          <w:szCs w:val="19"/>
        </w:rPr>
        <w:t xml:space="preserve">5 lectures</w:t>
      </w:r>
    </w:p>
    <w:p>
      <w:pPr>
        <w:pStyle w:val="Heading3"/>
        <w:spacing w:after="40" w:before="200"/>
      </w:pPr>
      <w:r>
        <w:rPr>
          <w:rFonts w:ascii="Arial" w:cs="Arial" w:eastAsia="Arial" w:hAnsi="Arial"/>
          <w:b/>
          <w:bCs/>
          <w:color w:val="1565C0"/>
          <w:sz w:val="23"/>
          <w:szCs w:val="23"/>
        </w:rPr>
        <w:t xml:space="preserve">11.  </w:t>
      </w:r>
      <w:r>
        <w:rPr>
          <w:rFonts w:ascii="Arial" w:cs="Arial" w:eastAsia="Arial" w:hAnsi="Arial"/>
          <w:b/>
          <w:bCs/>
          <w:color w:val="1B2A38"/>
          <w:sz w:val="23"/>
          <w:szCs w:val="23"/>
        </w:rPr>
        <w:t xml:space="preserve">Analytic Techniques and Preanalytic / Analytic Error</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Chem_01.pptx</w:t>
      </w:r>
    </w:p>
    <w:p>
      <w:pPr>
        <w:spacing w:after="40" w:before="120"/>
      </w:pPr>
      <w:r>
        <w:rPr>
          <w:rFonts w:ascii="Arial" w:cs="Arial" w:eastAsia="Arial" w:hAnsi="Arial"/>
          <w:b/>
          <w:bCs/>
          <w:color w:val="1565C0"/>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spectrophotometry, immunoassays, and mass spectrometry at a working level.</w:t>
      </w:r>
    </w:p>
    <w:p>
      <w:pPr>
        <w:pStyle w:val="ListParagraph"/>
        <w:numPr>
          <w:ilvl w:val="0"/>
          <w:numId w:val="2"/>
        </w:numPr>
        <w:spacing w:after="50" w:line="264"/>
      </w:pPr>
      <w:r>
        <w:rPr>
          <w:rFonts w:ascii="Arial" w:cs="Arial" w:eastAsia="Arial" w:hAnsi="Arial"/>
          <w:color w:val="33444F"/>
          <w:sz w:val="21"/>
          <w:szCs w:val="21"/>
        </w:rPr>
        <w:t xml:space="preserve">Recognize the effects of hemolysis, lipemia, and icterus.</w:t>
      </w:r>
    </w:p>
    <w:p>
      <w:pPr>
        <w:pStyle w:val="ListParagraph"/>
        <w:numPr>
          <w:ilvl w:val="0"/>
          <w:numId w:val="2"/>
        </w:numPr>
        <w:spacing w:after="50" w:line="264"/>
      </w:pPr>
      <w:r>
        <w:rPr>
          <w:rFonts w:ascii="Arial" w:cs="Arial" w:eastAsia="Arial" w:hAnsi="Arial"/>
          <w:color w:val="33444F"/>
          <w:sz w:val="21"/>
          <w:szCs w:val="21"/>
        </w:rPr>
        <w:t xml:space="preserve">Identify common immunoassay interferences.</w:t>
      </w:r>
    </w:p>
    <w:p>
      <w:pPr>
        <w:pStyle w:val="ListParagraph"/>
        <w:numPr>
          <w:ilvl w:val="0"/>
          <w:numId w:val="2"/>
        </w:numPr>
        <w:spacing w:after="50" w:line="264"/>
      </w:pPr>
      <w:r>
        <w:rPr>
          <w:rFonts w:ascii="Arial" w:cs="Arial" w:eastAsia="Arial" w:hAnsi="Arial"/>
          <w:color w:val="33444F"/>
          <w:sz w:val="21"/>
          <w:szCs w:val="21"/>
        </w:rPr>
        <w:t xml:space="preserve">Distinguish preanalytic, analytic, and postanalytic error.</w:t>
      </w:r>
    </w:p>
    <w:p>
      <w:pPr>
        <w:pStyle w:val="ListParagraph"/>
        <w:numPr>
          <w:ilvl w:val="0"/>
          <w:numId w:val="2"/>
        </w:numPr>
        <w:spacing w:after="50" w:line="264"/>
      </w:pPr>
      <w:r>
        <w:rPr>
          <w:rFonts w:ascii="Arial" w:cs="Arial" w:eastAsia="Arial" w:hAnsi="Arial"/>
          <w:color w:val="33444F"/>
          <w:sz w:val="21"/>
          <w:szCs w:val="21"/>
        </w:rPr>
        <w:t xml:space="preserve">Apply the concept of interference to result interpretation.</w:t>
      </w:r>
    </w:p>
    <w:p>
      <w:pPr>
        <w:spacing w:after="40" w:before="120"/>
      </w:pPr>
      <w:r>
        <w:rPr>
          <w:rFonts w:ascii="Arial" w:cs="Arial" w:eastAsia="Arial" w:hAnsi="Arial"/>
          <w:b/>
          <w:bCs/>
          <w:color w:val="1565C0"/>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Spectrophotometry and Beer–Lambert basics</w:t>
      </w:r>
    </w:p>
    <w:p>
      <w:pPr>
        <w:pStyle w:val="ListParagraph"/>
        <w:numPr>
          <w:ilvl w:val="0"/>
          <w:numId w:val="2"/>
        </w:numPr>
        <w:spacing w:after="50" w:line="264"/>
      </w:pPr>
      <w:r>
        <w:rPr>
          <w:rFonts w:ascii="Arial" w:cs="Arial" w:eastAsia="Arial" w:hAnsi="Arial"/>
          <w:color w:val="33444F"/>
          <w:sz w:val="21"/>
          <w:szCs w:val="21"/>
        </w:rPr>
        <w:t xml:space="preserve">Competitive vs sandwich immunoassays</w:t>
      </w:r>
    </w:p>
    <w:p>
      <w:pPr>
        <w:pStyle w:val="ListParagraph"/>
        <w:numPr>
          <w:ilvl w:val="0"/>
          <w:numId w:val="2"/>
        </w:numPr>
        <w:spacing w:after="50" w:line="264"/>
      </w:pPr>
      <w:r>
        <w:rPr>
          <w:rFonts w:ascii="Arial" w:cs="Arial" w:eastAsia="Arial" w:hAnsi="Arial"/>
          <w:color w:val="33444F"/>
          <w:sz w:val="21"/>
          <w:szCs w:val="21"/>
        </w:rPr>
        <w:t xml:space="preserve">Chromatography and LC-MS/MS overview</w:t>
      </w:r>
    </w:p>
    <w:p>
      <w:pPr>
        <w:pStyle w:val="ListParagraph"/>
        <w:numPr>
          <w:ilvl w:val="0"/>
          <w:numId w:val="2"/>
        </w:numPr>
        <w:spacing w:after="50" w:line="264"/>
      </w:pPr>
      <w:r>
        <w:rPr>
          <w:rFonts w:ascii="Arial" w:cs="Arial" w:eastAsia="Arial" w:hAnsi="Arial"/>
          <w:color w:val="33444F"/>
          <w:sz w:val="21"/>
          <w:szCs w:val="21"/>
        </w:rPr>
        <w:t xml:space="preserve">Hemolysis, lipemia, icterus indices</w:t>
      </w:r>
    </w:p>
    <w:p>
      <w:pPr>
        <w:pStyle w:val="ListParagraph"/>
        <w:numPr>
          <w:ilvl w:val="0"/>
          <w:numId w:val="2"/>
        </w:numPr>
        <w:spacing w:after="50" w:line="264"/>
      </w:pPr>
      <w:r>
        <w:rPr>
          <w:rFonts w:ascii="Arial" w:cs="Arial" w:eastAsia="Arial" w:hAnsi="Arial"/>
          <w:color w:val="33444F"/>
          <w:sz w:val="21"/>
          <w:szCs w:val="21"/>
        </w:rPr>
        <w:t xml:space="preserve">Hook effect, heterophile and biotin interference</w:t>
      </w:r>
    </w:p>
    <w:p>
      <w:pPr>
        <w:pStyle w:val="ListParagraph"/>
        <w:numPr>
          <w:ilvl w:val="0"/>
          <w:numId w:val="2"/>
        </w:numPr>
        <w:spacing w:after="50" w:line="264"/>
      </w:pPr>
      <w:r>
        <w:rPr>
          <w:rFonts w:ascii="Arial" w:cs="Arial" w:eastAsia="Arial" w:hAnsi="Arial"/>
          <w:color w:val="33444F"/>
          <w:sz w:val="21"/>
          <w:szCs w:val="21"/>
        </w:rPr>
        <w:t xml:space="preserve">Error classification across the testing cycle</w:t>
      </w:r>
    </w:p>
    <w:p>
      <w:pPr>
        <w:spacing w:after="40" w:before="120"/>
      </w:pPr>
      <w:r>
        <w:rPr>
          <w:rFonts w:ascii="Arial" w:cs="Arial" w:eastAsia="Arial" w:hAnsi="Arial"/>
          <w:b/>
          <w:bCs/>
          <w:color w:val="1565C0"/>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Hook (prozone) effect</w:t>
      </w:r>
    </w:p>
    <w:p>
      <w:pPr>
        <w:pStyle w:val="ListParagraph"/>
        <w:numPr>
          <w:ilvl w:val="0"/>
          <w:numId w:val="2"/>
        </w:numPr>
        <w:spacing w:after="50" w:line="264"/>
      </w:pPr>
      <w:r>
        <w:rPr>
          <w:rFonts w:ascii="Arial" w:cs="Arial" w:eastAsia="Arial" w:hAnsi="Arial"/>
          <w:color w:val="33444F"/>
          <w:sz w:val="21"/>
          <w:szCs w:val="21"/>
        </w:rPr>
        <w:t xml:space="preserve">Biotin and heterophile interference</w:t>
      </w:r>
    </w:p>
    <w:p>
      <w:pPr>
        <w:pStyle w:val="ListParagraph"/>
        <w:numPr>
          <w:ilvl w:val="0"/>
          <w:numId w:val="2"/>
        </w:numPr>
        <w:spacing w:after="50" w:line="264"/>
      </w:pPr>
      <w:r>
        <w:rPr>
          <w:rFonts w:ascii="Arial" w:cs="Arial" w:eastAsia="Arial" w:hAnsi="Arial"/>
          <w:color w:val="33444F"/>
          <w:sz w:val="21"/>
          <w:szCs w:val="21"/>
        </w:rPr>
        <w:t xml:space="preserve">Hemolysis effect on potassium and LDH</w:t>
      </w:r>
    </w:p>
    <w:p>
      <w:pPr>
        <w:spacing w:after="40" w:before="120"/>
      </w:pPr>
      <w:r>
        <w:rPr>
          <w:rFonts w:ascii="Arial" w:cs="Arial" w:eastAsia="Arial" w:hAnsi="Arial"/>
          <w:b/>
          <w:bCs/>
          <w:color w:val="1565C0"/>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Chem Preanalytic Variation July</w:t>
      </w:r>
      <w:r>
        <w:rPr>
          <w:rFonts w:ascii="Arial" w:cs="Arial" w:eastAsia="Arial" w:hAnsi="Arial"/>
          <w:i/>
          <w:iCs/>
          <w:color w:val="6B7B8A"/>
          <w:sz w:val="18"/>
          <w:szCs w:val="18"/>
        </w:rPr>
        <w:t xml:space="preserve">   (Chemistry / Automation)</w:t>
      </w:r>
    </w:p>
    <w:p>
      <w:pPr>
        <w:pStyle w:val="ListParagraph"/>
        <w:numPr>
          <w:ilvl w:val="0"/>
          <w:numId w:val="3"/>
        </w:numPr>
        <w:spacing w:after="50" w:line="264"/>
      </w:pPr>
      <w:r>
        <w:rPr>
          <w:rFonts w:ascii="Arial" w:cs="Arial" w:eastAsia="Arial" w:hAnsi="Arial"/>
          <w:color w:val="33444F"/>
          <w:sz w:val="20"/>
          <w:szCs w:val="20"/>
        </w:rPr>
        <w:t xml:space="preserve">Chem Preanalytic Variation final cf 082017</w:t>
      </w:r>
      <w:r>
        <w:rPr>
          <w:rFonts w:ascii="Arial" w:cs="Arial" w:eastAsia="Arial" w:hAnsi="Arial"/>
          <w:i/>
          <w:iCs/>
          <w:color w:val="6B7B8A"/>
          <w:sz w:val="18"/>
          <w:szCs w:val="18"/>
        </w:rPr>
        <w:t xml:space="preserve">   (Chemistry / 2017 Chem Rotation - Year 1)</w:t>
      </w:r>
    </w:p>
    <w:p>
      <w:pPr>
        <w:pStyle w:val="ListParagraph"/>
        <w:numPr>
          <w:ilvl w:val="0"/>
          <w:numId w:val="3"/>
        </w:numPr>
        <w:spacing w:after="50" w:line="264"/>
      </w:pPr>
      <w:r>
        <w:rPr>
          <w:rFonts w:ascii="Arial" w:cs="Arial" w:eastAsia="Arial" w:hAnsi="Arial"/>
          <w:color w:val="33444F"/>
          <w:sz w:val="20"/>
          <w:szCs w:val="20"/>
        </w:rPr>
        <w:t xml:space="preserve">Tubes Hemolysis WC VS</w:t>
      </w:r>
      <w:r>
        <w:rPr>
          <w:rFonts w:ascii="Arial" w:cs="Arial" w:eastAsia="Arial" w:hAnsi="Arial"/>
          <w:i/>
          <w:iCs/>
          <w:color w:val="6B7B8A"/>
          <w:sz w:val="18"/>
          <w:szCs w:val="18"/>
        </w:rPr>
        <w:t xml:space="preserve">   (Chemistry / Automation)</w:t>
      </w:r>
    </w:p>
    <w:p>
      <w:pPr>
        <w:pStyle w:val="ListParagraph"/>
        <w:numPr>
          <w:ilvl w:val="0"/>
          <w:numId w:val="3"/>
        </w:numPr>
        <w:spacing w:after="50" w:line="264"/>
      </w:pPr>
      <w:r>
        <w:rPr>
          <w:rFonts w:ascii="Arial" w:cs="Arial" w:eastAsia="Arial" w:hAnsi="Arial"/>
          <w:color w:val="33444F"/>
          <w:sz w:val="20"/>
          <w:szCs w:val="20"/>
        </w:rPr>
        <w:t xml:space="preserve">Centaur instrument overview</w:t>
      </w:r>
      <w:r>
        <w:rPr>
          <w:rFonts w:ascii="Arial" w:cs="Arial" w:eastAsia="Arial" w:hAnsi="Arial"/>
          <w:i/>
          <w:iCs/>
          <w:color w:val="6B7B8A"/>
          <w:sz w:val="18"/>
          <w:szCs w:val="18"/>
        </w:rPr>
        <w:t xml:space="preserve">   (Chemistry / Chem_y1_2)</w:t>
      </w:r>
    </w:p>
    <w:p>
      <w:pPr>
        <w:pStyle w:val="ListParagraph"/>
        <w:numPr>
          <w:ilvl w:val="0"/>
          <w:numId w:val="3"/>
        </w:numPr>
        <w:spacing w:after="50" w:line="264"/>
      </w:pPr>
      <w:r>
        <w:rPr>
          <w:rFonts w:ascii="Arial" w:cs="Arial" w:eastAsia="Arial" w:hAnsi="Arial"/>
          <w:color w:val="33444F"/>
          <w:sz w:val="20"/>
          <w:szCs w:val="20"/>
        </w:rPr>
        <w:t xml:space="preserve">Chem Preanalytical Variation</w:t>
      </w:r>
      <w:r>
        <w:rPr>
          <w:rFonts w:ascii="Arial" w:cs="Arial" w:eastAsia="Arial" w:hAnsi="Arial"/>
          <w:i/>
          <w:iCs/>
          <w:color w:val="6B7B8A"/>
          <w:sz w:val="18"/>
          <w:szCs w:val="18"/>
        </w:rPr>
        <w:t xml:space="preserve">   (Chemistry / 2019 Chem Rotation - Year 1)</w:t>
      </w:r>
    </w:p>
    <w:p>
      <w:pPr>
        <w:pStyle w:val="ListParagraph"/>
        <w:numPr>
          <w:ilvl w:val="0"/>
          <w:numId w:val="3"/>
        </w:numPr>
        <w:spacing w:after="50" w:line="264"/>
      </w:pPr>
      <w:r>
        <w:rPr>
          <w:rFonts w:ascii="Arial" w:cs="Arial" w:eastAsia="Arial" w:hAnsi="Arial"/>
          <w:color w:val="33444F"/>
          <w:sz w:val="20"/>
          <w:szCs w:val="20"/>
        </w:rPr>
        <w:t xml:space="preserve">Chem Preanalytical Variation</w:t>
      </w:r>
      <w:r>
        <w:rPr>
          <w:rFonts w:ascii="Arial" w:cs="Arial" w:eastAsia="Arial" w:hAnsi="Arial"/>
          <w:i/>
          <w:iCs/>
          <w:color w:val="6B7B8A"/>
          <w:sz w:val="18"/>
          <w:szCs w:val="18"/>
        </w:rPr>
        <w:t xml:space="preserve">   (Chemistry / 2024 Chem Rotation - Year 1)</w:t>
      </w:r>
    </w:p>
    <w:p>
      <w:pPr>
        <w:pStyle w:val="Heading3"/>
        <w:spacing w:after="40" w:before="200"/>
      </w:pPr>
      <w:r>
        <w:rPr>
          <w:rFonts w:ascii="Arial" w:cs="Arial" w:eastAsia="Arial" w:hAnsi="Arial"/>
          <w:b/>
          <w:bCs/>
          <w:color w:val="1565C0"/>
          <w:sz w:val="23"/>
          <w:szCs w:val="23"/>
        </w:rPr>
        <w:t xml:space="preserve">12.  </w:t>
      </w:r>
      <w:r>
        <w:rPr>
          <w:rFonts w:ascii="Arial" w:cs="Arial" w:eastAsia="Arial" w:hAnsi="Arial"/>
          <w:b/>
          <w:bCs/>
          <w:color w:val="1B2A38"/>
          <w:sz w:val="23"/>
          <w:szCs w:val="23"/>
        </w:rPr>
        <w:t xml:space="preserve">Electrolytes, Osmolality, and Acid–Base Interpretation</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Chem_02.pptx</w:t>
      </w:r>
    </w:p>
    <w:p>
      <w:pPr>
        <w:spacing w:after="40" w:before="120"/>
      </w:pPr>
      <w:r>
        <w:rPr>
          <w:rFonts w:ascii="Arial" w:cs="Arial" w:eastAsia="Arial" w:hAnsi="Arial"/>
          <w:b/>
          <w:bCs/>
          <w:color w:val="1565C0"/>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Approach hypo- and hypernatremia with tonicity in mind.</w:t>
      </w:r>
    </w:p>
    <w:p>
      <w:pPr>
        <w:pStyle w:val="ListParagraph"/>
        <w:numPr>
          <w:ilvl w:val="0"/>
          <w:numId w:val="2"/>
        </w:numPr>
        <w:spacing w:after="50" w:line="264"/>
      </w:pPr>
      <w:r>
        <w:rPr>
          <w:rFonts w:ascii="Arial" w:cs="Arial" w:eastAsia="Arial" w:hAnsi="Arial"/>
          <w:color w:val="33444F"/>
          <w:sz w:val="21"/>
          <w:szCs w:val="21"/>
        </w:rPr>
        <w:t xml:space="preserve">Calculate and interpret the anion gap and osmolal gap.</w:t>
      </w:r>
    </w:p>
    <w:p>
      <w:pPr>
        <w:pStyle w:val="ListParagraph"/>
        <w:numPr>
          <w:ilvl w:val="0"/>
          <w:numId w:val="2"/>
        </w:numPr>
        <w:spacing w:after="50" w:line="264"/>
      </w:pPr>
      <w:r>
        <w:rPr>
          <w:rFonts w:ascii="Arial" w:cs="Arial" w:eastAsia="Arial" w:hAnsi="Arial"/>
          <w:color w:val="33444F"/>
          <w:sz w:val="21"/>
          <w:szCs w:val="21"/>
        </w:rPr>
        <w:t xml:space="preserve">Build a stepwise acid–base interpretation.</w:t>
      </w:r>
    </w:p>
    <w:p>
      <w:pPr>
        <w:pStyle w:val="ListParagraph"/>
        <w:numPr>
          <w:ilvl w:val="0"/>
          <w:numId w:val="2"/>
        </w:numPr>
        <w:spacing w:after="50" w:line="264"/>
      </w:pPr>
      <w:r>
        <w:rPr>
          <w:rFonts w:ascii="Arial" w:cs="Arial" w:eastAsia="Arial" w:hAnsi="Arial"/>
          <w:color w:val="33444F"/>
          <w:sz w:val="21"/>
          <w:szCs w:val="21"/>
        </w:rPr>
        <w:t xml:space="preserve">Recognize mixed acid–base disorders.</w:t>
      </w:r>
    </w:p>
    <w:p>
      <w:pPr>
        <w:pStyle w:val="ListParagraph"/>
        <w:numPr>
          <w:ilvl w:val="0"/>
          <w:numId w:val="2"/>
        </w:numPr>
        <w:spacing w:after="50" w:line="264"/>
      </w:pPr>
      <w:r>
        <w:rPr>
          <w:rFonts w:ascii="Arial" w:cs="Arial" w:eastAsia="Arial" w:hAnsi="Arial"/>
          <w:color w:val="33444F"/>
          <w:sz w:val="21"/>
          <w:szCs w:val="21"/>
        </w:rPr>
        <w:t xml:space="preserve">Identify pseudohyponatremia.</w:t>
      </w:r>
    </w:p>
    <w:p>
      <w:pPr>
        <w:spacing w:after="40" w:before="120"/>
      </w:pPr>
      <w:r>
        <w:rPr>
          <w:rFonts w:ascii="Arial" w:cs="Arial" w:eastAsia="Arial" w:hAnsi="Arial"/>
          <w:b/>
          <w:bCs/>
          <w:color w:val="1565C0"/>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Sodium disorders and tonicity</w:t>
      </w:r>
    </w:p>
    <w:p>
      <w:pPr>
        <w:pStyle w:val="ListParagraph"/>
        <w:numPr>
          <w:ilvl w:val="0"/>
          <w:numId w:val="2"/>
        </w:numPr>
        <w:spacing w:after="50" w:line="264"/>
      </w:pPr>
      <w:r>
        <w:rPr>
          <w:rFonts w:ascii="Arial" w:cs="Arial" w:eastAsia="Arial" w:hAnsi="Arial"/>
          <w:color w:val="33444F"/>
          <w:sz w:val="21"/>
          <w:szCs w:val="21"/>
        </w:rPr>
        <w:t xml:space="preserve">Anion gap and delta-delta</w:t>
      </w:r>
    </w:p>
    <w:p>
      <w:pPr>
        <w:pStyle w:val="ListParagraph"/>
        <w:numPr>
          <w:ilvl w:val="0"/>
          <w:numId w:val="2"/>
        </w:numPr>
        <w:spacing w:after="50" w:line="264"/>
      </w:pPr>
      <w:r>
        <w:rPr>
          <w:rFonts w:ascii="Arial" w:cs="Arial" w:eastAsia="Arial" w:hAnsi="Arial"/>
          <w:color w:val="33444F"/>
          <w:sz w:val="21"/>
          <w:szCs w:val="21"/>
        </w:rPr>
        <w:t xml:space="preserve">Osmolal gap and toxic alcohols</w:t>
      </w:r>
    </w:p>
    <w:p>
      <w:pPr>
        <w:pStyle w:val="ListParagraph"/>
        <w:numPr>
          <w:ilvl w:val="0"/>
          <w:numId w:val="2"/>
        </w:numPr>
        <w:spacing w:after="50" w:line="264"/>
      </w:pPr>
      <w:r>
        <w:rPr>
          <w:rFonts w:ascii="Arial" w:cs="Arial" w:eastAsia="Arial" w:hAnsi="Arial"/>
          <w:color w:val="33444F"/>
          <w:sz w:val="21"/>
          <w:szCs w:val="21"/>
        </w:rPr>
        <w:t xml:space="preserve">Stepwise acid–base approach</w:t>
      </w:r>
    </w:p>
    <w:p>
      <w:pPr>
        <w:pStyle w:val="ListParagraph"/>
        <w:numPr>
          <w:ilvl w:val="0"/>
          <w:numId w:val="2"/>
        </w:numPr>
        <w:spacing w:after="50" w:line="264"/>
      </w:pPr>
      <w:r>
        <w:rPr>
          <w:rFonts w:ascii="Arial" w:cs="Arial" w:eastAsia="Arial" w:hAnsi="Arial"/>
          <w:color w:val="33444F"/>
          <w:sz w:val="21"/>
          <w:szCs w:val="21"/>
        </w:rPr>
        <w:t xml:space="preserve">Compensation rules and mixed disorders</w:t>
      </w:r>
    </w:p>
    <w:p>
      <w:pPr>
        <w:pStyle w:val="ListParagraph"/>
        <w:numPr>
          <w:ilvl w:val="0"/>
          <w:numId w:val="2"/>
        </w:numPr>
        <w:spacing w:after="50" w:line="264"/>
      </w:pPr>
      <w:r>
        <w:rPr>
          <w:rFonts w:ascii="Arial" w:cs="Arial" w:eastAsia="Arial" w:hAnsi="Arial"/>
          <w:color w:val="33444F"/>
          <w:sz w:val="21"/>
          <w:szCs w:val="21"/>
        </w:rPr>
        <w:t xml:space="preserve">Pseudohyponatremia (indirect ISE)</w:t>
      </w:r>
    </w:p>
    <w:p>
      <w:pPr>
        <w:spacing w:after="40" w:before="120"/>
      </w:pPr>
      <w:r>
        <w:rPr>
          <w:rFonts w:ascii="Arial" w:cs="Arial" w:eastAsia="Arial" w:hAnsi="Arial"/>
          <w:b/>
          <w:bCs/>
          <w:color w:val="1565C0"/>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High anion gap metabolic acidosis differential</w:t>
      </w:r>
    </w:p>
    <w:p>
      <w:pPr>
        <w:pStyle w:val="ListParagraph"/>
        <w:numPr>
          <w:ilvl w:val="0"/>
          <w:numId w:val="2"/>
        </w:numPr>
        <w:spacing w:after="50" w:line="264"/>
      </w:pPr>
      <w:r>
        <w:rPr>
          <w:rFonts w:ascii="Arial" w:cs="Arial" w:eastAsia="Arial" w:hAnsi="Arial"/>
          <w:color w:val="33444F"/>
          <w:sz w:val="21"/>
          <w:szCs w:val="21"/>
        </w:rPr>
        <w:t xml:space="preserve">Osmolal gap in toxic alcohol ingestion</w:t>
      </w:r>
    </w:p>
    <w:p>
      <w:pPr>
        <w:pStyle w:val="ListParagraph"/>
        <w:numPr>
          <w:ilvl w:val="0"/>
          <w:numId w:val="2"/>
        </w:numPr>
        <w:spacing w:after="50" w:line="264"/>
      </w:pPr>
      <w:r>
        <w:rPr>
          <w:rFonts w:ascii="Arial" w:cs="Arial" w:eastAsia="Arial" w:hAnsi="Arial"/>
          <w:color w:val="33444F"/>
          <w:sz w:val="21"/>
          <w:szCs w:val="21"/>
        </w:rPr>
        <w:t xml:space="preserve">Pseudohyponatremia mechanism</w:t>
      </w:r>
    </w:p>
    <w:p>
      <w:pPr>
        <w:spacing w:after="40" w:before="120"/>
      </w:pPr>
      <w:r>
        <w:rPr>
          <w:rFonts w:ascii="Arial" w:cs="Arial" w:eastAsia="Arial" w:hAnsi="Arial"/>
          <w:b/>
          <w:bCs/>
          <w:color w:val="1565C0"/>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Chem Osmolality</w:t>
      </w:r>
      <w:r>
        <w:rPr>
          <w:rFonts w:ascii="Arial" w:cs="Arial" w:eastAsia="Arial" w:hAnsi="Arial"/>
          <w:i/>
          <w:iCs/>
          <w:color w:val="6B7B8A"/>
          <w:sz w:val="18"/>
          <w:szCs w:val="18"/>
        </w:rPr>
        <w:t xml:space="preserve">   (Chemistry / 2021 Chem Rotation - Year 2)</w:t>
      </w:r>
    </w:p>
    <w:p>
      <w:pPr>
        <w:pStyle w:val="ListParagraph"/>
        <w:numPr>
          <w:ilvl w:val="0"/>
          <w:numId w:val="3"/>
        </w:numPr>
        <w:spacing w:after="50" w:line="264"/>
      </w:pPr>
      <w:r>
        <w:rPr>
          <w:rFonts w:ascii="Arial" w:cs="Arial" w:eastAsia="Arial" w:hAnsi="Arial"/>
          <w:color w:val="33444F"/>
          <w:sz w:val="20"/>
          <w:szCs w:val="20"/>
        </w:rPr>
        <w:t xml:space="preserve">Chem Osmolality</w:t>
      </w:r>
      <w:r>
        <w:rPr>
          <w:rFonts w:ascii="Arial" w:cs="Arial" w:eastAsia="Arial" w:hAnsi="Arial"/>
          <w:i/>
          <w:iCs/>
          <w:color w:val="6B7B8A"/>
          <w:sz w:val="18"/>
          <w:szCs w:val="18"/>
        </w:rPr>
        <w:t xml:space="preserve">   (Chemistry / 2019 Chem Rotation - Year 1)</w:t>
      </w:r>
    </w:p>
    <w:p>
      <w:pPr>
        <w:pStyle w:val="ListParagraph"/>
        <w:numPr>
          <w:ilvl w:val="0"/>
          <w:numId w:val="3"/>
        </w:numPr>
        <w:spacing w:after="50" w:line="264"/>
      </w:pPr>
      <w:r>
        <w:rPr>
          <w:rFonts w:ascii="Arial" w:cs="Arial" w:eastAsia="Arial" w:hAnsi="Arial"/>
          <w:color w:val="33444F"/>
          <w:sz w:val="20"/>
          <w:szCs w:val="20"/>
        </w:rPr>
        <w:t xml:space="preserve">Chem Osmolality</w:t>
      </w:r>
      <w:r>
        <w:rPr>
          <w:rFonts w:ascii="Arial" w:cs="Arial" w:eastAsia="Arial" w:hAnsi="Arial"/>
          <w:i/>
          <w:iCs/>
          <w:color w:val="6B7B8A"/>
          <w:sz w:val="18"/>
          <w:szCs w:val="18"/>
        </w:rPr>
        <w:t xml:space="preserve">   (Chemistry / 2022 Chem Rotation - Year 1)</w:t>
      </w:r>
    </w:p>
    <w:p>
      <w:pPr>
        <w:pStyle w:val="ListParagraph"/>
        <w:numPr>
          <w:ilvl w:val="0"/>
          <w:numId w:val="3"/>
        </w:numPr>
        <w:spacing w:after="50" w:line="264"/>
      </w:pPr>
      <w:r>
        <w:rPr>
          <w:rFonts w:ascii="Arial" w:cs="Arial" w:eastAsia="Arial" w:hAnsi="Arial"/>
          <w:color w:val="33444F"/>
          <w:sz w:val="20"/>
          <w:szCs w:val="20"/>
        </w:rPr>
        <w:t xml:space="preserve">Chem Arterial Blood Gases</w:t>
      </w:r>
      <w:r>
        <w:rPr>
          <w:rFonts w:ascii="Arial" w:cs="Arial" w:eastAsia="Arial" w:hAnsi="Arial"/>
          <w:i/>
          <w:iCs/>
          <w:color w:val="6B7B8A"/>
          <w:sz w:val="18"/>
          <w:szCs w:val="18"/>
        </w:rPr>
        <w:t xml:space="preserve">   (Chemistry / 2019 Chem Rotation - Year 2)</w:t>
      </w:r>
    </w:p>
    <w:p>
      <w:pPr>
        <w:pStyle w:val="Heading3"/>
        <w:spacing w:after="40" w:before="200"/>
      </w:pPr>
      <w:r>
        <w:rPr>
          <w:rFonts w:ascii="Arial" w:cs="Arial" w:eastAsia="Arial" w:hAnsi="Arial"/>
          <w:b/>
          <w:bCs/>
          <w:color w:val="1565C0"/>
          <w:sz w:val="23"/>
          <w:szCs w:val="23"/>
        </w:rPr>
        <w:t xml:space="preserve">13.  </w:t>
      </w:r>
      <w:r>
        <w:rPr>
          <w:rFonts w:ascii="Arial" w:cs="Arial" w:eastAsia="Arial" w:hAnsi="Arial"/>
          <w:b/>
          <w:bCs/>
          <w:color w:val="1B2A38"/>
          <w:sz w:val="23"/>
          <w:szCs w:val="23"/>
        </w:rPr>
        <w:t xml:space="preserve">Renal, Liver, and Cardiac Biomarkers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Chem_03.pptx</w:t>
      </w:r>
    </w:p>
    <w:p>
      <w:pPr>
        <w:spacing w:after="40" w:before="120"/>
      </w:pPr>
      <w:r>
        <w:rPr>
          <w:rFonts w:ascii="Arial" w:cs="Arial" w:eastAsia="Arial" w:hAnsi="Arial"/>
          <w:b/>
          <w:bCs/>
          <w:color w:val="1565C0"/>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creatinine, eGFR, and cystatin C concepts.</w:t>
      </w:r>
    </w:p>
    <w:p>
      <w:pPr>
        <w:pStyle w:val="ListParagraph"/>
        <w:numPr>
          <w:ilvl w:val="0"/>
          <w:numId w:val="2"/>
        </w:numPr>
        <w:spacing w:after="50" w:line="264"/>
      </w:pPr>
      <w:r>
        <w:rPr>
          <w:rFonts w:ascii="Arial" w:cs="Arial" w:eastAsia="Arial" w:hAnsi="Arial"/>
          <w:color w:val="33444F"/>
          <w:sz w:val="21"/>
          <w:szCs w:val="21"/>
        </w:rPr>
        <w:t xml:space="preserve">Read liver function test patterns.</w:t>
      </w:r>
    </w:p>
    <w:p>
      <w:pPr>
        <w:pStyle w:val="ListParagraph"/>
        <w:numPr>
          <w:ilvl w:val="0"/>
          <w:numId w:val="2"/>
        </w:numPr>
        <w:spacing w:after="50" w:line="264"/>
      </w:pPr>
      <w:r>
        <w:rPr>
          <w:rFonts w:ascii="Arial" w:cs="Arial" w:eastAsia="Arial" w:hAnsi="Arial"/>
          <w:color w:val="33444F"/>
          <w:sz w:val="21"/>
          <w:szCs w:val="21"/>
        </w:rPr>
        <w:t xml:space="preserve">Apply troponin kinetics to acute coronary evaluation.</w:t>
      </w:r>
    </w:p>
    <w:p>
      <w:pPr>
        <w:pStyle w:val="ListParagraph"/>
        <w:numPr>
          <w:ilvl w:val="0"/>
          <w:numId w:val="2"/>
        </w:numPr>
        <w:spacing w:after="50" w:line="264"/>
      </w:pPr>
      <w:r>
        <w:rPr>
          <w:rFonts w:ascii="Arial" w:cs="Arial" w:eastAsia="Arial" w:hAnsi="Arial"/>
          <w:color w:val="33444F"/>
          <w:sz w:val="21"/>
          <w:szCs w:val="21"/>
        </w:rPr>
        <w:t xml:space="preserve">Use natriuretic peptides appropriately.</w:t>
      </w:r>
    </w:p>
    <w:p>
      <w:pPr>
        <w:pStyle w:val="ListParagraph"/>
        <w:numPr>
          <w:ilvl w:val="0"/>
          <w:numId w:val="2"/>
        </w:numPr>
        <w:spacing w:after="50" w:line="264"/>
      </w:pPr>
      <w:r>
        <w:rPr>
          <w:rFonts w:ascii="Arial" w:cs="Arial" w:eastAsia="Arial" w:hAnsi="Arial"/>
          <w:color w:val="33444F"/>
          <w:sz w:val="21"/>
          <w:szCs w:val="21"/>
        </w:rPr>
        <w:t xml:space="preserve">Recognize common biomarker misuse.</w:t>
      </w:r>
    </w:p>
    <w:p>
      <w:pPr>
        <w:spacing w:after="40" w:before="120"/>
      </w:pPr>
      <w:r>
        <w:rPr>
          <w:rFonts w:ascii="Arial" w:cs="Arial" w:eastAsia="Arial" w:hAnsi="Arial"/>
          <w:b/>
          <w:bCs/>
          <w:color w:val="1565C0"/>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Creatinine, eGFR equations, cystatin C</w:t>
      </w:r>
    </w:p>
    <w:p>
      <w:pPr>
        <w:pStyle w:val="ListParagraph"/>
        <w:numPr>
          <w:ilvl w:val="0"/>
          <w:numId w:val="2"/>
        </w:numPr>
        <w:spacing w:after="50" w:line="264"/>
      </w:pPr>
      <w:r>
        <w:rPr>
          <w:rFonts w:ascii="Arial" w:cs="Arial" w:eastAsia="Arial" w:hAnsi="Arial"/>
          <w:color w:val="33444F"/>
          <w:sz w:val="21"/>
          <w:szCs w:val="21"/>
        </w:rPr>
        <w:t xml:space="preserve">Hepatocellular vs cholestatic LFT patterns</w:t>
      </w:r>
    </w:p>
    <w:p>
      <w:pPr>
        <w:pStyle w:val="ListParagraph"/>
        <w:numPr>
          <w:ilvl w:val="0"/>
          <w:numId w:val="2"/>
        </w:numPr>
        <w:spacing w:after="50" w:line="264"/>
      </w:pPr>
      <w:r>
        <w:rPr>
          <w:rFonts w:ascii="Arial" w:cs="Arial" w:eastAsia="Arial" w:hAnsi="Arial"/>
          <w:color w:val="33444F"/>
          <w:sz w:val="21"/>
          <w:szCs w:val="21"/>
        </w:rPr>
        <w:t xml:space="preserve">High-sensitivity troponin kinetics</w:t>
      </w:r>
    </w:p>
    <w:p>
      <w:pPr>
        <w:pStyle w:val="ListParagraph"/>
        <w:numPr>
          <w:ilvl w:val="0"/>
          <w:numId w:val="2"/>
        </w:numPr>
        <w:spacing w:after="50" w:line="264"/>
      </w:pPr>
      <w:r>
        <w:rPr>
          <w:rFonts w:ascii="Arial" w:cs="Arial" w:eastAsia="Arial" w:hAnsi="Arial"/>
          <w:color w:val="33444F"/>
          <w:sz w:val="21"/>
          <w:szCs w:val="21"/>
        </w:rPr>
        <w:t xml:space="preserve">BNP / NT-proBNP interpretation</w:t>
      </w:r>
    </w:p>
    <w:p>
      <w:pPr>
        <w:pStyle w:val="ListParagraph"/>
        <w:numPr>
          <w:ilvl w:val="0"/>
          <w:numId w:val="2"/>
        </w:numPr>
        <w:spacing w:after="50" w:line="264"/>
      </w:pPr>
      <w:r>
        <w:rPr>
          <w:rFonts w:ascii="Arial" w:cs="Arial" w:eastAsia="Arial" w:hAnsi="Arial"/>
          <w:color w:val="33444F"/>
          <w:sz w:val="21"/>
          <w:szCs w:val="21"/>
        </w:rPr>
        <w:t xml:space="preserve">Biomarker misuse and overordering</w:t>
      </w:r>
    </w:p>
    <w:p>
      <w:pPr>
        <w:pStyle w:val="ListParagraph"/>
        <w:numPr>
          <w:ilvl w:val="0"/>
          <w:numId w:val="2"/>
        </w:numPr>
        <w:spacing w:after="50" w:line="264"/>
      </w:pPr>
      <w:r>
        <w:rPr>
          <w:rFonts w:ascii="Arial" w:cs="Arial" w:eastAsia="Arial" w:hAnsi="Arial"/>
          <w:color w:val="33444F"/>
          <w:sz w:val="21"/>
          <w:szCs w:val="21"/>
        </w:rPr>
        <w:t xml:space="preserve">Macro-analytes (macro-CK, macroprolactin)</w:t>
      </w:r>
    </w:p>
    <w:p>
      <w:pPr>
        <w:spacing w:after="40" w:before="120"/>
      </w:pPr>
      <w:r>
        <w:rPr>
          <w:rFonts w:ascii="Arial" w:cs="Arial" w:eastAsia="Arial" w:hAnsi="Arial"/>
          <w:b/>
          <w:bCs/>
          <w:color w:val="1565C0"/>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Hepatocellular vs cholestatic injury</w:t>
      </w:r>
    </w:p>
    <w:p>
      <w:pPr>
        <w:pStyle w:val="ListParagraph"/>
        <w:numPr>
          <w:ilvl w:val="0"/>
          <w:numId w:val="2"/>
        </w:numPr>
        <w:spacing w:after="50" w:line="264"/>
      </w:pPr>
      <w:r>
        <w:rPr>
          <w:rFonts w:ascii="Arial" w:cs="Arial" w:eastAsia="Arial" w:hAnsi="Arial"/>
          <w:color w:val="33444F"/>
          <w:sz w:val="21"/>
          <w:szCs w:val="21"/>
        </w:rPr>
        <w:t xml:space="preserve">High-sensitivity troponin delta interpretation</w:t>
      </w:r>
    </w:p>
    <w:p>
      <w:pPr>
        <w:pStyle w:val="ListParagraph"/>
        <w:numPr>
          <w:ilvl w:val="0"/>
          <w:numId w:val="2"/>
        </w:numPr>
        <w:spacing w:after="50" w:line="264"/>
      </w:pPr>
      <w:r>
        <w:rPr>
          <w:rFonts w:ascii="Arial" w:cs="Arial" w:eastAsia="Arial" w:hAnsi="Arial"/>
          <w:color w:val="33444F"/>
          <w:sz w:val="21"/>
          <w:szCs w:val="21"/>
        </w:rPr>
        <w:t xml:space="preserve">Cystatin C vs creatinine eGFR</w:t>
      </w:r>
    </w:p>
    <w:p>
      <w:pPr>
        <w:spacing w:after="40" w:before="120"/>
      </w:pPr>
      <w:r>
        <w:rPr>
          <w:rFonts w:ascii="Arial" w:cs="Arial" w:eastAsia="Arial" w:hAnsi="Arial"/>
          <w:b/>
          <w:bCs/>
          <w:color w:val="1565C0"/>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Chem Cardiac Markers May</w:t>
      </w:r>
      <w:r>
        <w:rPr>
          <w:rFonts w:ascii="Arial" w:cs="Arial" w:eastAsia="Arial" w:hAnsi="Arial"/>
          <w:i/>
          <w:iCs/>
          <w:color w:val="6B7B8A"/>
          <w:sz w:val="18"/>
          <w:szCs w:val="18"/>
        </w:rPr>
        <w:t xml:space="preserve">   (Chemistry / Chem_y1_2)</w:t>
      </w:r>
    </w:p>
    <w:p>
      <w:pPr>
        <w:pStyle w:val="ListParagraph"/>
        <w:numPr>
          <w:ilvl w:val="0"/>
          <w:numId w:val="3"/>
        </w:numPr>
        <w:spacing w:after="50" w:line="264"/>
      </w:pPr>
      <w:r>
        <w:rPr>
          <w:rFonts w:ascii="Arial" w:cs="Arial" w:eastAsia="Arial" w:hAnsi="Arial"/>
          <w:color w:val="33444F"/>
          <w:sz w:val="20"/>
          <w:szCs w:val="20"/>
        </w:rPr>
        <w:t xml:space="preserve">Chem Cardiac</w:t>
      </w:r>
      <w:r>
        <w:rPr>
          <w:rFonts w:ascii="Arial" w:cs="Arial" w:eastAsia="Arial" w:hAnsi="Arial"/>
          <w:i/>
          <w:iCs/>
          <w:color w:val="6B7B8A"/>
          <w:sz w:val="18"/>
          <w:szCs w:val="18"/>
        </w:rPr>
        <w:t xml:space="preserve">   (Chemistry / 2026 Chem Rotation Year 1)</w:t>
      </w:r>
    </w:p>
    <w:p>
      <w:pPr>
        <w:pStyle w:val="ListParagraph"/>
        <w:numPr>
          <w:ilvl w:val="0"/>
          <w:numId w:val="3"/>
        </w:numPr>
        <w:spacing w:after="50" w:line="264"/>
      </w:pPr>
      <w:r>
        <w:rPr>
          <w:rFonts w:ascii="Arial" w:cs="Arial" w:eastAsia="Arial" w:hAnsi="Arial"/>
          <w:color w:val="33444F"/>
          <w:sz w:val="20"/>
          <w:szCs w:val="20"/>
        </w:rPr>
        <w:t xml:space="preserve">Chem Cardiac</w:t>
      </w:r>
      <w:r>
        <w:rPr>
          <w:rFonts w:ascii="Arial" w:cs="Arial" w:eastAsia="Arial" w:hAnsi="Arial"/>
          <w:i/>
          <w:iCs/>
          <w:color w:val="6B7B8A"/>
          <w:sz w:val="18"/>
          <w:szCs w:val="18"/>
        </w:rPr>
        <w:t xml:space="preserve">   (Chemistry / 2019 Chem Rotation - Year 2)</w:t>
      </w:r>
    </w:p>
    <w:p>
      <w:pPr>
        <w:pStyle w:val="ListParagraph"/>
        <w:numPr>
          <w:ilvl w:val="0"/>
          <w:numId w:val="3"/>
        </w:numPr>
        <w:spacing w:after="50" w:line="264"/>
      </w:pPr>
      <w:r>
        <w:rPr>
          <w:rFonts w:ascii="Arial" w:cs="Arial" w:eastAsia="Arial" w:hAnsi="Arial"/>
          <w:color w:val="33444F"/>
          <w:sz w:val="20"/>
          <w:szCs w:val="20"/>
        </w:rPr>
        <w:t xml:space="preserve">Chem Cardiac</w:t>
      </w:r>
      <w:r>
        <w:rPr>
          <w:rFonts w:ascii="Arial" w:cs="Arial" w:eastAsia="Arial" w:hAnsi="Arial"/>
          <w:i/>
          <w:iCs/>
          <w:color w:val="6B7B8A"/>
          <w:sz w:val="18"/>
          <w:szCs w:val="18"/>
        </w:rPr>
        <w:t xml:space="preserve">   (Chemistry / 2021 Chem Rotation - Year 2)</w:t>
      </w:r>
    </w:p>
    <w:p>
      <w:pPr>
        <w:pStyle w:val="ListParagraph"/>
        <w:numPr>
          <w:ilvl w:val="0"/>
          <w:numId w:val="3"/>
        </w:numPr>
        <w:spacing w:after="50" w:line="264"/>
      </w:pPr>
      <w:r>
        <w:rPr>
          <w:rFonts w:ascii="Arial" w:cs="Arial" w:eastAsia="Arial" w:hAnsi="Arial"/>
          <w:color w:val="33444F"/>
          <w:sz w:val="20"/>
          <w:szCs w:val="20"/>
        </w:rPr>
        <w:t xml:space="preserve">Chem Cardiac</w:t>
      </w:r>
      <w:r>
        <w:rPr>
          <w:rFonts w:ascii="Arial" w:cs="Arial" w:eastAsia="Arial" w:hAnsi="Arial"/>
          <w:i/>
          <w:iCs/>
          <w:color w:val="6B7B8A"/>
          <w:sz w:val="18"/>
          <w:szCs w:val="18"/>
        </w:rPr>
        <w:t xml:space="preserve">   (Chemistry / 2025 Chem Rotation - Year 1)</w:t>
      </w:r>
    </w:p>
    <w:p>
      <w:pPr>
        <w:pStyle w:val="ListParagraph"/>
        <w:numPr>
          <w:ilvl w:val="0"/>
          <w:numId w:val="3"/>
        </w:numPr>
        <w:spacing w:after="50" w:line="264"/>
      </w:pPr>
      <w:r>
        <w:rPr>
          <w:rFonts w:ascii="Arial" w:cs="Arial" w:eastAsia="Arial" w:hAnsi="Arial"/>
          <w:color w:val="33444F"/>
          <w:sz w:val="20"/>
          <w:szCs w:val="20"/>
        </w:rPr>
        <w:t xml:space="preserve">Chem Cardiac</w:t>
      </w:r>
      <w:r>
        <w:rPr>
          <w:rFonts w:ascii="Arial" w:cs="Arial" w:eastAsia="Arial" w:hAnsi="Arial"/>
          <w:i/>
          <w:iCs/>
          <w:color w:val="6B7B8A"/>
          <w:sz w:val="18"/>
          <w:szCs w:val="18"/>
        </w:rPr>
        <w:t xml:space="preserve">   (Chemistry / 2019 Chem Rotation - Year 1)</w:t>
      </w:r>
    </w:p>
    <w:p>
      <w:pPr>
        <w:pStyle w:val="Heading3"/>
        <w:spacing w:after="40" w:before="200"/>
      </w:pPr>
      <w:r>
        <w:rPr>
          <w:rFonts w:ascii="Arial" w:cs="Arial" w:eastAsia="Arial" w:hAnsi="Arial"/>
          <w:b/>
          <w:bCs/>
          <w:color w:val="1565C0"/>
          <w:sz w:val="23"/>
          <w:szCs w:val="23"/>
        </w:rPr>
        <w:t xml:space="preserve">14.  </w:t>
      </w:r>
      <w:r>
        <w:rPr>
          <w:rFonts w:ascii="Arial" w:cs="Arial" w:eastAsia="Arial" w:hAnsi="Arial"/>
          <w:b/>
          <w:bCs/>
          <w:color w:val="1B2A38"/>
          <w:sz w:val="23"/>
          <w:szCs w:val="23"/>
        </w:rPr>
        <w:t xml:space="preserve">Endocrine and Protein Testing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Chem_04.pptx</w:t>
      </w:r>
    </w:p>
    <w:p>
      <w:pPr>
        <w:spacing w:after="40" w:before="120"/>
      </w:pPr>
      <w:r>
        <w:rPr>
          <w:rFonts w:ascii="Arial" w:cs="Arial" w:eastAsia="Arial" w:hAnsi="Arial"/>
          <w:b/>
          <w:bCs/>
          <w:color w:val="1565C0"/>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thyroid function tests and recognize interferences.</w:t>
      </w:r>
    </w:p>
    <w:p>
      <w:pPr>
        <w:pStyle w:val="ListParagraph"/>
        <w:numPr>
          <w:ilvl w:val="0"/>
          <w:numId w:val="2"/>
        </w:numPr>
        <w:spacing w:after="50" w:line="264"/>
      </w:pPr>
      <w:r>
        <w:rPr>
          <w:rFonts w:ascii="Arial" w:cs="Arial" w:eastAsia="Arial" w:hAnsi="Arial"/>
          <w:color w:val="33444F"/>
          <w:sz w:val="21"/>
          <w:szCs w:val="21"/>
        </w:rPr>
        <w:t xml:space="preserve">Apply caveats to cortisol and ACTH testing.</w:t>
      </w:r>
    </w:p>
    <w:p>
      <w:pPr>
        <w:pStyle w:val="ListParagraph"/>
        <w:numPr>
          <w:ilvl w:val="0"/>
          <w:numId w:val="2"/>
        </w:numPr>
        <w:spacing w:after="50" w:line="264"/>
      </w:pPr>
      <w:r>
        <w:rPr>
          <w:rFonts w:ascii="Arial" w:cs="Arial" w:eastAsia="Arial" w:hAnsi="Arial"/>
          <w:color w:val="33444F"/>
          <w:sz w:val="21"/>
          <w:szCs w:val="21"/>
        </w:rPr>
        <w:t xml:space="preserve">Read SPEP, UPEP, and immunofixation patterns.</w:t>
      </w:r>
    </w:p>
    <w:p>
      <w:pPr>
        <w:pStyle w:val="ListParagraph"/>
        <w:numPr>
          <w:ilvl w:val="0"/>
          <w:numId w:val="2"/>
        </w:numPr>
        <w:spacing w:after="50" w:line="264"/>
      </w:pPr>
      <w:r>
        <w:rPr>
          <w:rFonts w:ascii="Arial" w:cs="Arial" w:eastAsia="Arial" w:hAnsi="Arial"/>
          <w:color w:val="33444F"/>
          <w:sz w:val="21"/>
          <w:szCs w:val="21"/>
        </w:rPr>
        <w:t xml:space="preserve">Use serum free light chains in monoclonal gammopathy.</w:t>
      </w:r>
    </w:p>
    <w:p>
      <w:pPr>
        <w:pStyle w:val="ListParagraph"/>
        <w:numPr>
          <w:ilvl w:val="0"/>
          <w:numId w:val="2"/>
        </w:numPr>
        <w:spacing w:after="50" w:line="264"/>
      </w:pPr>
      <w:r>
        <w:rPr>
          <w:rFonts w:ascii="Arial" w:cs="Arial" w:eastAsia="Arial" w:hAnsi="Arial"/>
          <w:color w:val="33444F"/>
          <w:sz w:val="21"/>
          <w:szCs w:val="21"/>
        </w:rPr>
        <w:t xml:space="preserve">Recognize assay interferences in endocrine testing.</w:t>
      </w:r>
    </w:p>
    <w:p>
      <w:pPr>
        <w:spacing w:after="40" w:before="120"/>
      </w:pPr>
      <w:r>
        <w:rPr>
          <w:rFonts w:ascii="Arial" w:cs="Arial" w:eastAsia="Arial" w:hAnsi="Arial"/>
          <w:b/>
          <w:bCs/>
          <w:color w:val="1565C0"/>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TSH-reflex strategy and thyroid interferences</w:t>
      </w:r>
    </w:p>
    <w:p>
      <w:pPr>
        <w:pStyle w:val="ListParagraph"/>
        <w:numPr>
          <w:ilvl w:val="0"/>
          <w:numId w:val="2"/>
        </w:numPr>
        <w:spacing w:after="50" w:line="264"/>
      </w:pPr>
      <w:r>
        <w:rPr>
          <w:rFonts w:ascii="Arial" w:cs="Arial" w:eastAsia="Arial" w:hAnsi="Arial"/>
          <w:color w:val="33444F"/>
          <w:sz w:val="21"/>
          <w:szCs w:val="21"/>
        </w:rPr>
        <w:t xml:space="preserve">Cortisol / ACTH dynamic testing caveats</w:t>
      </w:r>
    </w:p>
    <w:p>
      <w:pPr>
        <w:pStyle w:val="ListParagraph"/>
        <w:numPr>
          <w:ilvl w:val="0"/>
          <w:numId w:val="2"/>
        </w:numPr>
        <w:spacing w:after="50" w:line="264"/>
      </w:pPr>
      <w:r>
        <w:rPr>
          <w:rFonts w:ascii="Arial" w:cs="Arial" w:eastAsia="Arial" w:hAnsi="Arial"/>
          <w:color w:val="33444F"/>
          <w:sz w:val="21"/>
          <w:szCs w:val="21"/>
        </w:rPr>
        <w:t xml:space="preserve">SPEP / UPEP / IFE pattern recognition</w:t>
      </w:r>
    </w:p>
    <w:p>
      <w:pPr>
        <w:pStyle w:val="ListParagraph"/>
        <w:numPr>
          <w:ilvl w:val="0"/>
          <w:numId w:val="2"/>
        </w:numPr>
        <w:spacing w:after="50" w:line="264"/>
      </w:pPr>
      <w:r>
        <w:rPr>
          <w:rFonts w:ascii="Arial" w:cs="Arial" w:eastAsia="Arial" w:hAnsi="Arial"/>
          <w:color w:val="33444F"/>
          <w:sz w:val="21"/>
          <w:szCs w:val="21"/>
        </w:rPr>
        <w:t xml:space="preserve">Serum free light chains and ratios</w:t>
      </w:r>
    </w:p>
    <w:p>
      <w:pPr>
        <w:pStyle w:val="ListParagraph"/>
        <w:numPr>
          <w:ilvl w:val="0"/>
          <w:numId w:val="2"/>
        </w:numPr>
        <w:spacing w:after="50" w:line="264"/>
      </w:pPr>
      <w:r>
        <w:rPr>
          <w:rFonts w:ascii="Arial" w:cs="Arial" w:eastAsia="Arial" w:hAnsi="Arial"/>
          <w:color w:val="33444F"/>
          <w:sz w:val="21"/>
          <w:szCs w:val="21"/>
        </w:rPr>
        <w:t xml:space="preserve">Monoclonal gammopathy workup (IMWG)</w:t>
      </w:r>
    </w:p>
    <w:p>
      <w:pPr>
        <w:pStyle w:val="ListParagraph"/>
        <w:numPr>
          <w:ilvl w:val="0"/>
          <w:numId w:val="2"/>
        </w:numPr>
        <w:spacing w:after="50" w:line="264"/>
      </w:pPr>
      <w:r>
        <w:rPr>
          <w:rFonts w:ascii="Arial" w:cs="Arial" w:eastAsia="Arial" w:hAnsi="Arial"/>
          <w:color w:val="33444F"/>
          <w:sz w:val="21"/>
          <w:szCs w:val="21"/>
        </w:rPr>
        <w:t xml:space="preserve">Biotin, macro-TSH, and hook effects</w:t>
      </w:r>
    </w:p>
    <w:p>
      <w:pPr>
        <w:spacing w:after="40" w:before="120"/>
      </w:pPr>
      <w:r>
        <w:rPr>
          <w:rFonts w:ascii="Arial" w:cs="Arial" w:eastAsia="Arial" w:hAnsi="Arial"/>
          <w:b/>
          <w:bCs/>
          <w:color w:val="1565C0"/>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SPEP M-spike interpretation and reflex IFE</w:t>
      </w:r>
    </w:p>
    <w:p>
      <w:pPr>
        <w:pStyle w:val="ListParagraph"/>
        <w:numPr>
          <w:ilvl w:val="0"/>
          <w:numId w:val="2"/>
        </w:numPr>
        <w:spacing w:after="50" w:line="264"/>
      </w:pPr>
      <w:r>
        <w:rPr>
          <w:rFonts w:ascii="Arial" w:cs="Arial" w:eastAsia="Arial" w:hAnsi="Arial"/>
          <w:color w:val="33444F"/>
          <w:sz w:val="21"/>
          <w:szCs w:val="21"/>
        </w:rPr>
        <w:t xml:space="preserve">Free light chain ratio in monoclonal gammopathy</w:t>
      </w:r>
    </w:p>
    <w:p>
      <w:pPr>
        <w:pStyle w:val="ListParagraph"/>
        <w:numPr>
          <w:ilvl w:val="0"/>
          <w:numId w:val="2"/>
        </w:numPr>
        <w:spacing w:after="50" w:line="264"/>
      </w:pPr>
      <w:r>
        <w:rPr>
          <w:rFonts w:ascii="Arial" w:cs="Arial" w:eastAsia="Arial" w:hAnsi="Arial"/>
          <w:color w:val="33444F"/>
          <w:sz w:val="21"/>
          <w:szCs w:val="21"/>
        </w:rPr>
        <w:t xml:space="preserve">Thyroid assay interference (biotin, heterophile)</w:t>
      </w:r>
    </w:p>
    <w:p>
      <w:pPr>
        <w:spacing w:after="40" w:before="120"/>
      </w:pPr>
      <w:r>
        <w:rPr>
          <w:rFonts w:ascii="Arial" w:cs="Arial" w:eastAsia="Arial" w:hAnsi="Arial"/>
          <w:b/>
          <w:bCs/>
          <w:color w:val="1565C0"/>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Chem Protein electrophoresis Keren</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Chem Serum protein electrophoresis Keren</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Protein Electrophoresis Clinical Diagnosis Keren Book</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Vitamin D JS</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Chem Diabetes Kidney</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SPE and Ig discrepancy JS</w:t>
      </w:r>
      <w:r>
        <w:rPr>
          <w:rFonts w:ascii="Arial" w:cs="Arial" w:eastAsia="Arial" w:hAnsi="Arial"/>
          <w:i/>
          <w:iCs/>
          <w:color w:val="6B7B8A"/>
          <w:sz w:val="18"/>
          <w:szCs w:val="18"/>
        </w:rPr>
        <w:t xml:space="preserve">   (Chemistry)</w:t>
      </w:r>
    </w:p>
    <w:p>
      <w:pPr>
        <w:pStyle w:val="Heading3"/>
        <w:spacing w:after="40" w:before="200"/>
      </w:pPr>
      <w:r>
        <w:rPr>
          <w:rFonts w:ascii="Arial" w:cs="Arial" w:eastAsia="Arial" w:hAnsi="Arial"/>
          <w:b/>
          <w:bCs/>
          <w:color w:val="1565C0"/>
          <w:sz w:val="23"/>
          <w:szCs w:val="23"/>
        </w:rPr>
        <w:t xml:space="preserve">15.  </w:t>
      </w:r>
      <w:r>
        <w:rPr>
          <w:rFonts w:ascii="Arial" w:cs="Arial" w:eastAsia="Arial" w:hAnsi="Arial"/>
          <w:b/>
          <w:bCs/>
          <w:color w:val="1B2A38"/>
          <w:sz w:val="23"/>
          <w:szCs w:val="23"/>
        </w:rPr>
        <w:t xml:space="preserve">Toxicology, TDM, and Point-of-Care Testing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Chem_05.pptx</w:t>
      </w:r>
    </w:p>
    <w:p>
      <w:pPr>
        <w:spacing w:after="40" w:before="120"/>
      </w:pPr>
      <w:r>
        <w:rPr>
          <w:rFonts w:ascii="Arial" w:cs="Arial" w:eastAsia="Arial" w:hAnsi="Arial"/>
          <w:b/>
          <w:bCs/>
          <w:color w:val="1565C0"/>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Distinguish screening immunoassays from confirmatory methods.</w:t>
      </w:r>
    </w:p>
    <w:p>
      <w:pPr>
        <w:pStyle w:val="ListParagraph"/>
        <w:numPr>
          <w:ilvl w:val="0"/>
          <w:numId w:val="2"/>
        </w:numPr>
        <w:spacing w:after="50" w:line="264"/>
      </w:pPr>
      <w:r>
        <w:rPr>
          <w:rFonts w:ascii="Arial" w:cs="Arial" w:eastAsia="Arial" w:hAnsi="Arial"/>
          <w:color w:val="33444F"/>
          <w:sz w:val="21"/>
          <w:szCs w:val="21"/>
        </w:rPr>
        <w:t xml:space="preserve">Apply therapeutic drug monitoring principles.</w:t>
      </w:r>
    </w:p>
    <w:p>
      <w:pPr>
        <w:pStyle w:val="ListParagraph"/>
        <w:numPr>
          <w:ilvl w:val="0"/>
          <w:numId w:val="2"/>
        </w:numPr>
        <w:spacing w:after="50" w:line="264"/>
      </w:pPr>
      <w:r>
        <w:rPr>
          <w:rFonts w:ascii="Arial" w:cs="Arial" w:eastAsia="Arial" w:hAnsi="Arial"/>
          <w:color w:val="33444F"/>
          <w:sz w:val="21"/>
          <w:szCs w:val="21"/>
        </w:rPr>
        <w:t xml:space="preserve">Recognize drug-screen cross-reactivity and pitfalls.</w:t>
      </w:r>
    </w:p>
    <w:p>
      <w:pPr>
        <w:pStyle w:val="ListParagraph"/>
        <w:numPr>
          <w:ilvl w:val="0"/>
          <w:numId w:val="2"/>
        </w:numPr>
        <w:spacing w:after="50" w:line="264"/>
      </w:pPr>
      <w:r>
        <w:rPr>
          <w:rFonts w:ascii="Arial" w:cs="Arial" w:eastAsia="Arial" w:hAnsi="Arial"/>
          <w:color w:val="33444F"/>
          <w:sz w:val="21"/>
          <w:szCs w:val="21"/>
        </w:rPr>
        <w:t xml:space="preserve">State POCT governance and quality requirements.</w:t>
      </w:r>
    </w:p>
    <w:p>
      <w:pPr>
        <w:pStyle w:val="ListParagraph"/>
        <w:numPr>
          <w:ilvl w:val="0"/>
          <w:numId w:val="2"/>
        </w:numPr>
        <w:spacing w:after="50" w:line="264"/>
      </w:pPr>
      <w:r>
        <w:rPr>
          <w:rFonts w:ascii="Arial" w:cs="Arial" w:eastAsia="Arial" w:hAnsi="Arial"/>
          <w:color w:val="33444F"/>
          <w:sz w:val="21"/>
          <w:szCs w:val="21"/>
        </w:rPr>
        <w:t xml:space="preserve">Outline method validation essentials for new assays.</w:t>
      </w:r>
    </w:p>
    <w:p>
      <w:pPr>
        <w:spacing w:after="40" w:before="120"/>
      </w:pPr>
      <w:r>
        <w:rPr>
          <w:rFonts w:ascii="Arial" w:cs="Arial" w:eastAsia="Arial" w:hAnsi="Arial"/>
          <w:b/>
          <w:bCs/>
          <w:color w:val="1565C0"/>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Drug-of-abuse screen vs confirmation (LC-MS/MS, GC-MS)</w:t>
      </w:r>
    </w:p>
    <w:p>
      <w:pPr>
        <w:pStyle w:val="ListParagraph"/>
        <w:numPr>
          <w:ilvl w:val="0"/>
          <w:numId w:val="2"/>
        </w:numPr>
        <w:spacing w:after="50" w:line="264"/>
      </w:pPr>
      <w:r>
        <w:rPr>
          <w:rFonts w:ascii="Arial" w:cs="Arial" w:eastAsia="Arial" w:hAnsi="Arial"/>
          <w:color w:val="33444F"/>
          <w:sz w:val="21"/>
          <w:szCs w:val="21"/>
        </w:rPr>
        <w:t xml:space="preserve">TDM: trough/peak timing and steady state</w:t>
      </w:r>
    </w:p>
    <w:p>
      <w:pPr>
        <w:pStyle w:val="ListParagraph"/>
        <w:numPr>
          <w:ilvl w:val="0"/>
          <w:numId w:val="2"/>
        </w:numPr>
        <w:spacing w:after="50" w:line="264"/>
      </w:pPr>
      <w:r>
        <w:rPr>
          <w:rFonts w:ascii="Arial" w:cs="Arial" w:eastAsia="Arial" w:hAnsi="Arial"/>
          <w:color w:val="33444F"/>
          <w:sz w:val="21"/>
          <w:szCs w:val="21"/>
        </w:rPr>
        <w:t xml:space="preserve">Cross-reactivity and false positives/negatives</w:t>
      </w:r>
    </w:p>
    <w:p>
      <w:pPr>
        <w:pStyle w:val="ListParagraph"/>
        <w:numPr>
          <w:ilvl w:val="0"/>
          <w:numId w:val="2"/>
        </w:numPr>
        <w:spacing w:after="50" w:line="264"/>
      </w:pPr>
      <w:r>
        <w:rPr>
          <w:rFonts w:ascii="Arial" w:cs="Arial" w:eastAsia="Arial" w:hAnsi="Arial"/>
          <w:color w:val="33444F"/>
          <w:sz w:val="21"/>
          <w:szCs w:val="21"/>
        </w:rPr>
        <w:t xml:space="preserve">POCT oversight, connectivity, and competency</w:t>
      </w:r>
    </w:p>
    <w:p>
      <w:pPr>
        <w:pStyle w:val="ListParagraph"/>
        <w:numPr>
          <w:ilvl w:val="0"/>
          <w:numId w:val="2"/>
        </w:numPr>
        <w:spacing w:after="50" w:line="264"/>
      </w:pPr>
      <w:r>
        <w:rPr>
          <w:rFonts w:ascii="Arial" w:cs="Arial" w:eastAsia="Arial" w:hAnsi="Arial"/>
          <w:color w:val="33444F"/>
          <w:sz w:val="21"/>
          <w:szCs w:val="21"/>
        </w:rPr>
        <w:t xml:space="preserve">Validation: accuracy, precision, linearity, reportable range</w:t>
      </w:r>
    </w:p>
    <w:p>
      <w:pPr>
        <w:pStyle w:val="ListParagraph"/>
        <w:numPr>
          <w:ilvl w:val="0"/>
          <w:numId w:val="2"/>
        </w:numPr>
        <w:spacing w:after="50" w:line="264"/>
      </w:pPr>
      <w:r>
        <w:rPr>
          <w:rFonts w:ascii="Arial" w:cs="Arial" w:eastAsia="Arial" w:hAnsi="Arial"/>
          <w:color w:val="33444F"/>
          <w:sz w:val="21"/>
          <w:szCs w:val="21"/>
        </w:rPr>
        <w:t xml:space="preserve">Reference intervals and critical values</w:t>
      </w:r>
    </w:p>
    <w:p>
      <w:pPr>
        <w:spacing w:after="40" w:before="120"/>
      </w:pPr>
      <w:r>
        <w:rPr>
          <w:rFonts w:ascii="Arial" w:cs="Arial" w:eastAsia="Arial" w:hAnsi="Arial"/>
          <w:b/>
          <w:bCs/>
          <w:color w:val="1565C0"/>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Immunoassay screen cross-reactivity</w:t>
      </w:r>
    </w:p>
    <w:p>
      <w:pPr>
        <w:pStyle w:val="ListParagraph"/>
        <w:numPr>
          <w:ilvl w:val="0"/>
          <w:numId w:val="2"/>
        </w:numPr>
        <w:spacing w:after="50" w:line="264"/>
      </w:pPr>
      <w:r>
        <w:rPr>
          <w:rFonts w:ascii="Arial" w:cs="Arial" w:eastAsia="Arial" w:hAnsi="Arial"/>
          <w:color w:val="33444F"/>
          <w:sz w:val="21"/>
          <w:szCs w:val="21"/>
        </w:rPr>
        <w:t xml:space="preserve">TDM sampling timing</w:t>
      </w:r>
    </w:p>
    <w:p>
      <w:pPr>
        <w:pStyle w:val="ListParagraph"/>
        <w:numPr>
          <w:ilvl w:val="0"/>
          <w:numId w:val="2"/>
        </w:numPr>
        <w:spacing w:after="50" w:line="264"/>
      </w:pPr>
      <w:r>
        <w:rPr>
          <w:rFonts w:ascii="Arial" w:cs="Arial" w:eastAsia="Arial" w:hAnsi="Arial"/>
          <w:color w:val="33444F"/>
          <w:sz w:val="21"/>
          <w:szCs w:val="21"/>
        </w:rPr>
        <w:t xml:space="preserve">Confirmatory testing rationale</w:t>
      </w:r>
    </w:p>
    <w:p>
      <w:pPr>
        <w:spacing w:after="40" w:before="120"/>
      </w:pPr>
      <w:r>
        <w:rPr>
          <w:rFonts w:ascii="Arial" w:cs="Arial" w:eastAsia="Arial" w:hAnsi="Arial"/>
          <w:b/>
          <w:bCs/>
          <w:color w:val="1565C0"/>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Chem Toxicology Pain Management</w:t>
      </w:r>
      <w:r>
        <w:rPr>
          <w:rFonts w:ascii="Arial" w:cs="Arial" w:eastAsia="Arial" w:hAnsi="Arial"/>
          <w:i/>
          <w:iCs/>
          <w:color w:val="6B7B8A"/>
          <w:sz w:val="18"/>
          <w:szCs w:val="18"/>
        </w:rPr>
        <w:t xml:space="preserve">   (Chemistry / 2018 Chem Rotation - Year 1)</w:t>
      </w:r>
    </w:p>
    <w:p>
      <w:pPr>
        <w:pStyle w:val="ListParagraph"/>
        <w:numPr>
          <w:ilvl w:val="0"/>
          <w:numId w:val="3"/>
        </w:numPr>
        <w:spacing w:after="50" w:line="264"/>
      </w:pPr>
      <w:r>
        <w:rPr>
          <w:rFonts w:ascii="Arial" w:cs="Arial" w:eastAsia="Arial" w:hAnsi="Arial"/>
          <w:color w:val="33444F"/>
          <w:sz w:val="20"/>
          <w:szCs w:val="20"/>
        </w:rPr>
        <w:t xml:space="preserve">Chem GWM Drugs of abuse and pain management</w:t>
      </w:r>
      <w:r>
        <w:rPr>
          <w:rFonts w:ascii="Arial" w:cs="Arial" w:eastAsia="Arial" w:hAnsi="Arial"/>
          <w:i/>
          <w:iCs/>
          <w:color w:val="6B7B8A"/>
          <w:sz w:val="18"/>
          <w:szCs w:val="18"/>
        </w:rPr>
        <w:t xml:space="preserve">   (Chemistry / Morning Conferences)</w:t>
      </w:r>
    </w:p>
    <w:p>
      <w:pPr>
        <w:pStyle w:val="ListParagraph"/>
        <w:numPr>
          <w:ilvl w:val="0"/>
          <w:numId w:val="3"/>
        </w:numPr>
        <w:spacing w:after="50" w:line="264"/>
      </w:pPr>
      <w:r>
        <w:rPr>
          <w:rFonts w:ascii="Arial" w:cs="Arial" w:eastAsia="Arial" w:hAnsi="Arial"/>
          <w:color w:val="33444F"/>
          <w:sz w:val="20"/>
          <w:szCs w:val="20"/>
        </w:rPr>
        <w:t xml:space="preserve">Chem Toxicology Operations GWM</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Chem TDM problem solving gwm</w:t>
      </w:r>
      <w:r>
        <w:rPr>
          <w:rFonts w:ascii="Arial" w:cs="Arial" w:eastAsia="Arial" w:hAnsi="Arial"/>
          <w:i/>
          <w:iCs/>
          <w:color w:val="6B7B8A"/>
          <w:sz w:val="18"/>
          <w:szCs w:val="18"/>
        </w:rPr>
        <w:t xml:space="preserve">   (Chemistry / Morning Conferences)</w:t>
      </w:r>
    </w:p>
    <w:p>
      <w:pPr>
        <w:pStyle w:val="ListParagraph"/>
        <w:numPr>
          <w:ilvl w:val="0"/>
          <w:numId w:val="3"/>
        </w:numPr>
        <w:spacing w:after="50" w:line="264"/>
      </w:pPr>
      <w:r>
        <w:rPr>
          <w:rFonts w:ascii="Arial" w:cs="Arial" w:eastAsia="Arial" w:hAnsi="Arial"/>
          <w:color w:val="33444F"/>
          <w:sz w:val="20"/>
          <w:szCs w:val="20"/>
        </w:rPr>
        <w:t xml:space="preserve">Final Opioid chemistry may 24 GWM edits (1)</w:t>
      </w:r>
      <w:r>
        <w:rPr>
          <w:rFonts w:ascii="Arial" w:cs="Arial" w:eastAsia="Arial" w:hAnsi="Arial"/>
          <w:i/>
          <w:iCs/>
          <w:color w:val="6B7B8A"/>
          <w:sz w:val="18"/>
          <w:szCs w:val="18"/>
        </w:rPr>
        <w:t xml:space="preserve">   (Chemistry / Resident quality projects)</w:t>
      </w:r>
    </w:p>
    <w:p>
      <w:pPr>
        <w:pStyle w:val="ListParagraph"/>
        <w:numPr>
          <w:ilvl w:val="0"/>
          <w:numId w:val="3"/>
        </w:numPr>
        <w:spacing w:after="50" w:line="264"/>
      </w:pPr>
      <w:r>
        <w:rPr>
          <w:rFonts w:ascii="Arial" w:cs="Arial" w:eastAsia="Arial" w:hAnsi="Arial"/>
          <w:color w:val="33444F"/>
          <w:sz w:val="20"/>
          <w:szCs w:val="20"/>
        </w:rPr>
        <w:t xml:space="preserve">Chem Toxicology operations GWM</w:t>
      </w:r>
      <w:r>
        <w:rPr>
          <w:rFonts w:ascii="Arial" w:cs="Arial" w:eastAsia="Arial" w:hAnsi="Arial"/>
          <w:i/>
          <w:iCs/>
          <w:color w:val="6B7B8A"/>
          <w:sz w:val="18"/>
          <w:szCs w:val="18"/>
        </w:rPr>
        <w:t xml:space="preserve">   (Chemistry)</w:t>
      </w:r>
    </w:p>
    <w:p>
      <w:r>
        <w:br w:type="page"/>
      </w:r>
    </w:p>
    <w:p>
      <w:pPr>
        <w:pStyle w:val="Heading1"/>
        <w:spacing w:after="60" w:before="60"/>
      </w:pPr>
      <w:r>
        <w:rPr>
          <w:rFonts w:ascii="Arial" w:cs="Arial" w:eastAsia="Arial" w:hAnsi="Arial"/>
          <w:b/>
          <w:bCs/>
          <w:color w:val="2E7D32"/>
          <w:sz w:val="30"/>
          <w:szCs w:val="30"/>
        </w:rPr>
        <w:t xml:space="preserve">Block 4  ·  Microbiology</w:t>
      </w:r>
    </w:p>
    <w:p>
      <w:pPr>
        <w:pBdr>
          <w:bottom w:val="single" w:color="2E7D32" w:sz="8" w:space="6"/>
        </w:pBdr>
        <w:spacing w:after="120"/>
      </w:pPr>
      <w:r>
        <w:rPr>
          <w:rFonts w:ascii="Arial" w:cs="Arial" w:eastAsia="Arial" w:hAnsi="Arial"/>
          <w:color w:val="6B7B8A"/>
          <w:spacing w:val="8"/>
          <w:sz w:val="19"/>
          <w:szCs w:val="19"/>
        </w:rPr>
        <w:t xml:space="preserve">5 lectures</w:t>
      </w:r>
    </w:p>
    <w:p>
      <w:pPr>
        <w:pStyle w:val="Heading3"/>
        <w:spacing w:after="40" w:before="200"/>
      </w:pPr>
      <w:r>
        <w:rPr>
          <w:rFonts w:ascii="Arial" w:cs="Arial" w:eastAsia="Arial" w:hAnsi="Arial"/>
          <w:b/>
          <w:bCs/>
          <w:color w:val="2E7D32"/>
          <w:sz w:val="23"/>
          <w:szCs w:val="23"/>
        </w:rPr>
        <w:t xml:space="preserve">16.  </w:t>
      </w:r>
      <w:r>
        <w:rPr>
          <w:rFonts w:ascii="Arial" w:cs="Arial" w:eastAsia="Arial" w:hAnsi="Arial"/>
          <w:b/>
          <w:bCs/>
          <w:color w:val="1B2A38"/>
          <w:sz w:val="23"/>
          <w:szCs w:val="23"/>
        </w:rPr>
        <w:t xml:space="preserve">Specimen Selection, Collection, and Rejection Criteria</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Micro_01.pptx</w:t>
      </w:r>
    </w:p>
    <w:p>
      <w:pPr>
        <w:spacing w:after="40" w:before="120"/>
      </w:pPr>
      <w:r>
        <w:rPr>
          <w:rFonts w:ascii="Arial" w:cs="Arial" w:eastAsia="Arial" w:hAnsi="Arial"/>
          <w:b/>
          <w:bCs/>
          <w:color w:val="2E7D32"/>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Match specimen type and transport to the suspected pathogen.</w:t>
      </w:r>
    </w:p>
    <w:p>
      <w:pPr>
        <w:pStyle w:val="ListParagraph"/>
        <w:numPr>
          <w:ilvl w:val="0"/>
          <w:numId w:val="2"/>
        </w:numPr>
        <w:spacing w:after="50" w:line="264"/>
      </w:pPr>
      <w:r>
        <w:rPr>
          <w:rFonts w:ascii="Arial" w:cs="Arial" w:eastAsia="Arial" w:hAnsi="Arial"/>
          <w:color w:val="33444F"/>
          <w:sz w:val="21"/>
          <w:szCs w:val="21"/>
        </w:rPr>
        <w:t xml:space="preserve">Apply rejection criteria and explain their rationale.</w:t>
      </w:r>
    </w:p>
    <w:p>
      <w:pPr>
        <w:pStyle w:val="ListParagraph"/>
        <w:numPr>
          <w:ilvl w:val="0"/>
          <w:numId w:val="2"/>
        </w:numPr>
        <w:spacing w:after="50" w:line="264"/>
      </w:pPr>
      <w:r>
        <w:rPr>
          <w:rFonts w:ascii="Arial" w:cs="Arial" w:eastAsia="Arial" w:hAnsi="Arial"/>
          <w:color w:val="33444F"/>
          <w:sz w:val="21"/>
          <w:szCs w:val="21"/>
        </w:rPr>
        <w:t xml:space="preserve">Recognize how preanalytic issues degrade culture and molecular testing.</w:t>
      </w:r>
    </w:p>
    <w:p>
      <w:pPr>
        <w:pStyle w:val="ListParagraph"/>
        <w:numPr>
          <w:ilvl w:val="0"/>
          <w:numId w:val="2"/>
        </w:numPr>
        <w:spacing w:after="50" w:line="264"/>
      </w:pPr>
      <w:r>
        <w:rPr>
          <w:rFonts w:ascii="Arial" w:cs="Arial" w:eastAsia="Arial" w:hAnsi="Arial"/>
          <w:color w:val="33444F"/>
          <w:sz w:val="21"/>
          <w:szCs w:val="21"/>
        </w:rPr>
        <w:t xml:space="preserve">Reduce contamination risk at collection.</w:t>
      </w:r>
    </w:p>
    <w:p>
      <w:pPr>
        <w:pStyle w:val="ListParagraph"/>
        <w:numPr>
          <w:ilvl w:val="0"/>
          <w:numId w:val="2"/>
        </w:numPr>
        <w:spacing w:after="50" w:line="264"/>
      </w:pPr>
      <w:r>
        <w:rPr>
          <w:rFonts w:ascii="Arial" w:cs="Arial" w:eastAsia="Arial" w:hAnsi="Arial"/>
          <w:color w:val="33444F"/>
          <w:sz w:val="21"/>
          <w:szCs w:val="21"/>
        </w:rPr>
        <w:t xml:space="preserve">Communicate specimen problems to clinicians.</w:t>
      </w:r>
    </w:p>
    <w:p>
      <w:pPr>
        <w:spacing w:after="40" w:before="120"/>
      </w:pPr>
      <w:r>
        <w:rPr>
          <w:rFonts w:ascii="Arial" w:cs="Arial" w:eastAsia="Arial" w:hAnsi="Arial"/>
          <w:b/>
          <w:bCs/>
          <w:color w:val="2E7D32"/>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Specimen-to-pathogen matching</w:t>
      </w:r>
    </w:p>
    <w:p>
      <w:pPr>
        <w:pStyle w:val="ListParagraph"/>
        <w:numPr>
          <w:ilvl w:val="0"/>
          <w:numId w:val="2"/>
        </w:numPr>
        <w:spacing w:after="50" w:line="264"/>
      </w:pPr>
      <w:r>
        <w:rPr>
          <w:rFonts w:ascii="Arial" w:cs="Arial" w:eastAsia="Arial" w:hAnsi="Arial"/>
          <w:color w:val="33444F"/>
          <w:sz w:val="21"/>
          <w:szCs w:val="21"/>
        </w:rPr>
        <w:t xml:space="preserve">Transport media and time/temperature</w:t>
      </w:r>
    </w:p>
    <w:p>
      <w:pPr>
        <w:pStyle w:val="ListParagraph"/>
        <w:numPr>
          <w:ilvl w:val="0"/>
          <w:numId w:val="2"/>
        </w:numPr>
        <w:spacing w:after="50" w:line="264"/>
      </w:pPr>
      <w:r>
        <w:rPr>
          <w:rFonts w:ascii="Arial" w:cs="Arial" w:eastAsia="Arial" w:hAnsi="Arial"/>
          <w:color w:val="33444F"/>
          <w:sz w:val="21"/>
          <w:szCs w:val="21"/>
        </w:rPr>
        <w:t xml:space="preserve">Rejection criteria (e.g., saliva sputum, dry swab)</w:t>
      </w:r>
    </w:p>
    <w:p>
      <w:pPr>
        <w:pStyle w:val="ListParagraph"/>
        <w:numPr>
          <w:ilvl w:val="0"/>
          <w:numId w:val="2"/>
        </w:numPr>
        <w:spacing w:after="50" w:line="264"/>
      </w:pPr>
      <w:r>
        <w:rPr>
          <w:rFonts w:ascii="Arial" w:cs="Arial" w:eastAsia="Arial" w:hAnsi="Arial"/>
          <w:color w:val="33444F"/>
          <w:sz w:val="21"/>
          <w:szCs w:val="21"/>
        </w:rPr>
        <w:t xml:space="preserve">Contamination and normal flora</w:t>
      </w:r>
    </w:p>
    <w:p>
      <w:pPr>
        <w:pStyle w:val="ListParagraph"/>
        <w:numPr>
          <w:ilvl w:val="0"/>
          <w:numId w:val="2"/>
        </w:numPr>
        <w:spacing w:after="50" w:line="264"/>
      </w:pPr>
      <w:r>
        <w:rPr>
          <w:rFonts w:ascii="Arial" w:cs="Arial" w:eastAsia="Arial" w:hAnsi="Arial"/>
          <w:color w:val="33444F"/>
          <w:sz w:val="21"/>
          <w:szCs w:val="21"/>
        </w:rPr>
        <w:t xml:space="preserve">Anaerobic collection essentials</w:t>
      </w:r>
    </w:p>
    <w:p>
      <w:pPr>
        <w:pStyle w:val="ListParagraph"/>
        <w:numPr>
          <w:ilvl w:val="0"/>
          <w:numId w:val="2"/>
        </w:numPr>
        <w:spacing w:after="50" w:line="264"/>
      </w:pPr>
      <w:r>
        <w:rPr>
          <w:rFonts w:ascii="Arial" w:cs="Arial" w:eastAsia="Arial" w:hAnsi="Arial"/>
          <w:color w:val="33444F"/>
          <w:sz w:val="21"/>
          <w:szCs w:val="21"/>
        </w:rPr>
        <w:t xml:space="preserve">Preanalytics for molecular assays</w:t>
      </w:r>
    </w:p>
    <w:p>
      <w:pPr>
        <w:spacing w:after="40" w:before="120"/>
      </w:pPr>
      <w:r>
        <w:rPr>
          <w:rFonts w:ascii="Arial" w:cs="Arial" w:eastAsia="Arial" w:hAnsi="Arial"/>
          <w:b/>
          <w:bCs/>
          <w:color w:val="2E7D32"/>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Sputum adequacy (squamous cells)</w:t>
      </w:r>
    </w:p>
    <w:p>
      <w:pPr>
        <w:pStyle w:val="ListParagraph"/>
        <w:numPr>
          <w:ilvl w:val="0"/>
          <w:numId w:val="2"/>
        </w:numPr>
        <w:spacing w:after="50" w:line="264"/>
      </w:pPr>
      <w:r>
        <w:rPr>
          <w:rFonts w:ascii="Arial" w:cs="Arial" w:eastAsia="Arial" w:hAnsi="Arial"/>
          <w:color w:val="33444F"/>
          <w:sz w:val="21"/>
          <w:szCs w:val="21"/>
        </w:rPr>
        <w:t xml:space="preserve">Urine culture thresholds and contamination</w:t>
      </w:r>
    </w:p>
    <w:p>
      <w:pPr>
        <w:pStyle w:val="ListParagraph"/>
        <w:numPr>
          <w:ilvl w:val="0"/>
          <w:numId w:val="2"/>
        </w:numPr>
        <w:spacing w:after="50" w:line="264"/>
      </w:pPr>
      <w:r>
        <w:rPr>
          <w:rFonts w:ascii="Arial" w:cs="Arial" w:eastAsia="Arial" w:hAnsi="Arial"/>
          <w:color w:val="33444F"/>
          <w:sz w:val="21"/>
          <w:szCs w:val="21"/>
        </w:rPr>
        <w:t xml:space="preserve">Swab vs tissue/aspirate for anaerobes</w:t>
      </w:r>
    </w:p>
    <w:p>
      <w:pPr>
        <w:spacing w:after="40" w:before="120"/>
      </w:pPr>
      <w:r>
        <w:rPr>
          <w:rFonts w:ascii="Arial" w:cs="Arial" w:eastAsia="Arial" w:hAnsi="Arial"/>
          <w:b/>
          <w:bCs/>
          <w:color w:val="2E7D32"/>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IntroClinMicroLab ID Fellows Includes core micro</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Chem Preanalytic Variation July</w:t>
      </w:r>
      <w:r>
        <w:rPr>
          <w:rFonts w:ascii="Arial" w:cs="Arial" w:eastAsia="Arial" w:hAnsi="Arial"/>
          <w:i/>
          <w:iCs/>
          <w:color w:val="6B7B8A"/>
          <w:sz w:val="18"/>
          <w:szCs w:val="18"/>
        </w:rPr>
        <w:t xml:space="preserve">   (Chemistry / Chem_y1_2)</w:t>
      </w:r>
    </w:p>
    <w:p>
      <w:pPr>
        <w:pStyle w:val="ListParagraph"/>
        <w:numPr>
          <w:ilvl w:val="0"/>
          <w:numId w:val="3"/>
        </w:numPr>
        <w:spacing w:after="50" w:line="264"/>
      </w:pPr>
      <w:r>
        <w:rPr>
          <w:rFonts w:ascii="Arial" w:cs="Arial" w:eastAsia="Arial" w:hAnsi="Arial"/>
          <w:color w:val="33444F"/>
          <w:sz w:val="20"/>
          <w:szCs w:val="20"/>
        </w:rPr>
        <w:t xml:space="preserve">Chem Preanalytic Variation final cf 082017</w:t>
      </w:r>
      <w:r>
        <w:rPr>
          <w:rFonts w:ascii="Arial" w:cs="Arial" w:eastAsia="Arial" w:hAnsi="Arial"/>
          <w:i/>
          <w:iCs/>
          <w:color w:val="6B7B8A"/>
          <w:sz w:val="18"/>
          <w:szCs w:val="18"/>
        </w:rPr>
        <w:t xml:space="preserve">   (Chemistry / 2017 Chem Rotation - Year 1)</w:t>
      </w:r>
    </w:p>
    <w:p>
      <w:pPr>
        <w:pStyle w:val="ListParagraph"/>
        <w:numPr>
          <w:ilvl w:val="0"/>
          <w:numId w:val="3"/>
        </w:numPr>
        <w:spacing w:after="50" w:line="264"/>
      </w:pPr>
      <w:r>
        <w:rPr>
          <w:rFonts w:ascii="Arial" w:cs="Arial" w:eastAsia="Arial" w:hAnsi="Arial"/>
          <w:color w:val="33444F"/>
          <w:sz w:val="20"/>
          <w:szCs w:val="20"/>
        </w:rPr>
        <w:t xml:space="preserve">Chem Preanalytical Variation</w:t>
      </w:r>
      <w:r>
        <w:rPr>
          <w:rFonts w:ascii="Arial" w:cs="Arial" w:eastAsia="Arial" w:hAnsi="Arial"/>
          <w:i/>
          <w:iCs/>
          <w:color w:val="6B7B8A"/>
          <w:sz w:val="18"/>
          <w:szCs w:val="18"/>
        </w:rPr>
        <w:t xml:space="preserve">   (Chemistry / 2019 Chem Rotation - Year 1)</w:t>
      </w:r>
    </w:p>
    <w:p>
      <w:pPr>
        <w:pStyle w:val="ListParagraph"/>
        <w:numPr>
          <w:ilvl w:val="0"/>
          <w:numId w:val="3"/>
        </w:numPr>
        <w:spacing w:after="50" w:line="264"/>
      </w:pPr>
      <w:r>
        <w:rPr>
          <w:rFonts w:ascii="Arial" w:cs="Arial" w:eastAsia="Arial" w:hAnsi="Arial"/>
          <w:color w:val="33444F"/>
          <w:sz w:val="20"/>
          <w:szCs w:val="20"/>
        </w:rPr>
        <w:t xml:space="preserve">Chem Preanalytical Variation</w:t>
      </w:r>
      <w:r>
        <w:rPr>
          <w:rFonts w:ascii="Arial" w:cs="Arial" w:eastAsia="Arial" w:hAnsi="Arial"/>
          <w:i/>
          <w:iCs/>
          <w:color w:val="6B7B8A"/>
          <w:sz w:val="18"/>
          <w:szCs w:val="18"/>
        </w:rPr>
        <w:t xml:space="preserve">   (Chemistry / 2024 Chem Rotation - Year 1)</w:t>
      </w:r>
    </w:p>
    <w:p>
      <w:pPr>
        <w:pStyle w:val="ListParagraph"/>
        <w:numPr>
          <w:ilvl w:val="0"/>
          <w:numId w:val="3"/>
        </w:numPr>
        <w:spacing w:after="50" w:line="264"/>
      </w:pPr>
      <w:r>
        <w:rPr>
          <w:rFonts w:ascii="Arial" w:cs="Arial" w:eastAsia="Arial" w:hAnsi="Arial"/>
          <w:color w:val="33444F"/>
          <w:sz w:val="20"/>
          <w:szCs w:val="20"/>
        </w:rPr>
        <w:t xml:space="preserve">AABB Chap06 Whole Blood Collection</w:t>
      </w:r>
      <w:r>
        <w:rPr>
          <w:rFonts w:ascii="Arial" w:cs="Arial" w:eastAsia="Arial" w:hAnsi="Arial"/>
          <w:i/>
          <w:iCs/>
          <w:color w:val="6B7B8A"/>
          <w:sz w:val="18"/>
          <w:szCs w:val="18"/>
        </w:rPr>
        <w:t xml:space="preserve">   (Transfusion Medicine / AABB Technical Manual)</w:t>
      </w:r>
    </w:p>
    <w:p>
      <w:pPr>
        <w:pStyle w:val="Heading3"/>
        <w:spacing w:after="40" w:before="200"/>
      </w:pPr>
      <w:r>
        <w:rPr>
          <w:rFonts w:ascii="Arial" w:cs="Arial" w:eastAsia="Arial" w:hAnsi="Arial"/>
          <w:b/>
          <w:bCs/>
          <w:color w:val="2E7D32"/>
          <w:sz w:val="23"/>
          <w:szCs w:val="23"/>
        </w:rPr>
        <w:t xml:space="preserve">17.  </w:t>
      </w:r>
      <w:r>
        <w:rPr>
          <w:rFonts w:ascii="Arial" w:cs="Arial" w:eastAsia="Arial" w:hAnsi="Arial"/>
          <w:b/>
          <w:bCs/>
          <w:color w:val="1B2A38"/>
          <w:sz w:val="23"/>
          <w:szCs w:val="23"/>
        </w:rPr>
        <w:t xml:space="preserve">Gram Stain, Culture Workflows, and Organism Identification</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Micro_02.pptx</w:t>
      </w:r>
    </w:p>
    <w:p>
      <w:pPr>
        <w:spacing w:after="40" w:before="120"/>
      </w:pPr>
      <w:r>
        <w:rPr>
          <w:rFonts w:ascii="Arial" w:cs="Arial" w:eastAsia="Arial" w:hAnsi="Arial"/>
          <w:b/>
          <w:bCs/>
          <w:color w:val="2E7D32"/>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Gram stains and link morphology to likely organisms.</w:t>
      </w:r>
    </w:p>
    <w:p>
      <w:pPr>
        <w:pStyle w:val="ListParagraph"/>
        <w:numPr>
          <w:ilvl w:val="0"/>
          <w:numId w:val="2"/>
        </w:numPr>
        <w:spacing w:after="50" w:line="264"/>
      </w:pPr>
      <w:r>
        <w:rPr>
          <w:rFonts w:ascii="Arial" w:cs="Arial" w:eastAsia="Arial" w:hAnsi="Arial"/>
          <w:color w:val="33444F"/>
          <w:sz w:val="21"/>
          <w:szCs w:val="21"/>
        </w:rPr>
        <w:t xml:space="preserve">Follow bench logic from culture to identification.</w:t>
      </w:r>
    </w:p>
    <w:p>
      <w:pPr>
        <w:pStyle w:val="ListParagraph"/>
        <w:numPr>
          <w:ilvl w:val="0"/>
          <w:numId w:val="2"/>
        </w:numPr>
        <w:spacing w:after="50" w:line="264"/>
      </w:pPr>
      <w:r>
        <w:rPr>
          <w:rFonts w:ascii="Arial" w:cs="Arial" w:eastAsia="Arial" w:hAnsi="Arial"/>
          <w:color w:val="33444F"/>
          <w:sz w:val="21"/>
          <w:szCs w:val="21"/>
        </w:rPr>
        <w:t xml:space="preserve">Describe rapid identification methods (MALDI-TOF).</w:t>
      </w:r>
    </w:p>
    <w:p>
      <w:pPr>
        <w:pStyle w:val="ListParagraph"/>
        <w:numPr>
          <w:ilvl w:val="0"/>
          <w:numId w:val="2"/>
        </w:numPr>
        <w:spacing w:after="50" w:line="264"/>
      </w:pPr>
      <w:r>
        <w:rPr>
          <w:rFonts w:ascii="Arial" w:cs="Arial" w:eastAsia="Arial" w:hAnsi="Arial"/>
          <w:color w:val="33444F"/>
          <w:sz w:val="21"/>
          <w:szCs w:val="21"/>
        </w:rPr>
        <w:t xml:space="preserve">Recognize key colony morphologies.</w:t>
      </w:r>
    </w:p>
    <w:p>
      <w:pPr>
        <w:pStyle w:val="ListParagraph"/>
        <w:numPr>
          <w:ilvl w:val="0"/>
          <w:numId w:val="2"/>
        </w:numPr>
        <w:spacing w:after="50" w:line="264"/>
      </w:pPr>
      <w:r>
        <w:rPr>
          <w:rFonts w:ascii="Arial" w:cs="Arial" w:eastAsia="Arial" w:hAnsi="Arial"/>
          <w:color w:val="33444F"/>
          <w:sz w:val="21"/>
          <w:szCs w:val="21"/>
        </w:rPr>
        <w:t xml:space="preserve">Communicate urgent stain and culture findings.</w:t>
      </w:r>
    </w:p>
    <w:p>
      <w:pPr>
        <w:spacing w:after="40" w:before="120"/>
      </w:pPr>
      <w:r>
        <w:rPr>
          <w:rFonts w:ascii="Arial" w:cs="Arial" w:eastAsia="Arial" w:hAnsi="Arial"/>
          <w:b/>
          <w:bCs/>
          <w:color w:val="2E7D32"/>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Gram-stain morphology and reporting</w:t>
      </w:r>
    </w:p>
    <w:p>
      <w:pPr>
        <w:pStyle w:val="ListParagraph"/>
        <w:numPr>
          <w:ilvl w:val="0"/>
          <w:numId w:val="2"/>
        </w:numPr>
        <w:spacing w:after="50" w:line="264"/>
      </w:pPr>
      <w:r>
        <w:rPr>
          <w:rFonts w:ascii="Arial" w:cs="Arial" w:eastAsia="Arial" w:hAnsi="Arial"/>
          <w:color w:val="33444F"/>
          <w:sz w:val="21"/>
          <w:szCs w:val="21"/>
        </w:rPr>
        <w:t xml:space="preserve">Primary and selective media</w:t>
      </w:r>
    </w:p>
    <w:p>
      <w:pPr>
        <w:pStyle w:val="ListParagraph"/>
        <w:numPr>
          <w:ilvl w:val="0"/>
          <w:numId w:val="2"/>
        </w:numPr>
        <w:spacing w:after="50" w:line="264"/>
      </w:pPr>
      <w:r>
        <w:rPr>
          <w:rFonts w:ascii="Arial" w:cs="Arial" w:eastAsia="Arial" w:hAnsi="Arial"/>
          <w:color w:val="33444F"/>
          <w:sz w:val="21"/>
          <w:szCs w:val="21"/>
        </w:rPr>
        <w:t xml:space="preserve">Colony morphology cues</w:t>
      </w:r>
    </w:p>
    <w:p>
      <w:pPr>
        <w:pStyle w:val="ListParagraph"/>
        <w:numPr>
          <w:ilvl w:val="0"/>
          <w:numId w:val="2"/>
        </w:numPr>
        <w:spacing w:after="50" w:line="264"/>
      </w:pPr>
      <w:r>
        <w:rPr>
          <w:rFonts w:ascii="Arial" w:cs="Arial" w:eastAsia="Arial" w:hAnsi="Arial"/>
          <w:color w:val="33444F"/>
          <w:sz w:val="21"/>
          <w:szCs w:val="21"/>
        </w:rPr>
        <w:t xml:space="preserve">Biochemical and rapid identification</w:t>
      </w:r>
    </w:p>
    <w:p>
      <w:pPr>
        <w:pStyle w:val="ListParagraph"/>
        <w:numPr>
          <w:ilvl w:val="0"/>
          <w:numId w:val="2"/>
        </w:numPr>
        <w:spacing w:after="50" w:line="264"/>
      </w:pPr>
      <w:r>
        <w:rPr>
          <w:rFonts w:ascii="Arial" w:cs="Arial" w:eastAsia="Arial" w:hAnsi="Arial"/>
          <w:color w:val="33444F"/>
          <w:sz w:val="21"/>
          <w:szCs w:val="21"/>
        </w:rPr>
        <w:t xml:space="preserve">MALDI-TOF mass spectrometry</w:t>
      </w:r>
    </w:p>
    <w:p>
      <w:pPr>
        <w:pStyle w:val="ListParagraph"/>
        <w:numPr>
          <w:ilvl w:val="0"/>
          <w:numId w:val="2"/>
        </w:numPr>
        <w:spacing w:after="50" w:line="264"/>
      </w:pPr>
      <w:r>
        <w:rPr>
          <w:rFonts w:ascii="Arial" w:cs="Arial" w:eastAsia="Arial" w:hAnsi="Arial"/>
          <w:color w:val="33444F"/>
          <w:sz w:val="21"/>
          <w:szCs w:val="21"/>
        </w:rPr>
        <w:t xml:space="preserve">Critical-value microbiology communication</w:t>
      </w:r>
    </w:p>
    <w:p>
      <w:pPr>
        <w:spacing w:after="40" w:before="120"/>
      </w:pPr>
      <w:r>
        <w:rPr>
          <w:rFonts w:ascii="Arial" w:cs="Arial" w:eastAsia="Arial" w:hAnsi="Arial"/>
          <w:b/>
          <w:bCs/>
          <w:color w:val="2E7D32"/>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Gram-positive cocci in clusters vs chains</w:t>
      </w:r>
    </w:p>
    <w:p>
      <w:pPr>
        <w:pStyle w:val="ListParagraph"/>
        <w:numPr>
          <w:ilvl w:val="0"/>
          <w:numId w:val="2"/>
        </w:numPr>
        <w:spacing w:after="50" w:line="264"/>
      </w:pPr>
      <w:r>
        <w:rPr>
          <w:rFonts w:ascii="Arial" w:cs="Arial" w:eastAsia="Arial" w:hAnsi="Arial"/>
          <w:color w:val="33444F"/>
          <w:sz w:val="21"/>
          <w:szCs w:val="21"/>
        </w:rPr>
        <w:t xml:space="preserve">MALDI-TOF principle and limits</w:t>
      </w:r>
    </w:p>
    <w:p>
      <w:pPr>
        <w:pStyle w:val="ListParagraph"/>
        <w:numPr>
          <w:ilvl w:val="0"/>
          <w:numId w:val="2"/>
        </w:numPr>
        <w:spacing w:after="50" w:line="264"/>
      </w:pPr>
      <w:r>
        <w:rPr>
          <w:rFonts w:ascii="Arial" w:cs="Arial" w:eastAsia="Arial" w:hAnsi="Arial"/>
          <w:color w:val="33444F"/>
          <w:sz w:val="21"/>
          <w:szCs w:val="21"/>
        </w:rPr>
        <w:t xml:space="preserve">Catalase / coagulase logic</w:t>
      </w:r>
    </w:p>
    <w:p>
      <w:pPr>
        <w:spacing w:after="40" w:before="120"/>
      </w:pPr>
      <w:r>
        <w:rPr>
          <w:rFonts w:ascii="Arial" w:cs="Arial" w:eastAsia="Arial" w:hAnsi="Arial"/>
          <w:b/>
          <w:bCs/>
          <w:color w:val="2E7D32"/>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Serology</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Atlas Yeasts IDGuide YEAST</w:t>
      </w:r>
      <w:r>
        <w:rPr>
          <w:rFonts w:ascii="Arial" w:cs="Arial" w:eastAsia="Arial" w:hAnsi="Arial"/>
          <w:i/>
          <w:iCs/>
          <w:color w:val="6B7B8A"/>
          <w:sz w:val="18"/>
          <w:szCs w:val="18"/>
        </w:rPr>
        <w:t xml:space="preserve">   (Microbiology / Mycology)</w:t>
      </w:r>
    </w:p>
    <w:p>
      <w:pPr>
        <w:pStyle w:val="ListParagraph"/>
        <w:numPr>
          <w:ilvl w:val="0"/>
          <w:numId w:val="3"/>
        </w:numPr>
        <w:spacing w:after="50" w:line="264"/>
      </w:pPr>
      <w:r>
        <w:rPr>
          <w:rFonts w:ascii="Arial" w:cs="Arial" w:eastAsia="Arial" w:hAnsi="Arial"/>
          <w:color w:val="33444F"/>
          <w:sz w:val="20"/>
          <w:szCs w:val="20"/>
        </w:rPr>
        <w:t xml:space="preserve">stool culture</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Program improvment meeting</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Board Mycobacteriology Leroy</w:t>
      </w:r>
      <w:r>
        <w:rPr>
          <w:rFonts w:ascii="Arial" w:cs="Arial" w:eastAsia="Arial" w:hAnsi="Arial"/>
          <w:i/>
          <w:iCs/>
          <w:color w:val="6B7B8A"/>
          <w:sz w:val="18"/>
          <w:szCs w:val="18"/>
        </w:rPr>
        <w:t xml:space="preserve">   (Microbiology / Board Review)</w:t>
      </w:r>
    </w:p>
    <w:p>
      <w:pPr>
        <w:pStyle w:val="ListParagraph"/>
        <w:numPr>
          <w:ilvl w:val="0"/>
          <w:numId w:val="3"/>
        </w:numPr>
        <w:spacing w:after="50" w:line="264"/>
      </w:pPr>
      <w:r>
        <w:rPr>
          <w:rFonts w:ascii="Arial" w:cs="Arial" w:eastAsia="Arial" w:hAnsi="Arial"/>
          <w:color w:val="33444F"/>
          <w:sz w:val="20"/>
          <w:szCs w:val="20"/>
        </w:rPr>
        <w:t xml:space="preserve">AbIdentification revisision2</w:t>
      </w:r>
      <w:r>
        <w:rPr>
          <w:rFonts w:ascii="Arial" w:cs="Arial" w:eastAsia="Arial" w:hAnsi="Arial"/>
          <w:i/>
          <w:iCs/>
          <w:color w:val="6B7B8A"/>
          <w:sz w:val="18"/>
          <w:szCs w:val="18"/>
        </w:rPr>
        <w:t xml:space="preserve">   (Transfusion Medicine / Dr. Eisenbrey Lectures)</w:t>
      </w:r>
    </w:p>
    <w:p>
      <w:pPr>
        <w:pStyle w:val="Heading3"/>
        <w:spacing w:after="40" w:before="200"/>
      </w:pPr>
      <w:r>
        <w:rPr>
          <w:rFonts w:ascii="Arial" w:cs="Arial" w:eastAsia="Arial" w:hAnsi="Arial"/>
          <w:b/>
          <w:bCs/>
          <w:color w:val="2E7D32"/>
          <w:sz w:val="23"/>
          <w:szCs w:val="23"/>
        </w:rPr>
        <w:t xml:space="preserve">18.  </w:t>
      </w:r>
      <w:r>
        <w:rPr>
          <w:rFonts w:ascii="Arial" w:cs="Arial" w:eastAsia="Arial" w:hAnsi="Arial"/>
          <w:b/>
          <w:bCs/>
          <w:color w:val="1B2A38"/>
          <w:sz w:val="23"/>
          <w:szCs w:val="23"/>
        </w:rPr>
        <w:t xml:space="preserve">Antimicrobial Susceptibility Testing and Reporting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Micro_03.pptx</w:t>
      </w:r>
    </w:p>
    <w:p>
      <w:pPr>
        <w:spacing w:after="40" w:before="120"/>
      </w:pPr>
      <w:r>
        <w:rPr>
          <w:rFonts w:ascii="Arial" w:cs="Arial" w:eastAsia="Arial" w:hAnsi="Arial"/>
          <w:b/>
          <w:bCs/>
          <w:color w:val="2E7D32"/>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Define MIC and interpret breakpoints.</w:t>
      </w:r>
    </w:p>
    <w:p>
      <w:pPr>
        <w:pStyle w:val="ListParagraph"/>
        <w:numPr>
          <w:ilvl w:val="0"/>
          <w:numId w:val="2"/>
        </w:numPr>
        <w:spacing w:after="50" w:line="264"/>
      </w:pPr>
      <w:r>
        <w:rPr>
          <w:rFonts w:ascii="Arial" w:cs="Arial" w:eastAsia="Arial" w:hAnsi="Arial"/>
          <w:color w:val="33444F"/>
          <w:sz w:val="21"/>
          <w:szCs w:val="21"/>
        </w:rPr>
        <w:t xml:space="preserve">Compare AST methods (disk diffusion, broth microdilution, gradient).</w:t>
      </w:r>
    </w:p>
    <w:p>
      <w:pPr>
        <w:pStyle w:val="ListParagraph"/>
        <w:numPr>
          <w:ilvl w:val="0"/>
          <w:numId w:val="2"/>
        </w:numPr>
        <w:spacing w:after="50" w:line="264"/>
      </w:pPr>
      <w:r>
        <w:rPr>
          <w:rFonts w:ascii="Arial" w:cs="Arial" w:eastAsia="Arial" w:hAnsi="Arial"/>
          <w:color w:val="33444F"/>
          <w:sz w:val="21"/>
          <w:szCs w:val="21"/>
        </w:rPr>
        <w:t xml:space="preserve">Apply cascade and selective reporting.</w:t>
      </w:r>
    </w:p>
    <w:p>
      <w:pPr>
        <w:pStyle w:val="ListParagraph"/>
        <w:numPr>
          <w:ilvl w:val="0"/>
          <w:numId w:val="2"/>
        </w:numPr>
        <w:spacing w:after="50" w:line="264"/>
      </w:pPr>
      <w:r>
        <w:rPr>
          <w:rFonts w:ascii="Arial" w:cs="Arial" w:eastAsia="Arial" w:hAnsi="Arial"/>
          <w:color w:val="33444F"/>
          <w:sz w:val="21"/>
          <w:szCs w:val="21"/>
        </w:rPr>
        <w:t xml:space="preserve">Recognize key resistance mechanisms.</w:t>
      </w:r>
    </w:p>
    <w:p>
      <w:pPr>
        <w:pStyle w:val="ListParagraph"/>
        <w:numPr>
          <w:ilvl w:val="0"/>
          <w:numId w:val="2"/>
        </w:numPr>
        <w:spacing w:after="50" w:line="264"/>
      </w:pPr>
      <w:r>
        <w:rPr>
          <w:rFonts w:ascii="Arial" w:cs="Arial" w:eastAsia="Arial" w:hAnsi="Arial"/>
          <w:color w:val="33444F"/>
          <w:sz w:val="21"/>
          <w:szCs w:val="21"/>
        </w:rPr>
        <w:t xml:space="preserve">Connect AST to antimicrobial stewardship.</w:t>
      </w:r>
    </w:p>
    <w:p>
      <w:pPr>
        <w:spacing w:after="40" w:before="120"/>
      </w:pPr>
      <w:r>
        <w:rPr>
          <w:rFonts w:ascii="Arial" w:cs="Arial" w:eastAsia="Arial" w:hAnsi="Arial"/>
          <w:b/>
          <w:bCs/>
          <w:color w:val="2E7D32"/>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MIC, breakpoints, and interpretive categories</w:t>
      </w:r>
    </w:p>
    <w:p>
      <w:pPr>
        <w:pStyle w:val="ListParagraph"/>
        <w:numPr>
          <w:ilvl w:val="0"/>
          <w:numId w:val="2"/>
        </w:numPr>
        <w:spacing w:after="50" w:line="264"/>
      </w:pPr>
      <w:r>
        <w:rPr>
          <w:rFonts w:ascii="Arial" w:cs="Arial" w:eastAsia="Arial" w:hAnsi="Arial"/>
          <w:color w:val="33444F"/>
          <w:sz w:val="21"/>
          <w:szCs w:val="21"/>
        </w:rPr>
        <w:t xml:space="preserve">Disk diffusion, broth microdilution, gradient strips</w:t>
      </w:r>
    </w:p>
    <w:p>
      <w:pPr>
        <w:pStyle w:val="ListParagraph"/>
        <w:numPr>
          <w:ilvl w:val="0"/>
          <w:numId w:val="2"/>
        </w:numPr>
        <w:spacing w:after="50" w:line="264"/>
      </w:pPr>
      <w:r>
        <w:rPr>
          <w:rFonts w:ascii="Arial" w:cs="Arial" w:eastAsia="Arial" w:hAnsi="Arial"/>
          <w:color w:val="33444F"/>
          <w:sz w:val="21"/>
          <w:szCs w:val="21"/>
        </w:rPr>
        <w:t xml:space="preserve">Cascade / selective reporting</w:t>
      </w:r>
    </w:p>
    <w:p>
      <w:pPr>
        <w:pStyle w:val="ListParagraph"/>
        <w:numPr>
          <w:ilvl w:val="0"/>
          <w:numId w:val="2"/>
        </w:numPr>
        <w:spacing w:after="50" w:line="264"/>
      </w:pPr>
      <w:r>
        <w:rPr>
          <w:rFonts w:ascii="Arial" w:cs="Arial" w:eastAsia="Arial" w:hAnsi="Arial"/>
          <w:color w:val="33444F"/>
          <w:sz w:val="21"/>
          <w:szCs w:val="21"/>
        </w:rPr>
        <w:t xml:space="preserve">MRSA, ESBL, carbapenemases, VRE</w:t>
      </w:r>
    </w:p>
    <w:p>
      <w:pPr>
        <w:pStyle w:val="ListParagraph"/>
        <w:numPr>
          <w:ilvl w:val="0"/>
          <w:numId w:val="2"/>
        </w:numPr>
        <w:spacing w:after="50" w:line="264"/>
      </w:pPr>
      <w:r>
        <w:rPr>
          <w:rFonts w:ascii="Arial" w:cs="Arial" w:eastAsia="Arial" w:hAnsi="Arial"/>
          <w:color w:val="33444F"/>
          <w:sz w:val="21"/>
          <w:szCs w:val="21"/>
        </w:rPr>
        <w:t xml:space="preserve">Intrinsic vs acquired resistance</w:t>
      </w:r>
    </w:p>
    <w:p>
      <w:pPr>
        <w:pStyle w:val="ListParagraph"/>
        <w:numPr>
          <w:ilvl w:val="0"/>
          <w:numId w:val="2"/>
        </w:numPr>
        <w:spacing w:after="50" w:line="264"/>
      </w:pPr>
      <w:r>
        <w:rPr>
          <w:rFonts w:ascii="Arial" w:cs="Arial" w:eastAsia="Arial" w:hAnsi="Arial"/>
          <w:color w:val="33444F"/>
          <w:sz w:val="21"/>
          <w:szCs w:val="21"/>
        </w:rPr>
        <w:t xml:space="preserve">Antibiogram and stewardship interface</w:t>
      </w:r>
    </w:p>
    <w:p>
      <w:pPr>
        <w:spacing w:after="40" w:before="120"/>
      </w:pPr>
      <w:r>
        <w:rPr>
          <w:rFonts w:ascii="Arial" w:cs="Arial" w:eastAsia="Arial" w:hAnsi="Arial"/>
          <w:b/>
          <w:bCs/>
          <w:color w:val="2E7D32"/>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ESBL and carbapenemase detection</w:t>
      </w:r>
    </w:p>
    <w:p>
      <w:pPr>
        <w:pStyle w:val="ListParagraph"/>
        <w:numPr>
          <w:ilvl w:val="0"/>
          <w:numId w:val="2"/>
        </w:numPr>
        <w:spacing w:after="50" w:line="264"/>
      </w:pPr>
      <w:r>
        <w:rPr>
          <w:rFonts w:ascii="Arial" w:cs="Arial" w:eastAsia="Arial" w:hAnsi="Arial"/>
          <w:color w:val="33444F"/>
          <w:sz w:val="21"/>
          <w:szCs w:val="21"/>
        </w:rPr>
        <w:t xml:space="preserve">Cascade reporting rationale</w:t>
      </w:r>
    </w:p>
    <w:p>
      <w:pPr>
        <w:pStyle w:val="ListParagraph"/>
        <w:numPr>
          <w:ilvl w:val="0"/>
          <w:numId w:val="2"/>
        </w:numPr>
        <w:spacing w:after="50" w:line="264"/>
      </w:pPr>
      <w:r>
        <w:rPr>
          <w:rFonts w:ascii="Arial" w:cs="Arial" w:eastAsia="Arial" w:hAnsi="Arial"/>
          <w:color w:val="33444F"/>
          <w:sz w:val="21"/>
          <w:szCs w:val="21"/>
        </w:rPr>
        <w:t xml:space="preserve">Disk diffusion vs MIC method choice</w:t>
      </w:r>
    </w:p>
    <w:p>
      <w:pPr>
        <w:spacing w:after="40" w:before="120"/>
      </w:pPr>
      <w:r>
        <w:rPr>
          <w:rFonts w:ascii="Arial" w:cs="Arial" w:eastAsia="Arial" w:hAnsi="Arial"/>
          <w:b/>
          <w:bCs/>
          <w:color w:val="2E7D32"/>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Micro Abx Res Mech ID Fellows Part 2</w:t>
      </w:r>
      <w:r>
        <w:rPr>
          <w:rFonts w:ascii="Arial" w:cs="Arial" w:eastAsia="Arial" w:hAnsi="Arial"/>
          <w:i/>
          <w:iCs/>
          <w:color w:val="6B7B8A"/>
          <w:sz w:val="18"/>
          <w:szCs w:val="18"/>
        </w:rPr>
        <w:t xml:space="preserve">   (Microbiology / New abx resistance lectures)</w:t>
      </w:r>
    </w:p>
    <w:p>
      <w:pPr>
        <w:pStyle w:val="ListParagraph"/>
        <w:numPr>
          <w:ilvl w:val="0"/>
          <w:numId w:val="3"/>
        </w:numPr>
        <w:spacing w:after="50" w:line="264"/>
      </w:pPr>
      <w:r>
        <w:rPr>
          <w:rFonts w:ascii="Arial" w:cs="Arial" w:eastAsia="Arial" w:hAnsi="Arial"/>
          <w:color w:val="33444F"/>
          <w:sz w:val="20"/>
          <w:szCs w:val="20"/>
        </w:rPr>
        <w:t xml:space="preserve">Micro Abx Res Mech ID Fellows Part 1</w:t>
      </w:r>
      <w:r>
        <w:rPr>
          <w:rFonts w:ascii="Arial" w:cs="Arial" w:eastAsia="Arial" w:hAnsi="Arial"/>
          <w:i/>
          <w:iCs/>
          <w:color w:val="6B7B8A"/>
          <w:sz w:val="18"/>
          <w:szCs w:val="18"/>
        </w:rPr>
        <w:t xml:space="preserve">   (Microbiology / New abx resistance lectures)</w:t>
      </w:r>
    </w:p>
    <w:p>
      <w:pPr>
        <w:pStyle w:val="ListParagraph"/>
        <w:numPr>
          <w:ilvl w:val="0"/>
          <w:numId w:val="3"/>
        </w:numPr>
        <w:spacing w:after="50" w:line="264"/>
      </w:pPr>
      <w:r>
        <w:rPr>
          <w:rFonts w:ascii="Arial" w:cs="Arial" w:eastAsia="Arial" w:hAnsi="Arial"/>
          <w:color w:val="33444F"/>
          <w:sz w:val="20"/>
          <w:szCs w:val="20"/>
        </w:rPr>
        <w:t xml:space="preserve">Beta lactam antibiotic resistance BK</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Micro RISE review Abx and Mycology</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Micro Abx Res Mech ID Fellows Part 1</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Westgard Rules</w:t>
      </w:r>
      <w:r>
        <w:rPr>
          <w:rFonts w:ascii="Arial" w:cs="Arial" w:eastAsia="Arial" w:hAnsi="Arial"/>
          <w:i/>
          <w:iCs/>
          <w:color w:val="6B7B8A"/>
          <w:sz w:val="18"/>
          <w:szCs w:val="18"/>
        </w:rPr>
        <w:t xml:space="preserve">   (Lab Management)</w:t>
      </w:r>
    </w:p>
    <w:p>
      <w:pPr>
        <w:pStyle w:val="Heading3"/>
        <w:spacing w:after="40" w:before="200"/>
      </w:pPr>
      <w:r>
        <w:rPr>
          <w:rFonts w:ascii="Arial" w:cs="Arial" w:eastAsia="Arial" w:hAnsi="Arial"/>
          <w:b/>
          <w:bCs/>
          <w:color w:val="2E7D32"/>
          <w:sz w:val="23"/>
          <w:szCs w:val="23"/>
        </w:rPr>
        <w:t xml:space="preserve">19.  </w:t>
      </w:r>
      <w:r>
        <w:rPr>
          <w:rFonts w:ascii="Arial" w:cs="Arial" w:eastAsia="Arial" w:hAnsi="Arial"/>
          <w:b/>
          <w:bCs/>
          <w:color w:val="1B2A38"/>
          <w:sz w:val="23"/>
          <w:szCs w:val="23"/>
        </w:rPr>
        <w:t xml:space="preserve">Rapid Diagnostics and Molecular Microbiology</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Micro_04.pptx</w:t>
      </w:r>
    </w:p>
    <w:p>
      <w:pPr>
        <w:spacing w:after="40" w:before="120"/>
      </w:pPr>
      <w:r>
        <w:rPr>
          <w:rFonts w:ascii="Arial" w:cs="Arial" w:eastAsia="Arial" w:hAnsi="Arial"/>
          <w:b/>
          <w:bCs/>
          <w:color w:val="2E7D32"/>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syndromic panels and nucleic acid amplification tests.</w:t>
      </w:r>
    </w:p>
    <w:p>
      <w:pPr>
        <w:pStyle w:val="ListParagraph"/>
        <w:numPr>
          <w:ilvl w:val="0"/>
          <w:numId w:val="2"/>
        </w:numPr>
        <w:spacing w:after="50" w:line="264"/>
      </w:pPr>
      <w:r>
        <w:rPr>
          <w:rFonts w:ascii="Arial" w:cs="Arial" w:eastAsia="Arial" w:hAnsi="Arial"/>
          <w:color w:val="33444F"/>
          <w:sz w:val="21"/>
          <w:szCs w:val="21"/>
        </w:rPr>
        <w:t xml:space="preserve">Match rapid tests to the right clinical use case.</w:t>
      </w:r>
    </w:p>
    <w:p>
      <w:pPr>
        <w:pStyle w:val="ListParagraph"/>
        <w:numPr>
          <w:ilvl w:val="0"/>
          <w:numId w:val="2"/>
        </w:numPr>
        <w:spacing w:after="50" w:line="264"/>
      </w:pPr>
      <w:r>
        <w:rPr>
          <w:rFonts w:ascii="Arial" w:cs="Arial" w:eastAsia="Arial" w:hAnsi="Arial"/>
          <w:color w:val="33444F"/>
          <w:sz w:val="21"/>
          <w:szCs w:val="21"/>
        </w:rPr>
        <w:t xml:space="preserve">Build a framework for false positives and false negatives.</w:t>
      </w:r>
    </w:p>
    <w:p>
      <w:pPr>
        <w:pStyle w:val="ListParagraph"/>
        <w:numPr>
          <w:ilvl w:val="0"/>
          <w:numId w:val="2"/>
        </w:numPr>
        <w:spacing w:after="50" w:line="264"/>
      </w:pPr>
      <w:r>
        <w:rPr>
          <w:rFonts w:ascii="Arial" w:cs="Arial" w:eastAsia="Arial" w:hAnsi="Arial"/>
          <w:color w:val="33444F"/>
          <w:sz w:val="21"/>
          <w:szCs w:val="21"/>
        </w:rPr>
        <w:t xml:space="preserve">State the limitations of molecular detection.</w:t>
      </w:r>
    </w:p>
    <w:p>
      <w:pPr>
        <w:pStyle w:val="ListParagraph"/>
        <w:numPr>
          <w:ilvl w:val="0"/>
          <w:numId w:val="2"/>
        </w:numPr>
        <w:spacing w:after="50" w:line="264"/>
      </w:pPr>
      <w:r>
        <w:rPr>
          <w:rFonts w:ascii="Arial" w:cs="Arial" w:eastAsia="Arial" w:hAnsi="Arial"/>
          <w:color w:val="33444F"/>
          <w:sz w:val="21"/>
          <w:szCs w:val="21"/>
        </w:rPr>
        <w:t xml:space="preserve">Integrate rapid results with stewardship.</w:t>
      </w:r>
    </w:p>
    <w:p>
      <w:pPr>
        <w:spacing w:after="40" w:before="120"/>
      </w:pPr>
      <w:r>
        <w:rPr>
          <w:rFonts w:ascii="Arial" w:cs="Arial" w:eastAsia="Arial" w:hAnsi="Arial"/>
          <w:b/>
          <w:bCs/>
          <w:color w:val="2E7D32"/>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NAAT principles and multiplex panels</w:t>
      </w:r>
    </w:p>
    <w:p>
      <w:pPr>
        <w:pStyle w:val="ListParagraph"/>
        <w:numPr>
          <w:ilvl w:val="0"/>
          <w:numId w:val="2"/>
        </w:numPr>
        <w:spacing w:after="50" w:line="264"/>
      </w:pPr>
      <w:r>
        <w:rPr>
          <w:rFonts w:ascii="Arial" w:cs="Arial" w:eastAsia="Arial" w:hAnsi="Arial"/>
          <w:color w:val="33444F"/>
          <w:sz w:val="21"/>
          <w:szCs w:val="21"/>
        </w:rPr>
        <w:t xml:space="preserve">Respiratory, GI, meningitis/encephalitis panels</w:t>
      </w:r>
    </w:p>
    <w:p>
      <w:pPr>
        <w:pStyle w:val="ListParagraph"/>
        <w:numPr>
          <w:ilvl w:val="0"/>
          <w:numId w:val="2"/>
        </w:numPr>
        <w:spacing w:after="50" w:line="264"/>
      </w:pPr>
      <w:r>
        <w:rPr>
          <w:rFonts w:ascii="Arial" w:cs="Arial" w:eastAsia="Arial" w:hAnsi="Arial"/>
          <w:color w:val="33444F"/>
          <w:sz w:val="21"/>
          <w:szCs w:val="21"/>
        </w:rPr>
        <w:t xml:space="preserve">Detection vs viability vs colonization</w:t>
      </w:r>
    </w:p>
    <w:p>
      <w:pPr>
        <w:pStyle w:val="ListParagraph"/>
        <w:numPr>
          <w:ilvl w:val="0"/>
          <w:numId w:val="2"/>
        </w:numPr>
        <w:spacing w:after="50" w:line="264"/>
      </w:pPr>
      <w:r>
        <w:rPr>
          <w:rFonts w:ascii="Arial" w:cs="Arial" w:eastAsia="Arial" w:hAnsi="Arial"/>
          <w:color w:val="33444F"/>
          <w:sz w:val="21"/>
          <w:szCs w:val="21"/>
        </w:rPr>
        <w:t xml:space="preserve">Cycle-threshold caveats</w:t>
      </w:r>
    </w:p>
    <w:p>
      <w:pPr>
        <w:pStyle w:val="ListParagraph"/>
        <w:numPr>
          <w:ilvl w:val="0"/>
          <w:numId w:val="2"/>
        </w:numPr>
        <w:spacing w:after="50" w:line="264"/>
      </w:pPr>
      <w:r>
        <w:rPr>
          <w:rFonts w:ascii="Arial" w:cs="Arial" w:eastAsia="Arial" w:hAnsi="Arial"/>
          <w:color w:val="33444F"/>
          <w:sz w:val="21"/>
          <w:szCs w:val="21"/>
        </w:rPr>
        <w:t xml:space="preserve">Result interpretation and reflex testing</w:t>
      </w:r>
    </w:p>
    <w:p>
      <w:pPr>
        <w:pStyle w:val="ListParagraph"/>
        <w:numPr>
          <w:ilvl w:val="0"/>
          <w:numId w:val="2"/>
        </w:numPr>
        <w:spacing w:after="50" w:line="264"/>
      </w:pPr>
      <w:r>
        <w:rPr>
          <w:rFonts w:ascii="Arial" w:cs="Arial" w:eastAsia="Arial" w:hAnsi="Arial"/>
          <w:color w:val="33444F"/>
          <w:sz w:val="21"/>
          <w:szCs w:val="21"/>
        </w:rPr>
        <w:t xml:space="preserve">Turnaround time and stewardship impact</w:t>
      </w:r>
    </w:p>
    <w:p>
      <w:pPr>
        <w:spacing w:after="40" w:before="120"/>
      </w:pPr>
      <w:r>
        <w:rPr>
          <w:rFonts w:ascii="Arial" w:cs="Arial" w:eastAsia="Arial" w:hAnsi="Arial"/>
          <w:b/>
          <w:bCs/>
          <w:color w:val="2E7D32"/>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Detection of nonviable organisms after treatment</w:t>
      </w:r>
    </w:p>
    <w:p>
      <w:pPr>
        <w:pStyle w:val="ListParagraph"/>
        <w:numPr>
          <w:ilvl w:val="0"/>
          <w:numId w:val="2"/>
        </w:numPr>
        <w:spacing w:after="50" w:line="264"/>
      </w:pPr>
      <w:r>
        <w:rPr>
          <w:rFonts w:ascii="Arial" w:cs="Arial" w:eastAsia="Arial" w:hAnsi="Arial"/>
          <w:color w:val="33444F"/>
          <w:sz w:val="21"/>
          <w:szCs w:val="21"/>
        </w:rPr>
        <w:t xml:space="preserve">Multiplex panel false positives</w:t>
      </w:r>
    </w:p>
    <w:p>
      <w:pPr>
        <w:pStyle w:val="ListParagraph"/>
        <w:numPr>
          <w:ilvl w:val="0"/>
          <w:numId w:val="2"/>
        </w:numPr>
        <w:spacing w:after="50" w:line="264"/>
      </w:pPr>
      <w:r>
        <w:rPr>
          <w:rFonts w:ascii="Arial" w:cs="Arial" w:eastAsia="Arial" w:hAnsi="Arial"/>
          <w:color w:val="33444F"/>
          <w:sz w:val="21"/>
          <w:szCs w:val="21"/>
        </w:rPr>
        <w:t xml:space="preserve">NAAT vs culture for specific pathogens</w:t>
      </w:r>
    </w:p>
    <w:p>
      <w:pPr>
        <w:spacing w:after="40" w:before="120"/>
      </w:pPr>
      <w:r>
        <w:rPr>
          <w:rFonts w:ascii="Arial" w:cs="Arial" w:eastAsia="Arial" w:hAnsi="Arial"/>
          <w:b/>
          <w:bCs/>
          <w:color w:val="2E7D32"/>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Atlas INTRO TO CLINICAL MYCOLOGY</w:t>
      </w:r>
      <w:r>
        <w:rPr>
          <w:rFonts w:ascii="Arial" w:cs="Arial" w:eastAsia="Arial" w:hAnsi="Arial"/>
          <w:i/>
          <w:iCs/>
          <w:color w:val="6B7B8A"/>
          <w:sz w:val="18"/>
          <w:szCs w:val="18"/>
        </w:rPr>
        <w:t xml:space="preserve">   (Microbiology / Mycology)</w:t>
      </w:r>
    </w:p>
    <w:p>
      <w:pPr>
        <w:pStyle w:val="ListParagraph"/>
        <w:numPr>
          <w:ilvl w:val="0"/>
          <w:numId w:val="3"/>
        </w:numPr>
        <w:spacing w:after="50" w:line="264"/>
      </w:pPr>
      <w:r>
        <w:rPr>
          <w:rFonts w:ascii="Arial" w:cs="Arial" w:eastAsia="Arial" w:hAnsi="Arial"/>
          <w:color w:val="33444F"/>
          <w:sz w:val="20"/>
          <w:szCs w:val="20"/>
        </w:rPr>
        <w:t xml:space="preserve">Atlas Yeasts IDGuide YEAST</w:t>
      </w:r>
      <w:r>
        <w:rPr>
          <w:rFonts w:ascii="Arial" w:cs="Arial" w:eastAsia="Arial" w:hAnsi="Arial"/>
          <w:i/>
          <w:iCs/>
          <w:color w:val="6B7B8A"/>
          <w:sz w:val="18"/>
          <w:szCs w:val="18"/>
        </w:rPr>
        <w:t xml:space="preserve">   (Microbiology / Mycology)</w:t>
      </w:r>
    </w:p>
    <w:p>
      <w:pPr>
        <w:pStyle w:val="ListParagraph"/>
        <w:numPr>
          <w:ilvl w:val="0"/>
          <w:numId w:val="3"/>
        </w:numPr>
        <w:spacing w:after="50" w:line="264"/>
      </w:pPr>
      <w:r>
        <w:rPr>
          <w:rFonts w:ascii="Arial" w:cs="Arial" w:eastAsia="Arial" w:hAnsi="Arial"/>
          <w:color w:val="33444F"/>
          <w:sz w:val="20"/>
          <w:szCs w:val="20"/>
        </w:rPr>
        <w:t xml:space="preserve">Intro To Mycologyv2</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RISE review Mycology</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Micro RISE review Mycology</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Micro RISE review Abx and Mycology</w:t>
      </w:r>
      <w:r>
        <w:rPr>
          <w:rFonts w:ascii="Arial" w:cs="Arial" w:eastAsia="Arial" w:hAnsi="Arial"/>
          <w:i/>
          <w:iCs/>
          <w:color w:val="6B7B8A"/>
          <w:sz w:val="18"/>
          <w:szCs w:val="18"/>
        </w:rPr>
        <w:t xml:space="preserve">   (Microbiology)</w:t>
      </w:r>
    </w:p>
    <w:p>
      <w:pPr>
        <w:pStyle w:val="Heading3"/>
        <w:spacing w:after="40" w:before="200"/>
      </w:pPr>
      <w:r>
        <w:rPr>
          <w:rFonts w:ascii="Arial" w:cs="Arial" w:eastAsia="Arial" w:hAnsi="Arial"/>
          <w:b/>
          <w:bCs/>
          <w:color w:val="2E7D32"/>
          <w:sz w:val="23"/>
          <w:szCs w:val="23"/>
        </w:rPr>
        <w:t xml:space="preserve">20.  </w:t>
      </w:r>
      <w:r>
        <w:rPr>
          <w:rFonts w:ascii="Arial" w:cs="Arial" w:eastAsia="Arial" w:hAnsi="Arial"/>
          <w:b/>
          <w:bCs/>
          <w:color w:val="1B2A38"/>
          <w:sz w:val="23"/>
          <w:szCs w:val="23"/>
        </w:rPr>
        <w:t xml:space="preserve">Blood Cultures, Sepsis, and Infection-Control Pearls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Micro_05.pptx</w:t>
      </w:r>
    </w:p>
    <w:p>
      <w:pPr>
        <w:spacing w:after="40" w:before="120"/>
      </w:pPr>
      <w:r>
        <w:rPr>
          <w:rFonts w:ascii="Arial" w:cs="Arial" w:eastAsia="Arial" w:hAnsi="Arial"/>
          <w:b/>
          <w:bCs/>
          <w:color w:val="2E7D32"/>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blood cultures and distinguish contamination from bacteremia.</w:t>
      </w:r>
    </w:p>
    <w:p>
      <w:pPr>
        <w:pStyle w:val="ListParagraph"/>
        <w:numPr>
          <w:ilvl w:val="0"/>
          <w:numId w:val="2"/>
        </w:numPr>
        <w:spacing w:after="50" w:line="264"/>
      </w:pPr>
      <w:r>
        <w:rPr>
          <w:rFonts w:ascii="Arial" w:cs="Arial" w:eastAsia="Arial" w:hAnsi="Arial"/>
          <w:color w:val="33444F"/>
          <w:sz w:val="21"/>
          <w:szCs w:val="21"/>
        </w:rPr>
        <w:t xml:space="preserve">Optimize blood-culture collection (volume, sets, timing).</w:t>
      </w:r>
    </w:p>
    <w:p>
      <w:pPr>
        <w:pStyle w:val="ListParagraph"/>
        <w:numPr>
          <w:ilvl w:val="0"/>
          <w:numId w:val="2"/>
        </w:numPr>
        <w:spacing w:after="50" w:line="264"/>
      </w:pPr>
      <w:r>
        <w:rPr>
          <w:rFonts w:ascii="Arial" w:cs="Arial" w:eastAsia="Arial" w:hAnsi="Arial"/>
          <w:color w:val="33444F"/>
          <w:sz w:val="21"/>
          <w:szCs w:val="21"/>
        </w:rPr>
        <w:t xml:space="preserve">Recognize organisms that signal true infection vs skin flora.</w:t>
      </w:r>
    </w:p>
    <w:p>
      <w:pPr>
        <w:pStyle w:val="ListParagraph"/>
        <w:numPr>
          <w:ilvl w:val="0"/>
          <w:numId w:val="2"/>
        </w:numPr>
        <w:spacing w:after="50" w:line="264"/>
      </w:pPr>
      <w:r>
        <w:rPr>
          <w:rFonts w:ascii="Arial" w:cs="Arial" w:eastAsia="Arial" w:hAnsi="Arial"/>
          <w:color w:val="33444F"/>
          <w:sz w:val="21"/>
          <w:szCs w:val="21"/>
        </w:rPr>
        <w:t xml:space="preserve">Connect the laboratory to sepsis management.</w:t>
      </w:r>
    </w:p>
    <w:p>
      <w:pPr>
        <w:pStyle w:val="ListParagraph"/>
        <w:numPr>
          <w:ilvl w:val="0"/>
          <w:numId w:val="2"/>
        </w:numPr>
        <w:spacing w:after="50" w:line="264"/>
      </w:pPr>
      <w:r>
        <w:rPr>
          <w:rFonts w:ascii="Arial" w:cs="Arial" w:eastAsia="Arial" w:hAnsi="Arial"/>
          <w:color w:val="33444F"/>
          <w:sz w:val="21"/>
          <w:szCs w:val="21"/>
        </w:rPr>
        <w:t xml:space="preserve">Describe the epidemiology / infection-prevention interface.</w:t>
      </w:r>
    </w:p>
    <w:p>
      <w:pPr>
        <w:spacing w:after="40" w:before="120"/>
      </w:pPr>
      <w:r>
        <w:rPr>
          <w:rFonts w:ascii="Arial" w:cs="Arial" w:eastAsia="Arial" w:hAnsi="Arial"/>
          <w:b/>
          <w:bCs/>
          <w:color w:val="2E7D32"/>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Blood-culture volume and number of sets</w:t>
      </w:r>
    </w:p>
    <w:p>
      <w:pPr>
        <w:pStyle w:val="ListParagraph"/>
        <w:numPr>
          <w:ilvl w:val="0"/>
          <w:numId w:val="2"/>
        </w:numPr>
        <w:spacing w:after="50" w:line="264"/>
      </w:pPr>
      <w:r>
        <w:rPr>
          <w:rFonts w:ascii="Arial" w:cs="Arial" w:eastAsia="Arial" w:hAnsi="Arial"/>
          <w:color w:val="33444F"/>
          <w:sz w:val="21"/>
          <w:szCs w:val="21"/>
        </w:rPr>
        <w:t xml:space="preserve">Contaminant vs true pathogen clues</w:t>
      </w:r>
    </w:p>
    <w:p>
      <w:pPr>
        <w:pStyle w:val="ListParagraph"/>
        <w:numPr>
          <w:ilvl w:val="0"/>
          <w:numId w:val="2"/>
        </w:numPr>
        <w:spacing w:after="50" w:line="264"/>
      </w:pPr>
      <w:r>
        <w:rPr>
          <w:rFonts w:ascii="Arial" w:cs="Arial" w:eastAsia="Arial" w:hAnsi="Arial"/>
          <w:color w:val="33444F"/>
          <w:sz w:val="21"/>
          <w:szCs w:val="21"/>
        </w:rPr>
        <w:t xml:space="preserve">Time-to-positivity and differential</w:t>
      </w:r>
    </w:p>
    <w:p>
      <w:pPr>
        <w:pStyle w:val="ListParagraph"/>
        <w:numPr>
          <w:ilvl w:val="0"/>
          <w:numId w:val="2"/>
        </w:numPr>
        <w:spacing w:after="50" w:line="264"/>
      </w:pPr>
      <w:r>
        <w:rPr>
          <w:rFonts w:ascii="Arial" w:cs="Arial" w:eastAsia="Arial" w:hAnsi="Arial"/>
          <w:color w:val="33444F"/>
          <w:sz w:val="21"/>
          <w:szCs w:val="21"/>
        </w:rPr>
        <w:t xml:space="preserve">Rapid identification from positive bottles</w:t>
      </w:r>
    </w:p>
    <w:p>
      <w:pPr>
        <w:pStyle w:val="ListParagraph"/>
        <w:numPr>
          <w:ilvl w:val="0"/>
          <w:numId w:val="2"/>
        </w:numPr>
        <w:spacing w:after="50" w:line="264"/>
      </w:pPr>
      <w:r>
        <w:rPr>
          <w:rFonts w:ascii="Arial" w:cs="Arial" w:eastAsia="Arial" w:hAnsi="Arial"/>
          <w:color w:val="33444F"/>
          <w:sz w:val="21"/>
          <w:szCs w:val="21"/>
        </w:rPr>
        <w:t xml:space="preserve">Sepsis bundles and laboratory turnaround</w:t>
      </w:r>
    </w:p>
    <w:p>
      <w:pPr>
        <w:pStyle w:val="ListParagraph"/>
        <w:numPr>
          <w:ilvl w:val="0"/>
          <w:numId w:val="2"/>
        </w:numPr>
        <w:spacing w:after="50" w:line="264"/>
      </w:pPr>
      <w:r>
        <w:rPr>
          <w:rFonts w:ascii="Arial" w:cs="Arial" w:eastAsia="Arial" w:hAnsi="Arial"/>
          <w:color w:val="33444F"/>
          <w:sz w:val="21"/>
          <w:szCs w:val="21"/>
        </w:rPr>
        <w:t xml:space="preserve">Outbreak detection and infection control</w:t>
      </w:r>
    </w:p>
    <w:p>
      <w:pPr>
        <w:spacing w:after="40" w:before="120"/>
      </w:pPr>
      <w:r>
        <w:rPr>
          <w:rFonts w:ascii="Arial" w:cs="Arial" w:eastAsia="Arial" w:hAnsi="Arial"/>
          <w:b/>
          <w:bCs/>
          <w:color w:val="2E7D32"/>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Single-bottle CoNS: contaminant vs catheter infection</w:t>
      </w:r>
    </w:p>
    <w:p>
      <w:pPr>
        <w:pStyle w:val="ListParagraph"/>
        <w:numPr>
          <w:ilvl w:val="0"/>
          <w:numId w:val="2"/>
        </w:numPr>
        <w:spacing w:after="50" w:line="264"/>
      </w:pPr>
      <w:r>
        <w:rPr>
          <w:rFonts w:ascii="Arial" w:cs="Arial" w:eastAsia="Arial" w:hAnsi="Arial"/>
          <w:color w:val="33444F"/>
          <w:sz w:val="21"/>
          <w:szCs w:val="21"/>
        </w:rPr>
        <w:t xml:space="preserve">Blood-culture volume effect on yield</w:t>
      </w:r>
    </w:p>
    <w:p>
      <w:pPr>
        <w:pStyle w:val="ListParagraph"/>
        <w:numPr>
          <w:ilvl w:val="0"/>
          <w:numId w:val="2"/>
        </w:numPr>
        <w:spacing w:after="50" w:line="264"/>
      </w:pPr>
      <w:r>
        <w:rPr>
          <w:rFonts w:ascii="Arial" w:cs="Arial" w:eastAsia="Arial" w:hAnsi="Arial"/>
          <w:color w:val="33444F"/>
          <w:sz w:val="21"/>
          <w:szCs w:val="21"/>
        </w:rPr>
        <w:t xml:space="preserve">Time-to-positivity interpretation</w:t>
      </w:r>
    </w:p>
    <w:p>
      <w:pPr>
        <w:spacing w:after="40" w:before="120"/>
      </w:pPr>
      <w:r>
        <w:rPr>
          <w:rFonts w:ascii="Arial" w:cs="Arial" w:eastAsia="Arial" w:hAnsi="Arial"/>
          <w:b/>
          <w:bCs/>
          <w:color w:val="2E7D32"/>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Laboratory Safety, Infection Control and Hospital Acquired</w:t>
      </w:r>
      <w:r>
        <w:rPr>
          <w:rFonts w:ascii="Arial" w:cs="Arial" w:eastAsia="Arial" w:hAnsi="Arial"/>
          <w:i/>
          <w:iCs/>
          <w:color w:val="6B7B8A"/>
          <w:sz w:val="18"/>
          <w:szCs w:val="18"/>
        </w:rPr>
        <w:t xml:space="preserve">   (Microbiology)</w:t>
      </w:r>
    </w:p>
    <w:p>
      <w:r>
        <w:br w:type="page"/>
      </w:r>
    </w:p>
    <w:p>
      <w:pPr>
        <w:pStyle w:val="Heading1"/>
        <w:spacing w:after="60" w:before="60"/>
      </w:pPr>
      <w:r>
        <w:rPr>
          <w:rFonts w:ascii="Arial" w:cs="Arial" w:eastAsia="Arial" w:hAnsi="Arial"/>
          <w:b/>
          <w:bCs/>
          <w:color w:val="6A1B9A"/>
          <w:sz w:val="30"/>
          <w:szCs w:val="30"/>
        </w:rPr>
        <w:t xml:space="preserve">Block 5  ·  Immunology &amp; Serology</w:t>
      </w:r>
    </w:p>
    <w:p>
      <w:pPr>
        <w:pBdr>
          <w:bottom w:val="single" w:color="6A1B9A" w:sz="8" w:space="6"/>
        </w:pBdr>
        <w:spacing w:after="120"/>
      </w:pPr>
      <w:r>
        <w:rPr>
          <w:rFonts w:ascii="Arial" w:cs="Arial" w:eastAsia="Arial" w:hAnsi="Arial"/>
          <w:color w:val="6B7B8A"/>
          <w:spacing w:val="8"/>
          <w:sz w:val="19"/>
          <w:szCs w:val="19"/>
        </w:rPr>
        <w:t xml:space="preserve">4 lectures</w:t>
      </w:r>
    </w:p>
    <w:p>
      <w:pPr>
        <w:pStyle w:val="Heading3"/>
        <w:spacing w:after="40" w:before="200"/>
      </w:pPr>
      <w:r>
        <w:rPr>
          <w:rFonts w:ascii="Arial" w:cs="Arial" w:eastAsia="Arial" w:hAnsi="Arial"/>
          <w:b/>
          <w:bCs/>
          <w:color w:val="6A1B9A"/>
          <w:sz w:val="23"/>
          <w:szCs w:val="23"/>
        </w:rPr>
        <w:t xml:space="preserve">21.  </w:t>
      </w:r>
      <w:r>
        <w:rPr>
          <w:rFonts w:ascii="Arial" w:cs="Arial" w:eastAsia="Arial" w:hAnsi="Arial"/>
          <w:b/>
          <w:bCs/>
          <w:color w:val="1B2A38"/>
          <w:sz w:val="23"/>
          <w:szCs w:val="23"/>
        </w:rPr>
        <w:t xml:space="preserve">Immunoassay Principles and Test Performance</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Immuno_01.pptx</w:t>
      </w:r>
    </w:p>
    <w:p>
      <w:pPr>
        <w:spacing w:after="40" w:before="120"/>
      </w:pPr>
      <w:r>
        <w:rPr>
          <w:rFonts w:ascii="Arial" w:cs="Arial" w:eastAsia="Arial" w:hAnsi="Arial"/>
          <w:b/>
          <w:bCs/>
          <w:color w:val="6A1B9A"/>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Explain sensitivity, specificity, and predictive values.</w:t>
      </w:r>
    </w:p>
    <w:p>
      <w:pPr>
        <w:pStyle w:val="ListParagraph"/>
        <w:numPr>
          <w:ilvl w:val="0"/>
          <w:numId w:val="2"/>
        </w:numPr>
        <w:spacing w:after="50" w:line="264"/>
      </w:pPr>
      <w:r>
        <w:rPr>
          <w:rFonts w:ascii="Arial" w:cs="Arial" w:eastAsia="Arial" w:hAnsi="Arial"/>
          <w:color w:val="33444F"/>
          <w:sz w:val="21"/>
          <w:szCs w:val="21"/>
        </w:rPr>
        <w:t xml:space="preserve">Show how prevalence drives PPV and NPV.</w:t>
      </w:r>
    </w:p>
    <w:p>
      <w:pPr>
        <w:pStyle w:val="ListParagraph"/>
        <w:numPr>
          <w:ilvl w:val="0"/>
          <w:numId w:val="2"/>
        </w:numPr>
        <w:spacing w:after="50" w:line="264"/>
      </w:pPr>
      <w:r>
        <w:rPr>
          <w:rFonts w:ascii="Arial" w:cs="Arial" w:eastAsia="Arial" w:hAnsi="Arial"/>
          <w:color w:val="33444F"/>
          <w:sz w:val="21"/>
          <w:szCs w:val="21"/>
        </w:rPr>
        <w:t xml:space="preserve">Recognize heterophile and other immunoassay interferences.</w:t>
      </w:r>
    </w:p>
    <w:p>
      <w:pPr>
        <w:pStyle w:val="ListParagraph"/>
        <w:numPr>
          <w:ilvl w:val="0"/>
          <w:numId w:val="2"/>
        </w:numPr>
        <w:spacing w:after="50" w:line="264"/>
      </w:pPr>
      <w:r>
        <w:rPr>
          <w:rFonts w:ascii="Arial" w:cs="Arial" w:eastAsia="Arial" w:hAnsi="Arial"/>
          <w:color w:val="33444F"/>
          <w:sz w:val="21"/>
          <w:szCs w:val="21"/>
        </w:rPr>
        <w:t xml:space="preserve">Apply reflex and confirmatory testing logic.</w:t>
      </w:r>
    </w:p>
    <w:p>
      <w:pPr>
        <w:pStyle w:val="ListParagraph"/>
        <w:numPr>
          <w:ilvl w:val="0"/>
          <w:numId w:val="2"/>
        </w:numPr>
        <w:spacing w:after="50" w:line="264"/>
      </w:pPr>
      <w:r>
        <w:rPr>
          <w:rFonts w:ascii="Arial" w:cs="Arial" w:eastAsia="Arial" w:hAnsi="Arial"/>
          <w:color w:val="33444F"/>
          <w:sz w:val="21"/>
          <w:szCs w:val="21"/>
        </w:rPr>
        <w:t xml:space="preserve">Interpret likelihood ratios at a working level.</w:t>
      </w:r>
    </w:p>
    <w:p>
      <w:pPr>
        <w:spacing w:after="40" w:before="120"/>
      </w:pPr>
      <w:r>
        <w:rPr>
          <w:rFonts w:ascii="Arial" w:cs="Arial" w:eastAsia="Arial" w:hAnsi="Arial"/>
          <w:b/>
          <w:bCs/>
          <w:color w:val="6A1B9A"/>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Sensitivity / specificity / PPV / NPV</w:t>
      </w:r>
    </w:p>
    <w:p>
      <w:pPr>
        <w:pStyle w:val="ListParagraph"/>
        <w:numPr>
          <w:ilvl w:val="0"/>
          <w:numId w:val="2"/>
        </w:numPr>
        <w:spacing w:after="50" w:line="264"/>
      </w:pPr>
      <w:r>
        <w:rPr>
          <w:rFonts w:ascii="Arial" w:cs="Arial" w:eastAsia="Arial" w:hAnsi="Arial"/>
          <w:color w:val="33444F"/>
          <w:sz w:val="21"/>
          <w:szCs w:val="21"/>
        </w:rPr>
        <w:t xml:space="preserve">Prevalence and predictive value</w:t>
      </w:r>
    </w:p>
    <w:p>
      <w:pPr>
        <w:pStyle w:val="ListParagraph"/>
        <w:numPr>
          <w:ilvl w:val="0"/>
          <w:numId w:val="2"/>
        </w:numPr>
        <w:spacing w:after="50" w:line="264"/>
      </w:pPr>
      <w:r>
        <w:rPr>
          <w:rFonts w:ascii="Arial" w:cs="Arial" w:eastAsia="Arial" w:hAnsi="Arial"/>
          <w:color w:val="33444F"/>
          <w:sz w:val="21"/>
          <w:szCs w:val="21"/>
        </w:rPr>
        <w:t xml:space="preserve">Heterophile antibody and biotin interference</w:t>
      </w:r>
    </w:p>
    <w:p>
      <w:pPr>
        <w:pStyle w:val="ListParagraph"/>
        <w:numPr>
          <w:ilvl w:val="0"/>
          <w:numId w:val="2"/>
        </w:numPr>
        <w:spacing w:after="50" w:line="264"/>
      </w:pPr>
      <w:r>
        <w:rPr>
          <w:rFonts w:ascii="Arial" w:cs="Arial" w:eastAsia="Arial" w:hAnsi="Arial"/>
          <w:color w:val="33444F"/>
          <w:sz w:val="21"/>
          <w:szCs w:val="21"/>
        </w:rPr>
        <w:t xml:space="preserve">Reflex and confirmatory algorithms</w:t>
      </w:r>
    </w:p>
    <w:p>
      <w:pPr>
        <w:pStyle w:val="ListParagraph"/>
        <w:numPr>
          <w:ilvl w:val="0"/>
          <w:numId w:val="2"/>
        </w:numPr>
        <w:spacing w:after="50" w:line="264"/>
      </w:pPr>
      <w:r>
        <w:rPr>
          <w:rFonts w:ascii="Arial" w:cs="Arial" w:eastAsia="Arial" w:hAnsi="Arial"/>
          <w:color w:val="33444F"/>
          <w:sz w:val="21"/>
          <w:szCs w:val="21"/>
        </w:rPr>
        <w:t xml:space="preserve">Likelihood ratios</w:t>
      </w:r>
    </w:p>
    <w:p>
      <w:pPr>
        <w:pStyle w:val="ListParagraph"/>
        <w:numPr>
          <w:ilvl w:val="0"/>
          <w:numId w:val="2"/>
        </w:numPr>
        <w:spacing w:after="50" w:line="264"/>
      </w:pPr>
      <w:r>
        <w:rPr>
          <w:rFonts w:ascii="Arial" w:cs="Arial" w:eastAsia="Arial" w:hAnsi="Arial"/>
          <w:color w:val="33444F"/>
          <w:sz w:val="21"/>
          <w:szCs w:val="21"/>
        </w:rPr>
        <w:t xml:space="preserve">Gray-zone and equivocal results</w:t>
      </w:r>
    </w:p>
    <w:p>
      <w:pPr>
        <w:spacing w:after="40" w:before="120"/>
      </w:pPr>
      <w:r>
        <w:rPr>
          <w:rFonts w:ascii="Arial" w:cs="Arial" w:eastAsia="Arial" w:hAnsi="Arial"/>
          <w:b/>
          <w:bCs/>
          <w:color w:val="6A1B9A"/>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Effect of prevalence on PPV</w:t>
      </w:r>
    </w:p>
    <w:p>
      <w:pPr>
        <w:pStyle w:val="ListParagraph"/>
        <w:numPr>
          <w:ilvl w:val="0"/>
          <w:numId w:val="2"/>
        </w:numPr>
        <w:spacing w:after="50" w:line="264"/>
      </w:pPr>
      <w:r>
        <w:rPr>
          <w:rFonts w:ascii="Arial" w:cs="Arial" w:eastAsia="Arial" w:hAnsi="Arial"/>
          <w:color w:val="33444F"/>
          <w:sz w:val="21"/>
          <w:szCs w:val="21"/>
        </w:rPr>
        <w:t xml:space="preserve">Heterophile interference recognition</w:t>
      </w:r>
    </w:p>
    <w:p>
      <w:pPr>
        <w:pStyle w:val="ListParagraph"/>
        <w:numPr>
          <w:ilvl w:val="0"/>
          <w:numId w:val="2"/>
        </w:numPr>
        <w:spacing w:after="50" w:line="264"/>
      </w:pPr>
      <w:r>
        <w:rPr>
          <w:rFonts w:ascii="Arial" w:cs="Arial" w:eastAsia="Arial" w:hAnsi="Arial"/>
          <w:color w:val="33444F"/>
          <w:sz w:val="21"/>
          <w:szCs w:val="21"/>
        </w:rPr>
        <w:t xml:space="preserve">Screen-then-confirm reasoning</w:t>
      </w:r>
    </w:p>
    <w:p>
      <w:pPr>
        <w:spacing w:after="40" w:before="120"/>
      </w:pPr>
      <w:r>
        <w:rPr>
          <w:rFonts w:ascii="Arial" w:cs="Arial" w:eastAsia="Arial" w:hAnsi="Arial"/>
          <w:b/>
          <w:bCs/>
          <w:color w:val="6A1B9A"/>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Serology</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Chem Cook Endocrine Immunoassay 1</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Chem Cook Immunoassay Principles AMC</w:t>
      </w:r>
      <w:r>
        <w:rPr>
          <w:rFonts w:ascii="Arial" w:cs="Arial" w:eastAsia="Arial" w:hAnsi="Arial"/>
          <w:i/>
          <w:iCs/>
          <w:color w:val="6B7B8A"/>
          <w:sz w:val="18"/>
          <w:szCs w:val="18"/>
        </w:rPr>
        <w:t xml:space="preserve">   (Chemistry / Morning Conferences)</w:t>
      </w:r>
    </w:p>
    <w:p>
      <w:pPr>
        <w:pStyle w:val="ListParagraph"/>
        <w:numPr>
          <w:ilvl w:val="0"/>
          <w:numId w:val="3"/>
        </w:numPr>
        <w:spacing w:after="50" w:line="264"/>
      </w:pPr>
      <w:r>
        <w:rPr>
          <w:rFonts w:ascii="Arial" w:cs="Arial" w:eastAsia="Arial" w:hAnsi="Arial"/>
          <w:color w:val="33444F"/>
          <w:sz w:val="20"/>
          <w:szCs w:val="20"/>
        </w:rPr>
        <w:t xml:space="preserve">Chem Introduction to Immunoassays 2 detection methods</w:t>
      </w:r>
      <w:r>
        <w:rPr>
          <w:rFonts w:ascii="Arial" w:cs="Arial" w:eastAsia="Arial" w:hAnsi="Arial"/>
          <w:i/>
          <w:iCs/>
          <w:color w:val="6B7B8A"/>
          <w:sz w:val="18"/>
          <w:szCs w:val="18"/>
        </w:rPr>
        <w:t xml:space="preserve">   (Chemistry / 2017 Chem Rotation - Year 1)</w:t>
      </w:r>
    </w:p>
    <w:p>
      <w:pPr>
        <w:pStyle w:val="ListParagraph"/>
        <w:numPr>
          <w:ilvl w:val="0"/>
          <w:numId w:val="3"/>
        </w:numPr>
        <w:spacing w:after="50" w:line="264"/>
      </w:pPr>
      <w:r>
        <w:rPr>
          <w:rFonts w:ascii="Arial" w:cs="Arial" w:eastAsia="Arial" w:hAnsi="Arial"/>
          <w:color w:val="33444F"/>
          <w:sz w:val="20"/>
          <w:szCs w:val="20"/>
        </w:rPr>
        <w:t xml:space="preserve">Chem Cook Endocrine Immunoassay 1</w:t>
      </w:r>
      <w:r>
        <w:rPr>
          <w:rFonts w:ascii="Arial" w:cs="Arial" w:eastAsia="Arial" w:hAnsi="Arial"/>
          <w:i/>
          <w:iCs/>
          <w:color w:val="6B7B8A"/>
          <w:sz w:val="18"/>
          <w:szCs w:val="18"/>
        </w:rPr>
        <w:t xml:space="preserve">   (Chemistry / 2026 Chem Rotation Year 1)</w:t>
      </w:r>
    </w:p>
    <w:p>
      <w:pPr>
        <w:pStyle w:val="ListParagraph"/>
        <w:numPr>
          <w:ilvl w:val="0"/>
          <w:numId w:val="3"/>
        </w:numPr>
        <w:spacing w:after="50" w:line="264"/>
      </w:pPr>
      <w:r>
        <w:rPr>
          <w:rFonts w:ascii="Arial" w:cs="Arial" w:eastAsia="Arial" w:hAnsi="Arial"/>
          <w:color w:val="33444F"/>
          <w:sz w:val="20"/>
          <w:szCs w:val="20"/>
        </w:rPr>
        <w:t xml:space="preserve">Chem Cook Endocrine Immunoassay 2</w:t>
      </w:r>
      <w:r>
        <w:rPr>
          <w:rFonts w:ascii="Arial" w:cs="Arial" w:eastAsia="Arial" w:hAnsi="Arial"/>
          <w:i/>
          <w:iCs/>
          <w:color w:val="6B7B8A"/>
          <w:sz w:val="18"/>
          <w:szCs w:val="18"/>
        </w:rPr>
        <w:t xml:space="preserve">   (Chemistry / 2026 Chem Rotation Year 1)</w:t>
      </w:r>
    </w:p>
    <w:p>
      <w:pPr>
        <w:pStyle w:val="Heading3"/>
        <w:spacing w:after="40" w:before="200"/>
      </w:pPr>
      <w:r>
        <w:rPr>
          <w:rFonts w:ascii="Arial" w:cs="Arial" w:eastAsia="Arial" w:hAnsi="Arial"/>
          <w:b/>
          <w:bCs/>
          <w:color w:val="6A1B9A"/>
          <w:sz w:val="23"/>
          <w:szCs w:val="23"/>
        </w:rPr>
        <w:t xml:space="preserve">22.  </w:t>
      </w:r>
      <w:r>
        <w:rPr>
          <w:rFonts w:ascii="Arial" w:cs="Arial" w:eastAsia="Arial" w:hAnsi="Arial"/>
          <w:b/>
          <w:bCs/>
          <w:color w:val="1B2A38"/>
          <w:sz w:val="23"/>
          <w:szCs w:val="23"/>
        </w:rPr>
        <w:t xml:space="preserve">Autoimmune Serology</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Immuno_02.pptx</w:t>
      </w:r>
    </w:p>
    <w:p>
      <w:pPr>
        <w:spacing w:after="40" w:before="120"/>
      </w:pPr>
      <w:r>
        <w:rPr>
          <w:rFonts w:ascii="Arial" w:cs="Arial" w:eastAsia="Arial" w:hAnsi="Arial"/>
          <w:b/>
          <w:bCs/>
          <w:color w:val="6A1B9A"/>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ANA patterns and titers.</w:t>
      </w:r>
    </w:p>
    <w:p>
      <w:pPr>
        <w:pStyle w:val="ListParagraph"/>
        <w:numPr>
          <w:ilvl w:val="0"/>
          <w:numId w:val="2"/>
        </w:numPr>
        <w:spacing w:after="50" w:line="264"/>
      </w:pPr>
      <w:r>
        <w:rPr>
          <w:rFonts w:ascii="Arial" w:cs="Arial" w:eastAsia="Arial" w:hAnsi="Arial"/>
          <w:color w:val="33444F"/>
          <w:sz w:val="21"/>
          <w:szCs w:val="21"/>
        </w:rPr>
        <w:t xml:space="preserve">Use ENA and specific antibodies appropriately.</w:t>
      </w:r>
    </w:p>
    <w:p>
      <w:pPr>
        <w:pStyle w:val="ListParagraph"/>
        <w:numPr>
          <w:ilvl w:val="0"/>
          <w:numId w:val="2"/>
        </w:numPr>
        <w:spacing w:after="50" w:line="264"/>
      </w:pPr>
      <w:r>
        <w:rPr>
          <w:rFonts w:ascii="Arial" w:cs="Arial" w:eastAsia="Arial" w:hAnsi="Arial"/>
          <w:color w:val="33444F"/>
          <w:sz w:val="21"/>
          <w:szCs w:val="21"/>
        </w:rPr>
        <w:t xml:space="preserve">Apply ANCA testing in vasculitis.</w:t>
      </w:r>
    </w:p>
    <w:p>
      <w:pPr>
        <w:pStyle w:val="ListParagraph"/>
        <w:numPr>
          <w:ilvl w:val="0"/>
          <w:numId w:val="2"/>
        </w:numPr>
        <w:spacing w:after="50" w:line="264"/>
      </w:pPr>
      <w:r>
        <w:rPr>
          <w:rFonts w:ascii="Arial" w:cs="Arial" w:eastAsia="Arial" w:hAnsi="Arial"/>
          <w:color w:val="33444F"/>
          <w:sz w:val="21"/>
          <w:szCs w:val="21"/>
        </w:rPr>
        <w:t xml:space="preserve">Interpret antiphospholipid and complement testing.</w:t>
      </w:r>
    </w:p>
    <w:p>
      <w:pPr>
        <w:pStyle w:val="ListParagraph"/>
        <w:numPr>
          <w:ilvl w:val="0"/>
          <w:numId w:val="2"/>
        </w:numPr>
        <w:spacing w:after="50" w:line="264"/>
      </w:pPr>
      <w:r>
        <w:rPr>
          <w:rFonts w:ascii="Arial" w:cs="Arial" w:eastAsia="Arial" w:hAnsi="Arial"/>
          <w:color w:val="33444F"/>
          <w:sz w:val="21"/>
          <w:szCs w:val="21"/>
        </w:rPr>
        <w:t xml:space="preserve">Recognize common overuse patterns.</w:t>
      </w:r>
    </w:p>
    <w:p>
      <w:pPr>
        <w:spacing w:after="40" w:before="120"/>
      </w:pPr>
      <w:r>
        <w:rPr>
          <w:rFonts w:ascii="Arial" w:cs="Arial" w:eastAsia="Arial" w:hAnsi="Arial"/>
          <w:b/>
          <w:bCs/>
          <w:color w:val="6A1B9A"/>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ANA by IFA: patterns and titer</w:t>
      </w:r>
    </w:p>
    <w:p>
      <w:pPr>
        <w:pStyle w:val="ListParagraph"/>
        <w:numPr>
          <w:ilvl w:val="0"/>
          <w:numId w:val="2"/>
        </w:numPr>
        <w:spacing w:after="50" w:line="264"/>
      </w:pPr>
      <w:r>
        <w:rPr>
          <w:rFonts w:ascii="Arial" w:cs="Arial" w:eastAsia="Arial" w:hAnsi="Arial"/>
          <w:color w:val="33444F"/>
          <w:sz w:val="21"/>
          <w:szCs w:val="21"/>
        </w:rPr>
        <w:t xml:space="preserve">ENA panel and disease associations</w:t>
      </w:r>
    </w:p>
    <w:p>
      <w:pPr>
        <w:pStyle w:val="ListParagraph"/>
        <w:numPr>
          <w:ilvl w:val="0"/>
          <w:numId w:val="2"/>
        </w:numPr>
        <w:spacing w:after="50" w:line="264"/>
      </w:pPr>
      <w:r>
        <w:rPr>
          <w:rFonts w:ascii="Arial" w:cs="Arial" w:eastAsia="Arial" w:hAnsi="Arial"/>
          <w:color w:val="33444F"/>
          <w:sz w:val="21"/>
          <w:szCs w:val="21"/>
        </w:rPr>
        <w:t xml:space="preserve">ANCA (c-/p-ANCA, PR3, MPO)</w:t>
      </w:r>
    </w:p>
    <w:p>
      <w:pPr>
        <w:pStyle w:val="ListParagraph"/>
        <w:numPr>
          <w:ilvl w:val="0"/>
          <w:numId w:val="2"/>
        </w:numPr>
        <w:spacing w:after="50" w:line="264"/>
      </w:pPr>
      <w:r>
        <w:rPr>
          <w:rFonts w:ascii="Arial" w:cs="Arial" w:eastAsia="Arial" w:hAnsi="Arial"/>
          <w:color w:val="33444F"/>
          <w:sz w:val="21"/>
          <w:szCs w:val="21"/>
        </w:rPr>
        <w:t xml:space="preserve">Antiphospholipid antibody testing</w:t>
      </w:r>
    </w:p>
    <w:p>
      <w:pPr>
        <w:pStyle w:val="ListParagraph"/>
        <w:numPr>
          <w:ilvl w:val="0"/>
          <w:numId w:val="2"/>
        </w:numPr>
        <w:spacing w:after="50" w:line="264"/>
      </w:pPr>
      <w:r>
        <w:rPr>
          <w:rFonts w:ascii="Arial" w:cs="Arial" w:eastAsia="Arial" w:hAnsi="Arial"/>
          <w:color w:val="33444F"/>
          <w:sz w:val="21"/>
          <w:szCs w:val="21"/>
        </w:rPr>
        <w:t xml:space="preserve">Complement (C3, C4, CH50)</w:t>
      </w:r>
    </w:p>
    <w:p>
      <w:pPr>
        <w:pStyle w:val="ListParagraph"/>
        <w:numPr>
          <w:ilvl w:val="0"/>
          <w:numId w:val="2"/>
        </w:numPr>
        <w:spacing w:after="50" w:line="264"/>
      </w:pPr>
      <w:r>
        <w:rPr>
          <w:rFonts w:ascii="Arial" w:cs="Arial" w:eastAsia="Arial" w:hAnsi="Arial"/>
          <w:color w:val="33444F"/>
          <w:sz w:val="21"/>
          <w:szCs w:val="21"/>
        </w:rPr>
        <w:t xml:space="preserve">Test overuse and pretest probability</w:t>
      </w:r>
    </w:p>
    <w:p>
      <w:pPr>
        <w:spacing w:after="40" w:before="120"/>
      </w:pPr>
      <w:r>
        <w:rPr>
          <w:rFonts w:ascii="Arial" w:cs="Arial" w:eastAsia="Arial" w:hAnsi="Arial"/>
          <w:b/>
          <w:bCs/>
          <w:color w:val="6A1B9A"/>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ANA pattern–disease associations</w:t>
      </w:r>
    </w:p>
    <w:p>
      <w:pPr>
        <w:pStyle w:val="ListParagraph"/>
        <w:numPr>
          <w:ilvl w:val="0"/>
          <w:numId w:val="2"/>
        </w:numPr>
        <w:spacing w:after="50" w:line="264"/>
      </w:pPr>
      <w:r>
        <w:rPr>
          <w:rFonts w:ascii="Arial" w:cs="Arial" w:eastAsia="Arial" w:hAnsi="Arial"/>
          <w:color w:val="33444F"/>
          <w:sz w:val="21"/>
          <w:szCs w:val="21"/>
        </w:rPr>
        <w:t xml:space="preserve">PR3 vs MPO ANCA</w:t>
      </w:r>
    </w:p>
    <w:p>
      <w:pPr>
        <w:pStyle w:val="ListParagraph"/>
        <w:numPr>
          <w:ilvl w:val="0"/>
          <w:numId w:val="2"/>
        </w:numPr>
        <w:spacing w:after="50" w:line="264"/>
      </w:pPr>
      <w:r>
        <w:rPr>
          <w:rFonts w:ascii="Arial" w:cs="Arial" w:eastAsia="Arial" w:hAnsi="Arial"/>
          <w:color w:val="33444F"/>
          <w:sz w:val="21"/>
          <w:szCs w:val="21"/>
        </w:rPr>
        <w:t xml:space="preserve">Antiphospholipid laboratory criteria</w:t>
      </w:r>
    </w:p>
    <w:p>
      <w:pPr>
        <w:spacing w:after="40" w:before="120"/>
      </w:pPr>
      <w:r>
        <w:rPr>
          <w:rFonts w:ascii="Arial" w:cs="Arial" w:eastAsia="Arial" w:hAnsi="Arial"/>
          <w:b/>
          <w:bCs/>
          <w:color w:val="6A1B9A"/>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Analytic Tests in DM AS</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Chem Preanalytic Variation July</w:t>
      </w:r>
      <w:r>
        <w:rPr>
          <w:rFonts w:ascii="Arial" w:cs="Arial" w:eastAsia="Arial" w:hAnsi="Arial"/>
          <w:i/>
          <w:iCs/>
          <w:color w:val="6B7B8A"/>
          <w:sz w:val="18"/>
          <w:szCs w:val="18"/>
        </w:rPr>
        <w:t xml:space="preserve">   (Chemistry / Chem_y1_2)</w:t>
      </w:r>
    </w:p>
    <w:p>
      <w:pPr>
        <w:pStyle w:val="ListParagraph"/>
        <w:numPr>
          <w:ilvl w:val="0"/>
          <w:numId w:val="3"/>
        </w:numPr>
        <w:spacing w:after="50" w:line="264"/>
      </w:pPr>
      <w:r>
        <w:rPr>
          <w:rFonts w:ascii="Arial" w:cs="Arial" w:eastAsia="Arial" w:hAnsi="Arial"/>
          <w:color w:val="33444F"/>
          <w:sz w:val="20"/>
          <w:szCs w:val="20"/>
        </w:rPr>
        <w:t xml:space="preserve">Warm AutoImmune Hemolytic Anemia HM 02262020</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Managment of subclinical hypothyroidism in elderly</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Quality expo ppt VF</w:t>
      </w:r>
      <w:r>
        <w:rPr>
          <w:rFonts w:ascii="Arial" w:cs="Arial" w:eastAsia="Arial" w:hAnsi="Arial"/>
          <w:i/>
          <w:iCs/>
          <w:color w:val="6B7B8A"/>
          <w:sz w:val="18"/>
          <w:szCs w:val="18"/>
        </w:rPr>
        <w:t xml:space="preserve">   (Chemistry / Resident quality projects)</w:t>
      </w:r>
    </w:p>
    <w:p>
      <w:pPr>
        <w:pStyle w:val="ListParagraph"/>
        <w:numPr>
          <w:ilvl w:val="0"/>
          <w:numId w:val="3"/>
        </w:numPr>
        <w:spacing w:after="50" w:line="264"/>
      </w:pPr>
      <w:r>
        <w:rPr>
          <w:rFonts w:ascii="Arial" w:cs="Arial" w:eastAsia="Arial" w:hAnsi="Arial"/>
          <w:color w:val="33444F"/>
          <w:sz w:val="20"/>
          <w:szCs w:val="20"/>
        </w:rPr>
        <w:t xml:space="preserve">HFH Poster 4'x6' ACLPS (1)</w:t>
      </w:r>
      <w:r>
        <w:rPr>
          <w:rFonts w:ascii="Arial" w:cs="Arial" w:eastAsia="Arial" w:hAnsi="Arial"/>
          <w:i/>
          <w:iCs/>
          <w:color w:val="6B7B8A"/>
          <w:sz w:val="18"/>
          <w:szCs w:val="18"/>
        </w:rPr>
        <w:t xml:space="preserve">   (Chemistry / Resident quality projects)</w:t>
      </w:r>
    </w:p>
    <w:p>
      <w:pPr>
        <w:pStyle w:val="Heading3"/>
        <w:spacing w:after="40" w:before="200"/>
      </w:pPr>
      <w:r>
        <w:rPr>
          <w:rFonts w:ascii="Arial" w:cs="Arial" w:eastAsia="Arial" w:hAnsi="Arial"/>
          <w:b/>
          <w:bCs/>
          <w:color w:val="6A1B9A"/>
          <w:sz w:val="23"/>
          <w:szCs w:val="23"/>
        </w:rPr>
        <w:t xml:space="preserve">23.  </w:t>
      </w:r>
      <w:r>
        <w:rPr>
          <w:rFonts w:ascii="Arial" w:cs="Arial" w:eastAsia="Arial" w:hAnsi="Arial"/>
          <w:b/>
          <w:bCs/>
          <w:color w:val="1B2A38"/>
          <w:sz w:val="23"/>
          <w:szCs w:val="23"/>
        </w:rPr>
        <w:t xml:space="preserve">Infectious Disease Serology</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Immuno_03.pptx</w:t>
      </w:r>
    </w:p>
    <w:p>
      <w:pPr>
        <w:spacing w:after="40" w:before="120"/>
      </w:pPr>
      <w:r>
        <w:rPr>
          <w:rFonts w:ascii="Arial" w:cs="Arial" w:eastAsia="Arial" w:hAnsi="Arial"/>
          <w:b/>
          <w:bCs/>
          <w:color w:val="6A1B9A"/>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Distinguish acute from remote infection serologically.</w:t>
      </w:r>
    </w:p>
    <w:p>
      <w:pPr>
        <w:pStyle w:val="ListParagraph"/>
        <w:numPr>
          <w:ilvl w:val="0"/>
          <w:numId w:val="2"/>
        </w:numPr>
        <w:spacing w:after="50" w:line="264"/>
      </w:pPr>
      <w:r>
        <w:rPr>
          <w:rFonts w:ascii="Arial" w:cs="Arial" w:eastAsia="Arial" w:hAnsi="Arial"/>
          <w:color w:val="33444F"/>
          <w:sz w:val="21"/>
          <w:szCs w:val="21"/>
        </w:rPr>
        <w:t xml:space="preserve">Account for window periods.</w:t>
      </w:r>
    </w:p>
    <w:p>
      <w:pPr>
        <w:pStyle w:val="ListParagraph"/>
        <w:numPr>
          <w:ilvl w:val="0"/>
          <w:numId w:val="2"/>
        </w:numPr>
        <w:spacing w:after="50" w:line="264"/>
      </w:pPr>
      <w:r>
        <w:rPr>
          <w:rFonts w:ascii="Arial" w:cs="Arial" w:eastAsia="Arial" w:hAnsi="Arial"/>
          <w:color w:val="33444F"/>
          <w:sz w:val="21"/>
          <w:szCs w:val="21"/>
        </w:rPr>
        <w:t xml:space="preserve">Recognize IgM pitfalls.</w:t>
      </w:r>
    </w:p>
    <w:p>
      <w:pPr>
        <w:pStyle w:val="ListParagraph"/>
        <w:numPr>
          <w:ilvl w:val="0"/>
          <w:numId w:val="2"/>
        </w:numPr>
        <w:spacing w:after="50" w:line="264"/>
      </w:pPr>
      <w:r>
        <w:rPr>
          <w:rFonts w:ascii="Arial" w:cs="Arial" w:eastAsia="Arial" w:hAnsi="Arial"/>
          <w:color w:val="33444F"/>
          <w:sz w:val="21"/>
          <w:szCs w:val="21"/>
        </w:rPr>
        <w:t xml:space="preserve">Apply confirmatory algorithms (e.g., hepatitis, HIV, syphilis).</w:t>
      </w:r>
    </w:p>
    <w:p>
      <w:pPr>
        <w:pStyle w:val="ListParagraph"/>
        <w:numPr>
          <w:ilvl w:val="0"/>
          <w:numId w:val="2"/>
        </w:numPr>
        <w:spacing w:after="50" w:line="264"/>
      </w:pPr>
      <w:r>
        <w:rPr>
          <w:rFonts w:ascii="Arial" w:cs="Arial" w:eastAsia="Arial" w:hAnsi="Arial"/>
          <w:color w:val="33444F"/>
          <w:sz w:val="21"/>
          <w:szCs w:val="21"/>
        </w:rPr>
        <w:t xml:space="preserve">Interpret avidity and seroconversion.</w:t>
      </w:r>
    </w:p>
    <w:p>
      <w:pPr>
        <w:spacing w:after="40" w:before="120"/>
      </w:pPr>
      <w:r>
        <w:rPr>
          <w:rFonts w:ascii="Arial" w:cs="Arial" w:eastAsia="Arial" w:hAnsi="Arial"/>
          <w:b/>
          <w:bCs/>
          <w:color w:val="6A1B9A"/>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IgM/IgG kinetics and window periods</w:t>
      </w:r>
    </w:p>
    <w:p>
      <w:pPr>
        <w:pStyle w:val="ListParagraph"/>
        <w:numPr>
          <w:ilvl w:val="0"/>
          <w:numId w:val="2"/>
        </w:numPr>
        <w:spacing w:after="50" w:line="264"/>
      </w:pPr>
      <w:r>
        <w:rPr>
          <w:rFonts w:ascii="Arial" w:cs="Arial" w:eastAsia="Arial" w:hAnsi="Arial"/>
          <w:color w:val="33444F"/>
          <w:sz w:val="21"/>
          <w:szCs w:val="21"/>
        </w:rPr>
        <w:t xml:space="preserve">Hepatitis B serologic panel</w:t>
      </w:r>
    </w:p>
    <w:p>
      <w:pPr>
        <w:pStyle w:val="ListParagraph"/>
        <w:numPr>
          <w:ilvl w:val="0"/>
          <w:numId w:val="2"/>
        </w:numPr>
        <w:spacing w:after="50" w:line="264"/>
      </w:pPr>
      <w:r>
        <w:rPr>
          <w:rFonts w:ascii="Arial" w:cs="Arial" w:eastAsia="Arial" w:hAnsi="Arial"/>
          <w:color w:val="33444F"/>
          <w:sz w:val="21"/>
          <w:szCs w:val="21"/>
        </w:rPr>
        <w:t xml:space="preserve">HIV 4th-generation algorithm</w:t>
      </w:r>
    </w:p>
    <w:p>
      <w:pPr>
        <w:pStyle w:val="ListParagraph"/>
        <w:numPr>
          <w:ilvl w:val="0"/>
          <w:numId w:val="2"/>
        </w:numPr>
        <w:spacing w:after="50" w:line="264"/>
      </w:pPr>
      <w:r>
        <w:rPr>
          <w:rFonts w:ascii="Arial" w:cs="Arial" w:eastAsia="Arial" w:hAnsi="Arial"/>
          <w:color w:val="33444F"/>
          <w:sz w:val="21"/>
          <w:szCs w:val="21"/>
        </w:rPr>
        <w:t xml:space="preserve">Syphilis treponemal/non-treponemal testing</w:t>
      </w:r>
    </w:p>
    <w:p>
      <w:pPr>
        <w:pStyle w:val="ListParagraph"/>
        <w:numPr>
          <w:ilvl w:val="0"/>
          <w:numId w:val="2"/>
        </w:numPr>
        <w:spacing w:after="50" w:line="264"/>
      </w:pPr>
      <w:r>
        <w:rPr>
          <w:rFonts w:ascii="Arial" w:cs="Arial" w:eastAsia="Arial" w:hAnsi="Arial"/>
          <w:color w:val="33444F"/>
          <w:sz w:val="21"/>
          <w:szCs w:val="21"/>
        </w:rPr>
        <w:t xml:space="preserve">IgM false positives</w:t>
      </w:r>
    </w:p>
    <w:p>
      <w:pPr>
        <w:pStyle w:val="ListParagraph"/>
        <w:numPr>
          <w:ilvl w:val="0"/>
          <w:numId w:val="2"/>
        </w:numPr>
        <w:spacing w:after="50" w:line="264"/>
      </w:pPr>
      <w:r>
        <w:rPr>
          <w:rFonts w:ascii="Arial" w:cs="Arial" w:eastAsia="Arial" w:hAnsi="Arial"/>
          <w:color w:val="33444F"/>
          <w:sz w:val="21"/>
          <w:szCs w:val="21"/>
        </w:rPr>
        <w:t xml:space="preserve">Avidity and paired sera</w:t>
      </w:r>
    </w:p>
    <w:p>
      <w:pPr>
        <w:spacing w:after="40" w:before="120"/>
      </w:pPr>
      <w:r>
        <w:rPr>
          <w:rFonts w:ascii="Arial" w:cs="Arial" w:eastAsia="Arial" w:hAnsi="Arial"/>
          <w:b/>
          <w:bCs/>
          <w:color w:val="6A1B9A"/>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Hepatitis B panel interpretation</w:t>
      </w:r>
    </w:p>
    <w:p>
      <w:pPr>
        <w:pStyle w:val="ListParagraph"/>
        <w:numPr>
          <w:ilvl w:val="0"/>
          <w:numId w:val="2"/>
        </w:numPr>
        <w:spacing w:after="50" w:line="264"/>
      </w:pPr>
      <w:r>
        <w:rPr>
          <w:rFonts w:ascii="Arial" w:cs="Arial" w:eastAsia="Arial" w:hAnsi="Arial"/>
          <w:color w:val="33444F"/>
          <w:sz w:val="21"/>
          <w:szCs w:val="21"/>
        </w:rPr>
        <w:t xml:space="preserve">HIV testing algorithm</w:t>
      </w:r>
    </w:p>
    <w:p>
      <w:pPr>
        <w:pStyle w:val="ListParagraph"/>
        <w:numPr>
          <w:ilvl w:val="0"/>
          <w:numId w:val="2"/>
        </w:numPr>
        <w:spacing w:after="50" w:line="264"/>
      </w:pPr>
      <w:r>
        <w:rPr>
          <w:rFonts w:ascii="Arial" w:cs="Arial" w:eastAsia="Arial" w:hAnsi="Arial"/>
          <w:color w:val="33444F"/>
          <w:sz w:val="21"/>
          <w:szCs w:val="21"/>
        </w:rPr>
        <w:t xml:space="preserve">Treponemal vs non-treponemal sequence</w:t>
      </w:r>
    </w:p>
    <w:p>
      <w:pPr>
        <w:spacing w:after="40" w:before="120"/>
      </w:pPr>
      <w:r>
        <w:rPr>
          <w:rFonts w:ascii="Arial" w:cs="Arial" w:eastAsia="Arial" w:hAnsi="Arial"/>
          <w:b/>
          <w:bCs/>
          <w:color w:val="6A1B9A"/>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Serology</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Micro HIV Hira Qadir</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Micro CP presentation Dec Hepatitis Mehrnoosh</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HepBSerologicChart</w:t>
      </w:r>
      <w:r>
        <w:rPr>
          <w:rFonts w:ascii="Arial" w:cs="Arial" w:eastAsia="Arial" w:hAnsi="Arial"/>
          <w:i/>
          <w:iCs/>
          <w:color w:val="6B7B8A"/>
          <w:sz w:val="18"/>
          <w:szCs w:val="18"/>
        </w:rPr>
        <w:t xml:space="preserve">   (Chemistry)</w:t>
      </w:r>
    </w:p>
    <w:p>
      <w:pPr>
        <w:pStyle w:val="ListParagraph"/>
        <w:numPr>
          <w:ilvl w:val="0"/>
          <w:numId w:val="3"/>
        </w:numPr>
        <w:spacing w:after="50" w:line="264"/>
      </w:pPr>
      <w:r>
        <w:rPr>
          <w:rFonts w:ascii="Arial" w:cs="Arial" w:eastAsia="Arial" w:hAnsi="Arial"/>
          <w:color w:val="33444F"/>
          <w:sz w:val="20"/>
          <w:szCs w:val="20"/>
        </w:rPr>
        <w:t xml:space="preserve">Infectious Disease Testing</w:t>
      </w:r>
      <w:r>
        <w:rPr>
          <w:rFonts w:ascii="Arial" w:cs="Arial" w:eastAsia="Arial" w:hAnsi="Arial"/>
          <w:i/>
          <w:iCs/>
          <w:color w:val="6B7B8A"/>
          <w:sz w:val="18"/>
          <w:szCs w:val="18"/>
        </w:rPr>
        <w:t xml:space="preserve">   (Transfusion Medicine / Dr. Eisenbrey Lectures)</w:t>
      </w:r>
    </w:p>
    <w:p>
      <w:pPr>
        <w:pStyle w:val="ListParagraph"/>
        <w:numPr>
          <w:ilvl w:val="0"/>
          <w:numId w:val="3"/>
        </w:numPr>
        <w:spacing w:after="50" w:line="264"/>
      </w:pPr>
      <w:r>
        <w:rPr>
          <w:rFonts w:ascii="Arial" w:cs="Arial" w:eastAsia="Arial" w:hAnsi="Arial"/>
          <w:color w:val="33444F"/>
          <w:sz w:val="20"/>
          <w:szCs w:val="20"/>
        </w:rPr>
        <w:t xml:space="preserve">OnCall CP on call conference HIV Hira Qadir</w:t>
      </w:r>
      <w:r>
        <w:rPr>
          <w:rFonts w:ascii="Arial" w:cs="Arial" w:eastAsia="Arial" w:hAnsi="Arial"/>
          <w:i/>
          <w:iCs/>
          <w:color w:val="6B7B8A"/>
          <w:sz w:val="18"/>
          <w:szCs w:val="18"/>
        </w:rPr>
        <w:t xml:space="preserve">   (CP On-Call Presentations / 2025)</w:t>
      </w:r>
    </w:p>
    <w:p>
      <w:pPr>
        <w:pStyle w:val="Heading3"/>
        <w:spacing w:after="40" w:before="200"/>
      </w:pPr>
      <w:r>
        <w:rPr>
          <w:rFonts w:ascii="Arial" w:cs="Arial" w:eastAsia="Arial" w:hAnsi="Arial"/>
          <w:b/>
          <w:bCs/>
          <w:color w:val="6A1B9A"/>
          <w:sz w:val="23"/>
          <w:szCs w:val="23"/>
        </w:rPr>
        <w:t xml:space="preserve">24.  </w:t>
      </w:r>
      <w:r>
        <w:rPr>
          <w:rFonts w:ascii="Arial" w:cs="Arial" w:eastAsia="Arial" w:hAnsi="Arial"/>
          <w:b/>
          <w:bCs/>
          <w:color w:val="1B2A38"/>
          <w:sz w:val="23"/>
          <w:szCs w:val="23"/>
        </w:rPr>
        <w:t xml:space="preserve">Allergy, Immunodeficiency, and Protein-Based Immune Testing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Immuno_04.pptx</w:t>
      </w:r>
    </w:p>
    <w:p>
      <w:pPr>
        <w:spacing w:after="40" w:before="120"/>
      </w:pPr>
      <w:r>
        <w:rPr>
          <w:rFonts w:ascii="Arial" w:cs="Arial" w:eastAsia="Arial" w:hAnsi="Arial"/>
          <w:b/>
          <w:bCs/>
          <w:color w:val="6A1B9A"/>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Interpret quantitative immunoglobulins.</w:t>
      </w:r>
    </w:p>
    <w:p>
      <w:pPr>
        <w:pStyle w:val="ListParagraph"/>
        <w:numPr>
          <w:ilvl w:val="0"/>
          <w:numId w:val="2"/>
        </w:numPr>
        <w:spacing w:after="50" w:line="264"/>
      </w:pPr>
      <w:r>
        <w:rPr>
          <w:rFonts w:ascii="Arial" w:cs="Arial" w:eastAsia="Arial" w:hAnsi="Arial"/>
          <w:color w:val="33444F"/>
          <w:sz w:val="21"/>
          <w:szCs w:val="21"/>
        </w:rPr>
        <w:t xml:space="preserve">Correlate SPEP with immune findings.</w:t>
      </w:r>
    </w:p>
    <w:p>
      <w:pPr>
        <w:pStyle w:val="ListParagraph"/>
        <w:numPr>
          <w:ilvl w:val="0"/>
          <w:numId w:val="2"/>
        </w:numPr>
        <w:spacing w:after="50" w:line="264"/>
      </w:pPr>
      <w:r>
        <w:rPr>
          <w:rFonts w:ascii="Arial" w:cs="Arial" w:eastAsia="Arial" w:hAnsi="Arial"/>
          <w:color w:val="33444F"/>
          <w:sz w:val="21"/>
          <w:szCs w:val="21"/>
        </w:rPr>
        <w:t xml:space="preserve">Apply specific IgE and tryptase testing.</w:t>
      </w:r>
    </w:p>
    <w:p>
      <w:pPr>
        <w:pStyle w:val="ListParagraph"/>
        <w:numPr>
          <w:ilvl w:val="0"/>
          <w:numId w:val="2"/>
        </w:numPr>
        <w:spacing w:after="50" w:line="264"/>
      </w:pPr>
      <w:r>
        <w:rPr>
          <w:rFonts w:ascii="Arial" w:cs="Arial" w:eastAsia="Arial" w:hAnsi="Arial"/>
          <w:color w:val="33444F"/>
          <w:sz w:val="21"/>
          <w:szCs w:val="21"/>
        </w:rPr>
        <w:t xml:space="preserve">Outline a targeted immunodeficiency workup.</w:t>
      </w:r>
    </w:p>
    <w:p>
      <w:pPr>
        <w:pStyle w:val="ListParagraph"/>
        <w:numPr>
          <w:ilvl w:val="0"/>
          <w:numId w:val="2"/>
        </w:numPr>
        <w:spacing w:after="50" w:line="264"/>
      </w:pPr>
      <w:r>
        <w:rPr>
          <w:rFonts w:ascii="Arial" w:cs="Arial" w:eastAsia="Arial" w:hAnsi="Arial"/>
          <w:color w:val="33444F"/>
          <w:sz w:val="21"/>
          <w:szCs w:val="21"/>
        </w:rPr>
        <w:t xml:space="preserve">Use vaccine-response testing appropriately.</w:t>
      </w:r>
    </w:p>
    <w:p>
      <w:pPr>
        <w:spacing w:after="40" w:before="120"/>
      </w:pPr>
      <w:r>
        <w:rPr>
          <w:rFonts w:ascii="Arial" w:cs="Arial" w:eastAsia="Arial" w:hAnsi="Arial"/>
          <w:b/>
          <w:bCs/>
          <w:color w:val="6A1B9A"/>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Quantitative IgG/IgA/IgM/IgE</w:t>
      </w:r>
    </w:p>
    <w:p>
      <w:pPr>
        <w:pStyle w:val="ListParagraph"/>
        <w:numPr>
          <w:ilvl w:val="0"/>
          <w:numId w:val="2"/>
        </w:numPr>
        <w:spacing w:after="50" w:line="264"/>
      </w:pPr>
      <w:r>
        <w:rPr>
          <w:rFonts w:ascii="Arial" w:cs="Arial" w:eastAsia="Arial" w:hAnsi="Arial"/>
          <w:color w:val="33444F"/>
          <w:sz w:val="21"/>
          <w:szCs w:val="21"/>
        </w:rPr>
        <w:t xml:space="preserve">SPEP correlation and hypogammaglobulinemia</w:t>
      </w:r>
    </w:p>
    <w:p>
      <w:pPr>
        <w:pStyle w:val="ListParagraph"/>
        <w:numPr>
          <w:ilvl w:val="0"/>
          <w:numId w:val="2"/>
        </w:numPr>
        <w:spacing w:after="50" w:line="264"/>
      </w:pPr>
      <w:r>
        <w:rPr>
          <w:rFonts w:ascii="Arial" w:cs="Arial" w:eastAsia="Arial" w:hAnsi="Arial"/>
          <w:color w:val="33444F"/>
          <w:sz w:val="21"/>
          <w:szCs w:val="21"/>
        </w:rPr>
        <w:t xml:space="preserve">Specific IgE and tryptase</w:t>
      </w:r>
    </w:p>
    <w:p>
      <w:pPr>
        <w:pStyle w:val="ListParagraph"/>
        <w:numPr>
          <w:ilvl w:val="0"/>
          <w:numId w:val="2"/>
        </w:numPr>
        <w:spacing w:after="50" w:line="264"/>
      </w:pPr>
      <w:r>
        <w:rPr>
          <w:rFonts w:ascii="Arial" w:cs="Arial" w:eastAsia="Arial" w:hAnsi="Arial"/>
          <w:color w:val="33444F"/>
          <w:sz w:val="21"/>
          <w:szCs w:val="21"/>
        </w:rPr>
        <w:t xml:space="preserve">Complement and functional assays</w:t>
      </w:r>
    </w:p>
    <w:p>
      <w:pPr>
        <w:pStyle w:val="ListParagraph"/>
        <w:numPr>
          <w:ilvl w:val="0"/>
          <w:numId w:val="2"/>
        </w:numPr>
        <w:spacing w:after="50" w:line="264"/>
      </w:pPr>
      <w:r>
        <w:rPr>
          <w:rFonts w:ascii="Arial" w:cs="Arial" w:eastAsia="Arial" w:hAnsi="Arial"/>
          <w:color w:val="33444F"/>
          <w:sz w:val="21"/>
          <w:szCs w:val="21"/>
        </w:rPr>
        <w:t xml:space="preserve">Vaccine-response (pneumococcal) testing</w:t>
      </w:r>
    </w:p>
    <w:p>
      <w:pPr>
        <w:pStyle w:val="ListParagraph"/>
        <w:numPr>
          <w:ilvl w:val="0"/>
          <w:numId w:val="2"/>
        </w:numPr>
        <w:spacing w:after="50" w:line="264"/>
      </w:pPr>
      <w:r>
        <w:rPr>
          <w:rFonts w:ascii="Arial" w:cs="Arial" w:eastAsia="Arial" w:hAnsi="Arial"/>
          <w:color w:val="33444F"/>
          <w:sz w:val="21"/>
          <w:szCs w:val="21"/>
        </w:rPr>
        <w:t xml:space="preserve">When to refer for further immune workup</w:t>
      </w:r>
    </w:p>
    <w:p>
      <w:pPr>
        <w:spacing w:after="40" w:before="120"/>
      </w:pPr>
      <w:r>
        <w:rPr>
          <w:rFonts w:ascii="Arial" w:cs="Arial" w:eastAsia="Arial" w:hAnsi="Arial"/>
          <w:b/>
          <w:bCs/>
          <w:color w:val="6A1B9A"/>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IgA deficiency and transfusion implications</w:t>
      </w:r>
    </w:p>
    <w:p>
      <w:pPr>
        <w:pStyle w:val="ListParagraph"/>
        <w:numPr>
          <w:ilvl w:val="0"/>
          <w:numId w:val="2"/>
        </w:numPr>
        <w:spacing w:after="50" w:line="264"/>
      </w:pPr>
      <w:r>
        <w:rPr>
          <w:rFonts w:ascii="Arial" w:cs="Arial" w:eastAsia="Arial" w:hAnsi="Arial"/>
          <w:color w:val="33444F"/>
          <w:sz w:val="21"/>
          <w:szCs w:val="21"/>
        </w:rPr>
        <w:t xml:space="preserve">Tryptase in anaphylaxis</w:t>
      </w:r>
    </w:p>
    <w:p>
      <w:pPr>
        <w:pStyle w:val="ListParagraph"/>
        <w:numPr>
          <w:ilvl w:val="0"/>
          <w:numId w:val="2"/>
        </w:numPr>
        <w:spacing w:after="50" w:line="264"/>
      </w:pPr>
      <w:r>
        <w:rPr>
          <w:rFonts w:ascii="Arial" w:cs="Arial" w:eastAsia="Arial" w:hAnsi="Arial"/>
          <w:color w:val="33444F"/>
          <w:sz w:val="21"/>
          <w:szCs w:val="21"/>
        </w:rPr>
        <w:t xml:space="preserve">Vaccine-response interpretation</w:t>
      </w:r>
    </w:p>
    <w:p>
      <w:pPr>
        <w:spacing w:after="40" w:before="120"/>
      </w:pPr>
      <w:r>
        <w:rPr>
          <w:rFonts w:ascii="Arial" w:cs="Arial" w:eastAsia="Arial" w:hAnsi="Arial"/>
          <w:b/>
          <w:bCs/>
          <w:color w:val="6A1B9A"/>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hematology basic investigations on call CP role</w:t>
      </w:r>
      <w:r>
        <w:rPr>
          <w:rFonts w:ascii="Arial" w:cs="Arial" w:eastAsia="Arial" w:hAnsi="Arial"/>
          <w:i/>
          <w:iCs/>
          <w:color w:val="6B7B8A"/>
          <w:sz w:val="18"/>
          <w:szCs w:val="18"/>
        </w:rPr>
        <w:t xml:space="preserve">   (Hematopathology)</w:t>
      </w:r>
    </w:p>
    <w:p>
      <w:pPr>
        <w:pStyle w:val="ListParagraph"/>
        <w:numPr>
          <w:ilvl w:val="0"/>
          <w:numId w:val="3"/>
        </w:numPr>
        <w:spacing w:after="50" w:line="264"/>
      </w:pPr>
      <w:r>
        <w:rPr>
          <w:rFonts w:ascii="Arial" w:cs="Arial" w:eastAsia="Arial" w:hAnsi="Arial"/>
          <w:color w:val="33444F"/>
          <w:sz w:val="20"/>
          <w:szCs w:val="20"/>
        </w:rPr>
        <w:t xml:space="preserve">Reportable Diseases Michigan by Pathogen 478489 7</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Reportable Diseases Michigan by Condition 478488 7</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Blood group antigens pathology Zaher Otrock HFH</w:t>
      </w:r>
      <w:r>
        <w:rPr>
          <w:rFonts w:ascii="Arial" w:cs="Arial" w:eastAsia="Arial" w:hAnsi="Arial"/>
          <w:i/>
          <w:iCs/>
          <w:color w:val="6B7B8A"/>
          <w:sz w:val="18"/>
          <w:szCs w:val="18"/>
        </w:rPr>
        <w:t xml:space="preserve">   (Transfusion Medicine / Dr Otrock lectures)</w:t>
      </w:r>
    </w:p>
    <w:p>
      <w:pPr>
        <w:pStyle w:val="ListParagraph"/>
        <w:numPr>
          <w:ilvl w:val="0"/>
          <w:numId w:val="3"/>
        </w:numPr>
        <w:spacing w:after="50" w:line="264"/>
      </w:pPr>
      <w:r>
        <w:rPr>
          <w:rFonts w:ascii="Arial" w:cs="Arial" w:eastAsia="Arial" w:hAnsi="Arial"/>
          <w:color w:val="33444F"/>
          <w:sz w:val="20"/>
          <w:szCs w:val="20"/>
        </w:rPr>
        <w:t xml:space="preserve">OnCall CP on call conference hematology basic investigations OZB</w:t>
      </w:r>
      <w:r>
        <w:rPr>
          <w:rFonts w:ascii="Arial" w:cs="Arial" w:eastAsia="Arial" w:hAnsi="Arial"/>
          <w:i/>
          <w:iCs/>
          <w:color w:val="6B7B8A"/>
          <w:sz w:val="18"/>
          <w:szCs w:val="18"/>
        </w:rPr>
        <w:t xml:space="preserve">   (CP On-Call Presentations / 2025)</w:t>
      </w:r>
    </w:p>
    <w:p>
      <w:pPr>
        <w:pStyle w:val="ListParagraph"/>
        <w:numPr>
          <w:ilvl w:val="0"/>
          <w:numId w:val="3"/>
        </w:numPr>
        <w:spacing w:after="50" w:line="264"/>
      </w:pPr>
      <w:r>
        <w:rPr>
          <w:rFonts w:ascii="Arial" w:cs="Arial" w:eastAsia="Arial" w:hAnsi="Arial"/>
          <w:color w:val="33444F"/>
          <w:sz w:val="20"/>
          <w:szCs w:val="20"/>
        </w:rPr>
        <w:t xml:space="preserve">LabMgmt Jones Safety OSHA Latex Allergy quickfacts</w:t>
      </w:r>
      <w:r>
        <w:rPr>
          <w:rFonts w:ascii="Arial" w:cs="Arial" w:eastAsia="Arial" w:hAnsi="Arial"/>
          <w:i/>
          <w:iCs/>
          <w:color w:val="6B7B8A"/>
          <w:sz w:val="18"/>
          <w:szCs w:val="18"/>
        </w:rPr>
        <w:t xml:space="preserve">   (Lab Management / Dr Jones)</w:t>
      </w:r>
    </w:p>
    <w:p>
      <w:r>
        <w:br w:type="page"/>
      </w:r>
    </w:p>
    <w:p>
      <w:pPr>
        <w:pStyle w:val="Heading1"/>
        <w:spacing w:after="60" w:before="60"/>
      </w:pPr>
      <w:r>
        <w:rPr>
          <w:rFonts w:ascii="Arial" w:cs="Arial" w:eastAsia="Arial" w:hAnsi="Arial"/>
          <w:b/>
          <w:bCs/>
          <w:color w:val="00838F"/>
          <w:sz w:val="30"/>
          <w:szCs w:val="30"/>
        </w:rPr>
        <w:t xml:space="preserve">Block 6  ·  Molecular &amp; Cytogenetics</w:t>
      </w:r>
    </w:p>
    <w:p>
      <w:pPr>
        <w:pBdr>
          <w:bottom w:val="single" w:color="00838F" w:sz="8" w:space="6"/>
        </w:pBdr>
        <w:spacing w:after="120"/>
      </w:pPr>
      <w:r>
        <w:rPr>
          <w:rFonts w:ascii="Arial" w:cs="Arial" w:eastAsia="Arial" w:hAnsi="Arial"/>
          <w:color w:val="6B7B8A"/>
          <w:spacing w:val="8"/>
          <w:sz w:val="19"/>
          <w:szCs w:val="19"/>
        </w:rPr>
        <w:t xml:space="preserve">5 lectures</w:t>
      </w:r>
    </w:p>
    <w:p>
      <w:pPr>
        <w:pStyle w:val="Heading3"/>
        <w:spacing w:after="40" w:before="200"/>
      </w:pPr>
      <w:r>
        <w:rPr>
          <w:rFonts w:ascii="Arial" w:cs="Arial" w:eastAsia="Arial" w:hAnsi="Arial"/>
          <w:b/>
          <w:bCs/>
          <w:color w:val="00838F"/>
          <w:sz w:val="23"/>
          <w:szCs w:val="23"/>
        </w:rPr>
        <w:t xml:space="preserve">25.  </w:t>
      </w:r>
      <w:r>
        <w:rPr>
          <w:rFonts w:ascii="Arial" w:cs="Arial" w:eastAsia="Arial" w:hAnsi="Arial"/>
          <w:b/>
          <w:bCs/>
          <w:color w:val="1B2A38"/>
          <w:sz w:val="23"/>
          <w:szCs w:val="23"/>
        </w:rPr>
        <w:t xml:space="preserve">Molecular Methods for Residents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Molecular_01.pptx</w:t>
      </w:r>
    </w:p>
    <w:p>
      <w:pPr>
        <w:spacing w:after="40" w:before="120"/>
      </w:pPr>
      <w:r>
        <w:rPr>
          <w:rFonts w:ascii="Arial" w:cs="Arial" w:eastAsia="Arial" w:hAnsi="Arial"/>
          <w:b/>
          <w:bCs/>
          <w:color w:val="00838F"/>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PCR, RT-PCR, FISH, karyotype, and NGS at a working level.</w:t>
      </w:r>
    </w:p>
    <w:p>
      <w:pPr>
        <w:pStyle w:val="ListParagraph"/>
        <w:numPr>
          <w:ilvl w:val="0"/>
          <w:numId w:val="2"/>
        </w:numPr>
        <w:spacing w:after="50" w:line="264"/>
      </w:pPr>
      <w:r>
        <w:rPr>
          <w:rFonts w:ascii="Arial" w:cs="Arial" w:eastAsia="Arial" w:hAnsi="Arial"/>
          <w:color w:val="33444F"/>
          <w:sz w:val="21"/>
          <w:szCs w:val="21"/>
        </w:rPr>
        <w:t xml:space="preserve">Select the right platform for the clinical question.</w:t>
      </w:r>
    </w:p>
    <w:p>
      <w:pPr>
        <w:pStyle w:val="ListParagraph"/>
        <w:numPr>
          <w:ilvl w:val="0"/>
          <w:numId w:val="2"/>
        </w:numPr>
        <w:spacing w:after="50" w:line="264"/>
      </w:pPr>
      <w:r>
        <w:rPr>
          <w:rFonts w:ascii="Arial" w:cs="Arial" w:eastAsia="Arial" w:hAnsi="Arial"/>
          <w:color w:val="33444F"/>
          <w:sz w:val="21"/>
          <w:szCs w:val="21"/>
        </w:rPr>
        <w:t xml:space="preserve">Compare turnaround, sensitivity, and breadth across methods.</w:t>
      </w:r>
    </w:p>
    <w:p>
      <w:pPr>
        <w:pStyle w:val="ListParagraph"/>
        <w:numPr>
          <w:ilvl w:val="0"/>
          <w:numId w:val="2"/>
        </w:numPr>
        <w:spacing w:after="50" w:line="264"/>
      </w:pPr>
      <w:r>
        <w:rPr>
          <w:rFonts w:ascii="Arial" w:cs="Arial" w:eastAsia="Arial" w:hAnsi="Arial"/>
          <w:color w:val="33444F"/>
          <w:sz w:val="21"/>
          <w:szCs w:val="21"/>
        </w:rPr>
        <w:t xml:space="preserve">Recognize the limits of each technique.</w:t>
      </w:r>
    </w:p>
    <w:p>
      <w:pPr>
        <w:pStyle w:val="ListParagraph"/>
        <w:numPr>
          <w:ilvl w:val="0"/>
          <w:numId w:val="2"/>
        </w:numPr>
        <w:spacing w:after="50" w:line="264"/>
      </w:pPr>
      <w:r>
        <w:rPr>
          <w:rFonts w:ascii="Arial" w:cs="Arial" w:eastAsia="Arial" w:hAnsi="Arial"/>
          <w:color w:val="33444F"/>
          <w:sz w:val="21"/>
          <w:szCs w:val="21"/>
        </w:rPr>
        <w:t xml:space="preserve">Interpret basic molecular nomenclature.</w:t>
      </w:r>
    </w:p>
    <w:p>
      <w:pPr>
        <w:spacing w:after="40" w:before="120"/>
      </w:pPr>
      <w:r>
        <w:rPr>
          <w:rFonts w:ascii="Arial" w:cs="Arial" w:eastAsia="Arial" w:hAnsi="Arial"/>
          <w:b/>
          <w:bCs/>
          <w:color w:val="00838F"/>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PCR and quantitative / RT-PCR</w:t>
      </w:r>
    </w:p>
    <w:p>
      <w:pPr>
        <w:pStyle w:val="ListParagraph"/>
        <w:numPr>
          <w:ilvl w:val="0"/>
          <w:numId w:val="2"/>
        </w:numPr>
        <w:spacing w:after="50" w:line="264"/>
      </w:pPr>
      <w:r>
        <w:rPr>
          <w:rFonts w:ascii="Arial" w:cs="Arial" w:eastAsia="Arial" w:hAnsi="Arial"/>
          <w:color w:val="33444F"/>
          <w:sz w:val="21"/>
          <w:szCs w:val="21"/>
        </w:rPr>
        <w:t xml:space="preserve">FISH and karyotype</w:t>
      </w:r>
    </w:p>
    <w:p>
      <w:pPr>
        <w:pStyle w:val="ListParagraph"/>
        <w:numPr>
          <w:ilvl w:val="0"/>
          <w:numId w:val="2"/>
        </w:numPr>
        <w:spacing w:after="50" w:line="264"/>
      </w:pPr>
      <w:r>
        <w:rPr>
          <w:rFonts w:ascii="Arial" w:cs="Arial" w:eastAsia="Arial" w:hAnsi="Arial"/>
          <w:color w:val="33444F"/>
          <w:sz w:val="21"/>
          <w:szCs w:val="21"/>
        </w:rPr>
        <w:t xml:space="preserve">Next-generation sequencing overview</w:t>
      </w:r>
    </w:p>
    <w:p>
      <w:pPr>
        <w:pStyle w:val="ListParagraph"/>
        <w:numPr>
          <w:ilvl w:val="0"/>
          <w:numId w:val="2"/>
        </w:numPr>
        <w:spacing w:after="50" w:line="264"/>
      </w:pPr>
      <w:r>
        <w:rPr>
          <w:rFonts w:ascii="Arial" w:cs="Arial" w:eastAsia="Arial" w:hAnsi="Arial"/>
          <w:color w:val="33444F"/>
          <w:sz w:val="21"/>
          <w:szCs w:val="21"/>
        </w:rPr>
        <w:t xml:space="preserve">Platform selection by clinical question</w:t>
      </w:r>
    </w:p>
    <w:p>
      <w:pPr>
        <w:pStyle w:val="ListParagraph"/>
        <w:numPr>
          <w:ilvl w:val="0"/>
          <w:numId w:val="2"/>
        </w:numPr>
        <w:spacing w:after="50" w:line="264"/>
      </w:pPr>
      <w:r>
        <w:rPr>
          <w:rFonts w:ascii="Arial" w:cs="Arial" w:eastAsia="Arial" w:hAnsi="Arial"/>
          <w:color w:val="33444F"/>
          <w:sz w:val="21"/>
          <w:szCs w:val="21"/>
        </w:rPr>
        <w:t xml:space="preserve">Analytic sensitivity vs breadth</w:t>
      </w:r>
    </w:p>
    <w:p>
      <w:pPr>
        <w:pStyle w:val="ListParagraph"/>
        <w:numPr>
          <w:ilvl w:val="0"/>
          <w:numId w:val="2"/>
        </w:numPr>
        <w:spacing w:after="50" w:line="264"/>
      </w:pPr>
      <w:r>
        <w:rPr>
          <w:rFonts w:ascii="Arial" w:cs="Arial" w:eastAsia="Arial" w:hAnsi="Arial"/>
          <w:color w:val="33444F"/>
          <w:sz w:val="21"/>
          <w:szCs w:val="21"/>
        </w:rPr>
        <w:t xml:space="preserve">HGVS nomenclature basics</w:t>
      </w:r>
    </w:p>
    <w:p>
      <w:pPr>
        <w:spacing w:after="40" w:before="120"/>
      </w:pPr>
      <w:r>
        <w:rPr>
          <w:rFonts w:ascii="Arial" w:cs="Arial" w:eastAsia="Arial" w:hAnsi="Arial"/>
          <w:b/>
          <w:bCs/>
          <w:color w:val="00838F"/>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FISH vs karyotype vs NGS selection</w:t>
      </w:r>
    </w:p>
    <w:p>
      <w:pPr>
        <w:pStyle w:val="ListParagraph"/>
        <w:numPr>
          <w:ilvl w:val="0"/>
          <w:numId w:val="2"/>
        </w:numPr>
        <w:spacing w:after="50" w:line="264"/>
      </w:pPr>
      <w:r>
        <w:rPr>
          <w:rFonts w:ascii="Arial" w:cs="Arial" w:eastAsia="Arial" w:hAnsi="Arial"/>
          <w:color w:val="33444F"/>
          <w:sz w:val="21"/>
          <w:szCs w:val="21"/>
        </w:rPr>
        <w:t xml:space="preserve">Detecting low-level variants</w:t>
      </w:r>
    </w:p>
    <w:p>
      <w:pPr>
        <w:pStyle w:val="ListParagraph"/>
        <w:numPr>
          <w:ilvl w:val="0"/>
          <w:numId w:val="2"/>
        </w:numPr>
        <w:spacing w:after="50" w:line="264"/>
      </w:pPr>
      <w:r>
        <w:rPr>
          <w:rFonts w:ascii="Arial" w:cs="Arial" w:eastAsia="Arial" w:hAnsi="Arial"/>
          <w:color w:val="33444F"/>
          <w:sz w:val="21"/>
          <w:szCs w:val="21"/>
        </w:rPr>
        <w:t xml:space="preserve">RT-PCR for fusion transcripts</w:t>
      </w:r>
    </w:p>
    <w:p>
      <w:pPr>
        <w:spacing w:after="40" w:before="120"/>
      </w:pPr>
      <w:r>
        <w:rPr>
          <w:rFonts w:ascii="Arial" w:cs="Arial" w:eastAsia="Arial" w:hAnsi="Arial"/>
          <w:b/>
          <w:bCs/>
          <w:color w:val="00838F"/>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Techniques in Molecular Pathology Part 1 (Kis )</w:t>
      </w:r>
      <w:r>
        <w:rPr>
          <w:rFonts w:ascii="Arial" w:cs="Arial" w:eastAsia="Arial" w:hAnsi="Arial"/>
          <w:i/>
          <w:iCs/>
          <w:color w:val="6B7B8A"/>
          <w:sz w:val="18"/>
          <w:szCs w:val="18"/>
        </w:rPr>
        <w:t xml:space="preserve">   (Molecular Pathology)</w:t>
      </w:r>
    </w:p>
    <w:p>
      <w:pPr>
        <w:pStyle w:val="ListParagraph"/>
        <w:numPr>
          <w:ilvl w:val="0"/>
          <w:numId w:val="3"/>
        </w:numPr>
        <w:spacing w:after="50" w:line="264"/>
      </w:pPr>
      <w:r>
        <w:rPr>
          <w:rFonts w:ascii="Arial" w:cs="Arial" w:eastAsia="Arial" w:hAnsi="Arial"/>
          <w:color w:val="33444F"/>
          <w:sz w:val="20"/>
          <w:szCs w:val="20"/>
        </w:rPr>
        <w:t xml:space="preserve">Mol Techniques in Molecular Pathology Part 2 (Kis )</w:t>
      </w:r>
      <w:r>
        <w:rPr>
          <w:rFonts w:ascii="Arial" w:cs="Arial" w:eastAsia="Arial" w:hAnsi="Arial"/>
          <w:i/>
          <w:iCs/>
          <w:color w:val="6B7B8A"/>
          <w:sz w:val="18"/>
          <w:szCs w:val="18"/>
        </w:rPr>
        <w:t xml:space="preserve">   (Molecular Pathology)</w:t>
      </w:r>
    </w:p>
    <w:p>
      <w:pPr>
        <w:pStyle w:val="ListParagraph"/>
        <w:numPr>
          <w:ilvl w:val="0"/>
          <w:numId w:val="3"/>
        </w:numPr>
        <w:spacing w:after="50" w:line="264"/>
      </w:pPr>
      <w:r>
        <w:rPr>
          <w:rFonts w:ascii="Arial" w:cs="Arial" w:eastAsia="Arial" w:hAnsi="Arial"/>
          <w:color w:val="33444F"/>
          <w:sz w:val="20"/>
          <w:szCs w:val="20"/>
        </w:rPr>
        <w:t xml:space="preserve">Molecular2 102716</w:t>
      </w:r>
      <w:r>
        <w:rPr>
          <w:rFonts w:ascii="Arial" w:cs="Arial" w:eastAsia="Arial" w:hAnsi="Arial"/>
          <w:i/>
          <w:iCs/>
          <w:color w:val="6B7B8A"/>
          <w:sz w:val="18"/>
          <w:szCs w:val="18"/>
        </w:rPr>
        <w:t xml:space="preserve">   (Molecular Pathology)</w:t>
      </w:r>
    </w:p>
    <w:p>
      <w:pPr>
        <w:pStyle w:val="ListParagraph"/>
        <w:numPr>
          <w:ilvl w:val="0"/>
          <w:numId w:val="3"/>
        </w:numPr>
        <w:spacing w:after="50" w:line="264"/>
      </w:pPr>
      <w:r>
        <w:rPr>
          <w:rFonts w:ascii="Arial" w:cs="Arial" w:eastAsia="Arial" w:hAnsi="Arial"/>
          <w:color w:val="33444F"/>
          <w:sz w:val="20"/>
          <w:szCs w:val="20"/>
        </w:rPr>
        <w:t xml:space="preserve">Cyto Resident Talk Day One</w:t>
      </w:r>
      <w:r>
        <w:rPr>
          <w:rFonts w:ascii="Arial" w:cs="Arial" w:eastAsia="Arial" w:hAnsi="Arial"/>
          <w:i/>
          <w:iCs/>
          <w:color w:val="6B7B8A"/>
          <w:sz w:val="18"/>
          <w:szCs w:val="18"/>
        </w:rPr>
        <w:t xml:space="preserve">   (Cytogenetics)</w:t>
      </w:r>
    </w:p>
    <w:p>
      <w:pPr>
        <w:pStyle w:val="ListParagraph"/>
        <w:numPr>
          <w:ilvl w:val="0"/>
          <w:numId w:val="3"/>
        </w:numPr>
        <w:spacing w:after="50" w:line="264"/>
      </w:pPr>
      <w:r>
        <w:rPr>
          <w:rFonts w:ascii="Arial" w:cs="Arial" w:eastAsia="Arial" w:hAnsi="Arial"/>
          <w:color w:val="33444F"/>
          <w:sz w:val="20"/>
          <w:szCs w:val="20"/>
        </w:rPr>
        <w:t xml:space="preserve">Cyto Resident Talk Day Two</w:t>
      </w:r>
      <w:r>
        <w:rPr>
          <w:rFonts w:ascii="Arial" w:cs="Arial" w:eastAsia="Arial" w:hAnsi="Arial"/>
          <w:i/>
          <w:iCs/>
          <w:color w:val="6B7B8A"/>
          <w:sz w:val="18"/>
          <w:szCs w:val="18"/>
        </w:rPr>
        <w:t xml:space="preserve">   (Cytogenetics)</w:t>
      </w:r>
    </w:p>
    <w:p>
      <w:pPr>
        <w:pStyle w:val="ListParagraph"/>
        <w:numPr>
          <w:ilvl w:val="0"/>
          <w:numId w:val="3"/>
        </w:numPr>
        <w:spacing w:after="50" w:line="264"/>
      </w:pPr>
      <w:r>
        <w:rPr>
          <w:rFonts w:ascii="Arial" w:cs="Arial" w:eastAsia="Arial" w:hAnsi="Arial"/>
          <w:color w:val="33444F"/>
          <w:sz w:val="20"/>
          <w:szCs w:val="20"/>
        </w:rPr>
        <w:t xml:space="preserve">Cytogenomics – Oncology cases</w:t>
      </w:r>
      <w:r>
        <w:rPr>
          <w:rFonts w:ascii="Arial" w:cs="Arial" w:eastAsia="Arial" w:hAnsi="Arial"/>
          <w:i/>
          <w:iCs/>
          <w:color w:val="6B7B8A"/>
          <w:sz w:val="18"/>
          <w:szCs w:val="18"/>
        </w:rPr>
        <w:t xml:space="preserve">   (Cytogenetics)</w:t>
      </w:r>
    </w:p>
    <w:p>
      <w:pPr>
        <w:pStyle w:val="Heading3"/>
        <w:spacing w:after="40" w:before="200"/>
      </w:pPr>
      <w:r>
        <w:rPr>
          <w:rFonts w:ascii="Arial" w:cs="Arial" w:eastAsia="Arial" w:hAnsi="Arial"/>
          <w:b/>
          <w:bCs/>
          <w:color w:val="00838F"/>
          <w:sz w:val="23"/>
          <w:szCs w:val="23"/>
        </w:rPr>
        <w:t xml:space="preserve">26.  </w:t>
      </w:r>
      <w:r>
        <w:rPr>
          <w:rFonts w:ascii="Arial" w:cs="Arial" w:eastAsia="Arial" w:hAnsi="Arial"/>
          <w:b/>
          <w:bCs/>
          <w:color w:val="1B2A38"/>
          <w:sz w:val="23"/>
          <w:szCs w:val="23"/>
        </w:rPr>
        <w:t xml:space="preserve">Variant Interpretation and Reporting</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Molecular_02.pptx</w:t>
      </w:r>
    </w:p>
    <w:p>
      <w:pPr>
        <w:spacing w:after="40" w:before="120"/>
      </w:pPr>
      <w:r>
        <w:rPr>
          <w:rFonts w:ascii="Arial" w:cs="Arial" w:eastAsia="Arial" w:hAnsi="Arial"/>
          <w:b/>
          <w:bCs/>
          <w:color w:val="00838F"/>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Apply variant tiering and pathogenicity frameworks.</w:t>
      </w:r>
    </w:p>
    <w:p>
      <w:pPr>
        <w:pStyle w:val="ListParagraph"/>
        <w:numPr>
          <w:ilvl w:val="0"/>
          <w:numId w:val="2"/>
        </w:numPr>
        <w:spacing w:after="50" w:line="264"/>
      </w:pPr>
      <w:r>
        <w:rPr>
          <w:rFonts w:ascii="Arial" w:cs="Arial" w:eastAsia="Arial" w:hAnsi="Arial"/>
          <w:color w:val="33444F"/>
          <w:sz w:val="21"/>
          <w:szCs w:val="21"/>
        </w:rPr>
        <w:t xml:space="preserve">Use standard nomenclature.</w:t>
      </w:r>
    </w:p>
    <w:p>
      <w:pPr>
        <w:pStyle w:val="ListParagraph"/>
        <w:numPr>
          <w:ilvl w:val="0"/>
          <w:numId w:val="2"/>
        </w:numPr>
        <w:spacing w:after="50" w:line="264"/>
      </w:pPr>
      <w:r>
        <w:rPr>
          <w:rFonts w:ascii="Arial" w:cs="Arial" w:eastAsia="Arial" w:hAnsi="Arial"/>
          <w:color w:val="33444F"/>
          <w:sz w:val="21"/>
          <w:szCs w:val="21"/>
        </w:rPr>
        <w:t xml:space="preserve">Distinguish somatic from germline interpretation.</w:t>
      </w:r>
    </w:p>
    <w:p>
      <w:pPr>
        <w:pStyle w:val="ListParagraph"/>
        <w:numPr>
          <w:ilvl w:val="0"/>
          <w:numId w:val="2"/>
        </w:numPr>
        <w:spacing w:after="50" w:line="264"/>
      </w:pPr>
      <w:r>
        <w:rPr>
          <w:rFonts w:ascii="Arial" w:cs="Arial" w:eastAsia="Arial" w:hAnsi="Arial"/>
          <w:color w:val="33444F"/>
          <w:sz w:val="21"/>
          <w:szCs w:val="21"/>
        </w:rPr>
        <w:t xml:space="preserve">Write clinically actionable reports.</w:t>
      </w:r>
    </w:p>
    <w:p>
      <w:pPr>
        <w:pStyle w:val="ListParagraph"/>
        <w:numPr>
          <w:ilvl w:val="0"/>
          <w:numId w:val="2"/>
        </w:numPr>
        <w:spacing w:after="50" w:line="264"/>
      </w:pPr>
      <w:r>
        <w:rPr>
          <w:rFonts w:ascii="Arial" w:cs="Arial" w:eastAsia="Arial" w:hAnsi="Arial"/>
          <w:color w:val="33444F"/>
          <w:sz w:val="21"/>
          <w:szCs w:val="21"/>
        </w:rPr>
        <w:t xml:space="preserve">Recognize variants of uncertain significance and their handling.</w:t>
      </w:r>
    </w:p>
    <w:p>
      <w:pPr>
        <w:spacing w:after="40" w:before="120"/>
      </w:pPr>
      <w:r>
        <w:rPr>
          <w:rFonts w:ascii="Arial" w:cs="Arial" w:eastAsia="Arial" w:hAnsi="Arial"/>
          <w:b/>
          <w:bCs/>
          <w:color w:val="00838F"/>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ACMG/AMP and somatic tiering frameworks</w:t>
      </w:r>
    </w:p>
    <w:p>
      <w:pPr>
        <w:pStyle w:val="ListParagraph"/>
        <w:numPr>
          <w:ilvl w:val="0"/>
          <w:numId w:val="2"/>
        </w:numPr>
        <w:spacing w:after="50" w:line="264"/>
      </w:pPr>
      <w:r>
        <w:rPr>
          <w:rFonts w:ascii="Arial" w:cs="Arial" w:eastAsia="Arial" w:hAnsi="Arial"/>
          <w:color w:val="33444F"/>
          <w:sz w:val="21"/>
          <w:szCs w:val="21"/>
        </w:rPr>
        <w:t xml:space="preserve">HGVS nomenclature</w:t>
      </w:r>
    </w:p>
    <w:p>
      <w:pPr>
        <w:pStyle w:val="ListParagraph"/>
        <w:numPr>
          <w:ilvl w:val="0"/>
          <w:numId w:val="2"/>
        </w:numPr>
        <w:spacing w:after="50" w:line="264"/>
      </w:pPr>
      <w:r>
        <w:rPr>
          <w:rFonts w:ascii="Arial" w:cs="Arial" w:eastAsia="Arial" w:hAnsi="Arial"/>
          <w:color w:val="33444F"/>
          <w:sz w:val="21"/>
          <w:szCs w:val="21"/>
        </w:rPr>
        <w:t xml:space="preserve">Germline vs somatic interpretation</w:t>
      </w:r>
    </w:p>
    <w:p>
      <w:pPr>
        <w:pStyle w:val="ListParagraph"/>
        <w:numPr>
          <w:ilvl w:val="0"/>
          <w:numId w:val="2"/>
        </w:numPr>
        <w:spacing w:after="50" w:line="264"/>
      </w:pPr>
      <w:r>
        <w:rPr>
          <w:rFonts w:ascii="Arial" w:cs="Arial" w:eastAsia="Arial" w:hAnsi="Arial"/>
          <w:color w:val="33444F"/>
          <w:sz w:val="21"/>
          <w:szCs w:val="21"/>
        </w:rPr>
        <w:t xml:space="preserve">Actionability and therapy implications</w:t>
      </w:r>
    </w:p>
    <w:p>
      <w:pPr>
        <w:pStyle w:val="ListParagraph"/>
        <w:numPr>
          <w:ilvl w:val="0"/>
          <w:numId w:val="2"/>
        </w:numPr>
        <w:spacing w:after="50" w:line="264"/>
      </w:pPr>
      <w:r>
        <w:rPr>
          <w:rFonts w:ascii="Arial" w:cs="Arial" w:eastAsia="Arial" w:hAnsi="Arial"/>
          <w:color w:val="33444F"/>
          <w:sz w:val="21"/>
          <w:szCs w:val="21"/>
        </w:rPr>
        <w:t xml:space="preserve">VUS handling and reanalysis</w:t>
      </w:r>
    </w:p>
    <w:p>
      <w:pPr>
        <w:pStyle w:val="ListParagraph"/>
        <w:numPr>
          <w:ilvl w:val="0"/>
          <w:numId w:val="2"/>
        </w:numPr>
        <w:spacing w:after="50" w:line="264"/>
      </w:pPr>
      <w:r>
        <w:rPr>
          <w:rFonts w:ascii="Arial" w:cs="Arial" w:eastAsia="Arial" w:hAnsi="Arial"/>
          <w:color w:val="33444F"/>
          <w:sz w:val="21"/>
          <w:szCs w:val="21"/>
        </w:rPr>
        <w:t xml:space="preserve">Incidental / secondary findings</w:t>
      </w:r>
    </w:p>
    <w:p>
      <w:pPr>
        <w:spacing w:after="40" w:before="120"/>
      </w:pPr>
      <w:r>
        <w:rPr>
          <w:rFonts w:ascii="Arial" w:cs="Arial" w:eastAsia="Arial" w:hAnsi="Arial"/>
          <w:b/>
          <w:bCs/>
          <w:color w:val="00838F"/>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Tier I vs Tier II somatic variants</w:t>
      </w:r>
    </w:p>
    <w:p>
      <w:pPr>
        <w:pStyle w:val="ListParagraph"/>
        <w:numPr>
          <w:ilvl w:val="0"/>
          <w:numId w:val="2"/>
        </w:numPr>
        <w:spacing w:after="50" w:line="264"/>
      </w:pPr>
      <w:r>
        <w:rPr>
          <w:rFonts w:ascii="Arial" w:cs="Arial" w:eastAsia="Arial" w:hAnsi="Arial"/>
          <w:color w:val="33444F"/>
          <w:sz w:val="21"/>
          <w:szCs w:val="21"/>
        </w:rPr>
        <w:t xml:space="preserve">Pathogenic vs VUS classification</w:t>
      </w:r>
    </w:p>
    <w:p>
      <w:pPr>
        <w:pStyle w:val="ListParagraph"/>
        <w:numPr>
          <w:ilvl w:val="0"/>
          <w:numId w:val="2"/>
        </w:numPr>
        <w:spacing w:after="50" w:line="264"/>
      </w:pPr>
      <w:r>
        <w:rPr>
          <w:rFonts w:ascii="Arial" w:cs="Arial" w:eastAsia="Arial" w:hAnsi="Arial"/>
          <w:color w:val="33444F"/>
          <w:sz w:val="21"/>
          <w:szCs w:val="21"/>
        </w:rPr>
        <w:t xml:space="preserve">Germline incidental findings</w:t>
      </w:r>
    </w:p>
    <w:p>
      <w:pPr>
        <w:spacing w:after="40" w:before="120"/>
      </w:pPr>
      <w:r>
        <w:rPr>
          <w:rFonts w:ascii="Arial" w:cs="Arial" w:eastAsia="Arial" w:hAnsi="Arial"/>
          <w:b/>
          <w:bCs/>
          <w:color w:val="00838F"/>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Chem HbA1c Variants</w:t>
      </w:r>
      <w:r>
        <w:rPr>
          <w:rFonts w:ascii="Arial" w:cs="Arial" w:eastAsia="Arial" w:hAnsi="Arial"/>
          <w:i/>
          <w:iCs/>
          <w:color w:val="6B7B8A"/>
          <w:sz w:val="18"/>
          <w:szCs w:val="18"/>
        </w:rPr>
        <w:t xml:space="preserve">   (Chemistry / Chem_y1_2)</w:t>
      </w:r>
    </w:p>
    <w:p>
      <w:pPr>
        <w:pStyle w:val="ListParagraph"/>
        <w:numPr>
          <w:ilvl w:val="0"/>
          <w:numId w:val="3"/>
        </w:numPr>
        <w:spacing w:after="50" w:line="264"/>
      </w:pPr>
      <w:r>
        <w:rPr>
          <w:rFonts w:ascii="Arial" w:cs="Arial" w:eastAsia="Arial" w:hAnsi="Arial"/>
          <w:color w:val="33444F"/>
          <w:sz w:val="20"/>
          <w:szCs w:val="20"/>
        </w:rPr>
        <w:t xml:space="preserve">Chem Critical Value Reporting</w:t>
      </w:r>
      <w:r>
        <w:rPr>
          <w:rFonts w:ascii="Arial" w:cs="Arial" w:eastAsia="Arial" w:hAnsi="Arial"/>
          <w:i/>
          <w:iCs/>
          <w:color w:val="6B7B8A"/>
          <w:sz w:val="18"/>
          <w:szCs w:val="18"/>
        </w:rPr>
        <w:t xml:space="preserve">   (Chemistry / 2025 Chem Rotation - Year 1)</w:t>
      </w:r>
    </w:p>
    <w:p>
      <w:pPr>
        <w:pStyle w:val="Heading3"/>
        <w:spacing w:after="40" w:before="200"/>
      </w:pPr>
      <w:r>
        <w:rPr>
          <w:rFonts w:ascii="Arial" w:cs="Arial" w:eastAsia="Arial" w:hAnsi="Arial"/>
          <w:b/>
          <w:bCs/>
          <w:color w:val="00838F"/>
          <w:sz w:val="23"/>
          <w:szCs w:val="23"/>
        </w:rPr>
        <w:t xml:space="preserve">27.  </w:t>
      </w:r>
      <w:r>
        <w:rPr>
          <w:rFonts w:ascii="Arial" w:cs="Arial" w:eastAsia="Arial" w:hAnsi="Arial"/>
          <w:b/>
          <w:bCs/>
          <w:color w:val="1B2A38"/>
          <w:sz w:val="23"/>
          <w:szCs w:val="23"/>
        </w:rPr>
        <w:t xml:space="preserve">Molecular Testing in Hematologic Malignancy</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Molecular_03.pptx</w:t>
      </w:r>
    </w:p>
    <w:p>
      <w:pPr>
        <w:spacing w:after="40" w:before="120"/>
      </w:pPr>
      <w:r>
        <w:rPr>
          <w:rFonts w:ascii="Arial" w:cs="Arial" w:eastAsia="Arial" w:hAnsi="Arial"/>
          <w:b/>
          <w:bCs/>
          <w:color w:val="00838F"/>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Apply fusion and mutation testing in leukemia/lymphoma.</w:t>
      </w:r>
    </w:p>
    <w:p>
      <w:pPr>
        <w:pStyle w:val="ListParagraph"/>
        <w:numPr>
          <w:ilvl w:val="0"/>
          <w:numId w:val="2"/>
        </w:numPr>
        <w:spacing w:after="50" w:line="264"/>
      </w:pPr>
      <w:r>
        <w:rPr>
          <w:rFonts w:ascii="Arial" w:cs="Arial" w:eastAsia="Arial" w:hAnsi="Arial"/>
          <w:color w:val="33444F"/>
          <w:sz w:val="21"/>
          <w:szCs w:val="21"/>
        </w:rPr>
        <w:t xml:space="preserve">Use clonality assays appropriately.</w:t>
      </w:r>
    </w:p>
    <w:p>
      <w:pPr>
        <w:pStyle w:val="ListParagraph"/>
        <w:numPr>
          <w:ilvl w:val="0"/>
          <w:numId w:val="2"/>
        </w:numPr>
        <w:spacing w:after="50" w:line="264"/>
      </w:pPr>
      <w:r>
        <w:rPr>
          <w:rFonts w:ascii="Arial" w:cs="Arial" w:eastAsia="Arial" w:hAnsi="Arial"/>
          <w:color w:val="33444F"/>
          <w:sz w:val="21"/>
          <w:szCs w:val="21"/>
        </w:rPr>
        <w:t xml:space="preserve">Explain minimal/measurable residual disease (MRD).</w:t>
      </w:r>
    </w:p>
    <w:p>
      <w:pPr>
        <w:pStyle w:val="ListParagraph"/>
        <w:numPr>
          <w:ilvl w:val="0"/>
          <w:numId w:val="2"/>
        </w:numPr>
        <w:spacing w:after="50" w:line="264"/>
      </w:pPr>
      <w:r>
        <w:rPr>
          <w:rFonts w:ascii="Arial" w:cs="Arial" w:eastAsia="Arial" w:hAnsi="Arial"/>
          <w:color w:val="33444F"/>
          <w:sz w:val="21"/>
          <w:szCs w:val="21"/>
        </w:rPr>
        <w:t xml:space="preserve">Integrate molecular results with morphology and flow.</w:t>
      </w:r>
    </w:p>
    <w:p>
      <w:pPr>
        <w:pStyle w:val="ListParagraph"/>
        <w:numPr>
          <w:ilvl w:val="0"/>
          <w:numId w:val="2"/>
        </w:numPr>
        <w:spacing w:after="50" w:line="264"/>
      </w:pPr>
      <w:r>
        <w:rPr>
          <w:rFonts w:ascii="Arial" w:cs="Arial" w:eastAsia="Arial" w:hAnsi="Arial"/>
          <w:color w:val="33444F"/>
          <w:sz w:val="21"/>
          <w:szCs w:val="21"/>
        </w:rPr>
        <w:t xml:space="preserve">Recognize prognostic and predictive markers.</w:t>
      </w:r>
    </w:p>
    <w:p>
      <w:pPr>
        <w:spacing w:after="40" w:before="120"/>
      </w:pPr>
      <w:r>
        <w:rPr>
          <w:rFonts w:ascii="Arial" w:cs="Arial" w:eastAsia="Arial" w:hAnsi="Arial"/>
          <w:b/>
          <w:bCs/>
          <w:color w:val="00838F"/>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BCR-ABL1 and other fusions</w:t>
      </w:r>
    </w:p>
    <w:p>
      <w:pPr>
        <w:pStyle w:val="ListParagraph"/>
        <w:numPr>
          <w:ilvl w:val="0"/>
          <w:numId w:val="2"/>
        </w:numPr>
        <w:spacing w:after="50" w:line="264"/>
      </w:pPr>
      <w:r>
        <w:rPr>
          <w:rFonts w:ascii="Arial" w:cs="Arial" w:eastAsia="Arial" w:hAnsi="Arial"/>
          <w:color w:val="33444F"/>
          <w:sz w:val="21"/>
          <w:szCs w:val="21"/>
        </w:rPr>
        <w:t xml:space="preserve">Clonality (IGH/TCR rearrangement)</w:t>
      </w:r>
    </w:p>
    <w:p>
      <w:pPr>
        <w:pStyle w:val="ListParagraph"/>
        <w:numPr>
          <w:ilvl w:val="0"/>
          <w:numId w:val="2"/>
        </w:numPr>
        <w:spacing w:after="50" w:line="264"/>
      </w:pPr>
      <w:r>
        <w:rPr>
          <w:rFonts w:ascii="Arial" w:cs="Arial" w:eastAsia="Arial" w:hAnsi="Arial"/>
          <w:color w:val="33444F"/>
          <w:sz w:val="21"/>
          <w:szCs w:val="21"/>
        </w:rPr>
        <w:t xml:space="preserve">MRD concepts and methods</w:t>
      </w:r>
    </w:p>
    <w:p>
      <w:pPr>
        <w:pStyle w:val="ListParagraph"/>
        <w:numPr>
          <w:ilvl w:val="0"/>
          <w:numId w:val="2"/>
        </w:numPr>
        <w:spacing w:after="50" w:line="264"/>
      </w:pPr>
      <w:r>
        <w:rPr>
          <w:rFonts w:ascii="Arial" w:cs="Arial" w:eastAsia="Arial" w:hAnsi="Arial"/>
          <w:color w:val="33444F"/>
          <w:sz w:val="21"/>
          <w:szCs w:val="21"/>
        </w:rPr>
        <w:t xml:space="preserve">Integration with morphology and flow</w:t>
      </w:r>
    </w:p>
    <w:p>
      <w:pPr>
        <w:pStyle w:val="ListParagraph"/>
        <w:numPr>
          <w:ilvl w:val="0"/>
          <w:numId w:val="2"/>
        </w:numPr>
        <w:spacing w:after="50" w:line="264"/>
      </w:pPr>
      <w:r>
        <w:rPr>
          <w:rFonts w:ascii="Arial" w:cs="Arial" w:eastAsia="Arial" w:hAnsi="Arial"/>
          <w:color w:val="33444F"/>
          <w:sz w:val="21"/>
          <w:szCs w:val="21"/>
        </w:rPr>
        <w:t xml:space="preserve">Prognostic markers (FLT3, NPM1, etc.)</w:t>
      </w:r>
    </w:p>
    <w:p>
      <w:pPr>
        <w:pStyle w:val="ListParagraph"/>
        <w:numPr>
          <w:ilvl w:val="0"/>
          <w:numId w:val="2"/>
        </w:numPr>
        <w:spacing w:after="50" w:line="264"/>
      </w:pPr>
      <w:r>
        <w:rPr>
          <w:rFonts w:ascii="Arial" w:cs="Arial" w:eastAsia="Arial" w:hAnsi="Arial"/>
          <w:color w:val="33444F"/>
          <w:sz w:val="21"/>
          <w:szCs w:val="21"/>
        </w:rPr>
        <w:t xml:space="preserve">Sample adequacy for molecular testing</w:t>
      </w:r>
    </w:p>
    <w:p>
      <w:pPr>
        <w:spacing w:after="40" w:before="120"/>
      </w:pPr>
      <w:r>
        <w:rPr>
          <w:rFonts w:ascii="Arial" w:cs="Arial" w:eastAsia="Arial" w:hAnsi="Arial"/>
          <w:b/>
          <w:bCs/>
          <w:color w:val="00838F"/>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BCR-ABL1 monitoring and MRD</w:t>
      </w:r>
    </w:p>
    <w:p>
      <w:pPr>
        <w:pStyle w:val="ListParagraph"/>
        <w:numPr>
          <w:ilvl w:val="0"/>
          <w:numId w:val="2"/>
        </w:numPr>
        <w:spacing w:after="50" w:line="264"/>
      </w:pPr>
      <w:r>
        <w:rPr>
          <w:rFonts w:ascii="Arial" w:cs="Arial" w:eastAsia="Arial" w:hAnsi="Arial"/>
          <w:color w:val="33444F"/>
          <w:sz w:val="21"/>
          <w:szCs w:val="21"/>
        </w:rPr>
        <w:t xml:space="preserve">Clonality testing interpretation</w:t>
      </w:r>
    </w:p>
    <w:p>
      <w:pPr>
        <w:pStyle w:val="ListParagraph"/>
        <w:numPr>
          <w:ilvl w:val="0"/>
          <w:numId w:val="2"/>
        </w:numPr>
        <w:spacing w:after="50" w:line="264"/>
      </w:pPr>
      <w:r>
        <w:rPr>
          <w:rFonts w:ascii="Arial" w:cs="Arial" w:eastAsia="Arial" w:hAnsi="Arial"/>
          <w:color w:val="33444F"/>
          <w:sz w:val="21"/>
          <w:szCs w:val="21"/>
        </w:rPr>
        <w:t xml:space="preserve">Integrated diagnosis in acute leukemia</w:t>
      </w:r>
    </w:p>
    <w:p>
      <w:pPr>
        <w:spacing w:after="40" w:before="120"/>
      </w:pPr>
      <w:r>
        <w:rPr>
          <w:rFonts w:ascii="Arial" w:cs="Arial" w:eastAsia="Arial" w:hAnsi="Arial"/>
          <w:b/>
          <w:bCs/>
          <w:color w:val="00838F"/>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FusionPlex® Pan Solid Tumor FINAL</w:t>
      </w:r>
      <w:r>
        <w:rPr>
          <w:rFonts w:ascii="Arial" w:cs="Arial" w:eastAsia="Arial" w:hAnsi="Arial"/>
          <w:i/>
          <w:iCs/>
          <w:color w:val="6B7B8A"/>
          <w:sz w:val="18"/>
          <w:szCs w:val="18"/>
        </w:rPr>
        <w:t xml:space="preserve">   (Molecular Pathology / Grand Rounds)</w:t>
      </w:r>
    </w:p>
    <w:p>
      <w:pPr>
        <w:pStyle w:val="ListParagraph"/>
        <w:numPr>
          <w:ilvl w:val="0"/>
          <w:numId w:val="3"/>
        </w:numPr>
        <w:spacing w:after="50" w:line="264"/>
      </w:pPr>
      <w:r>
        <w:rPr>
          <w:rFonts w:ascii="Arial" w:cs="Arial" w:eastAsia="Arial" w:hAnsi="Arial"/>
          <w:color w:val="33444F"/>
          <w:sz w:val="20"/>
          <w:szCs w:val="20"/>
        </w:rPr>
        <w:t xml:space="preserve">Mol ELR MDSS Guide V3 Nov</w:t>
      </w:r>
      <w:r>
        <w:rPr>
          <w:rFonts w:ascii="Arial" w:cs="Arial" w:eastAsia="Arial" w:hAnsi="Arial"/>
          <w:i/>
          <w:iCs/>
          <w:color w:val="6B7B8A"/>
          <w:sz w:val="18"/>
          <w:szCs w:val="18"/>
        </w:rPr>
        <w:t xml:space="preserve">   (Molecular Pathology / Informatics)</w:t>
      </w:r>
    </w:p>
    <w:p>
      <w:pPr>
        <w:pStyle w:val="ListParagraph"/>
        <w:numPr>
          <w:ilvl w:val="0"/>
          <w:numId w:val="3"/>
        </w:numPr>
        <w:spacing w:after="50" w:line="264"/>
      </w:pPr>
      <w:r>
        <w:rPr>
          <w:rFonts w:ascii="Arial" w:cs="Arial" w:eastAsia="Arial" w:hAnsi="Arial"/>
          <w:color w:val="33444F"/>
          <w:sz w:val="20"/>
          <w:szCs w:val="20"/>
        </w:rPr>
        <w:t xml:space="preserve">Molecular Toxonomy of MDS</w:t>
      </w:r>
      <w:r>
        <w:rPr>
          <w:rFonts w:ascii="Arial" w:cs="Arial" w:eastAsia="Arial" w:hAnsi="Arial"/>
          <w:i/>
          <w:iCs/>
          <w:color w:val="6B7B8A"/>
          <w:sz w:val="18"/>
          <w:szCs w:val="18"/>
        </w:rPr>
        <w:t xml:space="preserve">   (Molecular Pathology / Molecular Journal club)</w:t>
      </w:r>
    </w:p>
    <w:p>
      <w:pPr>
        <w:pStyle w:val="ListParagraph"/>
        <w:numPr>
          <w:ilvl w:val="0"/>
          <w:numId w:val="3"/>
        </w:numPr>
        <w:spacing w:after="50" w:line="264"/>
      </w:pPr>
      <w:r>
        <w:rPr>
          <w:rFonts w:ascii="Arial" w:cs="Arial" w:eastAsia="Arial" w:hAnsi="Arial"/>
          <w:color w:val="33444F"/>
          <w:sz w:val="20"/>
          <w:szCs w:val="20"/>
        </w:rPr>
        <w:t xml:space="preserve">Molecular2 102716</w:t>
      </w:r>
      <w:r>
        <w:rPr>
          <w:rFonts w:ascii="Arial" w:cs="Arial" w:eastAsia="Arial" w:hAnsi="Arial"/>
          <w:i/>
          <w:iCs/>
          <w:color w:val="6B7B8A"/>
          <w:sz w:val="18"/>
          <w:szCs w:val="18"/>
        </w:rPr>
        <w:t xml:space="preserve">   (Molecular Pathology)</w:t>
      </w:r>
    </w:p>
    <w:p>
      <w:pPr>
        <w:pStyle w:val="ListParagraph"/>
        <w:numPr>
          <w:ilvl w:val="0"/>
          <w:numId w:val="3"/>
        </w:numPr>
        <w:spacing w:after="50" w:line="264"/>
      </w:pPr>
      <w:r>
        <w:rPr>
          <w:rFonts w:ascii="Arial" w:cs="Arial" w:eastAsia="Arial" w:hAnsi="Arial"/>
          <w:color w:val="33444F"/>
          <w:sz w:val="20"/>
          <w:szCs w:val="20"/>
        </w:rPr>
        <w:t xml:space="preserve">Thyroid Tumor Molecular Genetics</w:t>
      </w:r>
      <w:r>
        <w:rPr>
          <w:rFonts w:ascii="Arial" w:cs="Arial" w:eastAsia="Arial" w:hAnsi="Arial"/>
          <w:i/>
          <w:iCs/>
          <w:color w:val="6B7B8A"/>
          <w:sz w:val="18"/>
          <w:szCs w:val="18"/>
        </w:rPr>
        <w:t xml:space="preserve">   (Molecular Pathology)</w:t>
      </w:r>
    </w:p>
    <w:p>
      <w:pPr>
        <w:pStyle w:val="ListParagraph"/>
        <w:numPr>
          <w:ilvl w:val="0"/>
          <w:numId w:val="3"/>
        </w:numPr>
        <w:spacing w:after="50" w:line="264"/>
      </w:pPr>
      <w:r>
        <w:rPr>
          <w:rFonts w:ascii="Arial" w:cs="Arial" w:eastAsia="Arial" w:hAnsi="Arial"/>
          <w:color w:val="33444F"/>
          <w:sz w:val="20"/>
          <w:szCs w:val="20"/>
        </w:rPr>
        <w:t xml:space="preserve">Mol 3 Network final final 08</w:t>
      </w:r>
      <w:r>
        <w:rPr>
          <w:rFonts w:ascii="Arial" w:cs="Arial" w:eastAsia="Arial" w:hAnsi="Arial"/>
          <w:i/>
          <w:iCs/>
          <w:color w:val="6B7B8A"/>
          <w:sz w:val="18"/>
          <w:szCs w:val="18"/>
        </w:rPr>
        <w:t xml:space="preserve">   (Molecular Pathology / Informatics)</w:t>
      </w:r>
    </w:p>
    <w:p>
      <w:pPr>
        <w:pStyle w:val="Heading3"/>
        <w:spacing w:after="40" w:before="200"/>
      </w:pPr>
      <w:r>
        <w:rPr>
          <w:rFonts w:ascii="Arial" w:cs="Arial" w:eastAsia="Arial" w:hAnsi="Arial"/>
          <w:b/>
          <w:bCs/>
          <w:color w:val="00838F"/>
          <w:sz w:val="23"/>
          <w:szCs w:val="23"/>
        </w:rPr>
        <w:t xml:space="preserve">28.  </w:t>
      </w:r>
      <w:r>
        <w:rPr>
          <w:rFonts w:ascii="Arial" w:cs="Arial" w:eastAsia="Arial" w:hAnsi="Arial"/>
          <w:b/>
          <w:bCs/>
          <w:color w:val="1B2A38"/>
          <w:sz w:val="23"/>
          <w:szCs w:val="23"/>
        </w:rPr>
        <w:t xml:space="preserve">Solid Tumor and Germline Testing Fundamentals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Molecular_04.pptx</w:t>
      </w:r>
    </w:p>
    <w:p>
      <w:pPr>
        <w:spacing w:after="40" w:before="120"/>
      </w:pPr>
      <w:r>
        <w:rPr>
          <w:rFonts w:ascii="Arial" w:cs="Arial" w:eastAsia="Arial" w:hAnsi="Arial"/>
          <w:b/>
          <w:bCs/>
          <w:color w:val="00838F"/>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companion diagnostics and targeted therapy markers.</w:t>
      </w:r>
    </w:p>
    <w:p>
      <w:pPr>
        <w:pStyle w:val="ListParagraph"/>
        <w:numPr>
          <w:ilvl w:val="0"/>
          <w:numId w:val="2"/>
        </w:numPr>
        <w:spacing w:after="50" w:line="264"/>
      </w:pPr>
      <w:r>
        <w:rPr>
          <w:rFonts w:ascii="Arial" w:cs="Arial" w:eastAsia="Arial" w:hAnsi="Arial"/>
          <w:color w:val="33444F"/>
          <w:sz w:val="21"/>
          <w:szCs w:val="21"/>
        </w:rPr>
        <w:t xml:space="preserve">Outline hereditary cancer testing basics.</w:t>
      </w:r>
    </w:p>
    <w:p>
      <w:pPr>
        <w:pStyle w:val="ListParagraph"/>
        <w:numPr>
          <w:ilvl w:val="0"/>
          <w:numId w:val="2"/>
        </w:numPr>
        <w:spacing w:after="50" w:line="264"/>
      </w:pPr>
      <w:r>
        <w:rPr>
          <w:rFonts w:ascii="Arial" w:cs="Arial" w:eastAsia="Arial" w:hAnsi="Arial"/>
          <w:color w:val="33444F"/>
          <w:sz w:val="21"/>
          <w:szCs w:val="21"/>
        </w:rPr>
        <w:t xml:space="preserve">Address tissue adequacy and preanalytic concerns.</w:t>
      </w:r>
    </w:p>
    <w:p>
      <w:pPr>
        <w:pStyle w:val="ListParagraph"/>
        <w:numPr>
          <w:ilvl w:val="0"/>
          <w:numId w:val="2"/>
        </w:numPr>
        <w:spacing w:after="50" w:line="264"/>
      </w:pPr>
      <w:r>
        <w:rPr>
          <w:rFonts w:ascii="Arial" w:cs="Arial" w:eastAsia="Arial" w:hAnsi="Arial"/>
          <w:color w:val="33444F"/>
          <w:sz w:val="21"/>
          <w:szCs w:val="21"/>
        </w:rPr>
        <w:t xml:space="preserve">Distinguish tumor profiling from germline testing.</w:t>
      </w:r>
    </w:p>
    <w:p>
      <w:pPr>
        <w:pStyle w:val="ListParagraph"/>
        <w:numPr>
          <w:ilvl w:val="0"/>
          <w:numId w:val="2"/>
        </w:numPr>
        <w:spacing w:after="50" w:line="264"/>
      </w:pPr>
      <w:r>
        <w:rPr>
          <w:rFonts w:ascii="Arial" w:cs="Arial" w:eastAsia="Arial" w:hAnsi="Arial"/>
          <w:color w:val="33444F"/>
          <w:sz w:val="21"/>
          <w:szCs w:val="21"/>
        </w:rPr>
        <w:t xml:space="preserve">Introduce liquid biopsy concepts.</w:t>
      </w:r>
    </w:p>
    <w:p>
      <w:pPr>
        <w:spacing w:after="40" w:before="120"/>
      </w:pPr>
      <w:r>
        <w:rPr>
          <w:rFonts w:ascii="Arial" w:cs="Arial" w:eastAsia="Arial" w:hAnsi="Arial"/>
          <w:b/>
          <w:bCs/>
          <w:color w:val="00838F"/>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Companion diagnostics and targeted therapy</w:t>
      </w:r>
    </w:p>
    <w:p>
      <w:pPr>
        <w:pStyle w:val="ListParagraph"/>
        <w:numPr>
          <w:ilvl w:val="0"/>
          <w:numId w:val="2"/>
        </w:numPr>
        <w:spacing w:after="50" w:line="264"/>
      </w:pPr>
      <w:r>
        <w:rPr>
          <w:rFonts w:ascii="Arial" w:cs="Arial" w:eastAsia="Arial" w:hAnsi="Arial"/>
          <w:color w:val="33444F"/>
          <w:sz w:val="21"/>
          <w:szCs w:val="21"/>
        </w:rPr>
        <w:t xml:space="preserve">Hereditary cancer syndromes</w:t>
      </w:r>
    </w:p>
    <w:p>
      <w:pPr>
        <w:pStyle w:val="ListParagraph"/>
        <w:numPr>
          <w:ilvl w:val="0"/>
          <w:numId w:val="2"/>
        </w:numPr>
        <w:spacing w:after="50" w:line="264"/>
      </w:pPr>
      <w:r>
        <w:rPr>
          <w:rFonts w:ascii="Arial" w:cs="Arial" w:eastAsia="Arial" w:hAnsi="Arial"/>
          <w:color w:val="33444F"/>
          <w:sz w:val="21"/>
          <w:szCs w:val="21"/>
        </w:rPr>
        <w:t xml:space="preserve">Tissue adequacy, fixation, and tumor fraction</w:t>
      </w:r>
    </w:p>
    <w:p>
      <w:pPr>
        <w:pStyle w:val="ListParagraph"/>
        <w:numPr>
          <w:ilvl w:val="0"/>
          <w:numId w:val="2"/>
        </w:numPr>
        <w:spacing w:after="50" w:line="264"/>
      </w:pPr>
      <w:r>
        <w:rPr>
          <w:rFonts w:ascii="Arial" w:cs="Arial" w:eastAsia="Arial" w:hAnsi="Arial"/>
          <w:color w:val="33444F"/>
          <w:sz w:val="21"/>
          <w:szCs w:val="21"/>
        </w:rPr>
        <w:t xml:space="preserve">Tumor profiling vs germline testing</w:t>
      </w:r>
    </w:p>
    <w:p>
      <w:pPr>
        <w:pStyle w:val="ListParagraph"/>
        <w:numPr>
          <w:ilvl w:val="0"/>
          <w:numId w:val="2"/>
        </w:numPr>
        <w:spacing w:after="50" w:line="264"/>
      </w:pPr>
      <w:r>
        <w:rPr>
          <w:rFonts w:ascii="Arial" w:cs="Arial" w:eastAsia="Arial" w:hAnsi="Arial"/>
          <w:color w:val="33444F"/>
          <w:sz w:val="21"/>
          <w:szCs w:val="21"/>
        </w:rPr>
        <w:t xml:space="preserve">Liquid biopsy / circulating tumor DNA</w:t>
      </w:r>
    </w:p>
    <w:p>
      <w:pPr>
        <w:pStyle w:val="ListParagraph"/>
        <w:numPr>
          <w:ilvl w:val="0"/>
          <w:numId w:val="2"/>
        </w:numPr>
        <w:spacing w:after="50" w:line="264"/>
      </w:pPr>
      <w:r>
        <w:rPr>
          <w:rFonts w:ascii="Arial" w:cs="Arial" w:eastAsia="Arial" w:hAnsi="Arial"/>
          <w:color w:val="33444F"/>
          <w:sz w:val="21"/>
          <w:szCs w:val="21"/>
        </w:rPr>
        <w:t xml:space="preserve">Microsatellite instability and TMB</w:t>
      </w:r>
    </w:p>
    <w:p>
      <w:pPr>
        <w:spacing w:after="40" w:before="120"/>
      </w:pPr>
      <w:r>
        <w:rPr>
          <w:rFonts w:ascii="Arial" w:cs="Arial" w:eastAsia="Arial" w:hAnsi="Arial"/>
          <w:b/>
          <w:bCs/>
          <w:color w:val="00838F"/>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Companion diagnostic concept</w:t>
      </w:r>
    </w:p>
    <w:p>
      <w:pPr>
        <w:pStyle w:val="ListParagraph"/>
        <w:numPr>
          <w:ilvl w:val="0"/>
          <w:numId w:val="2"/>
        </w:numPr>
        <w:spacing w:after="50" w:line="264"/>
      </w:pPr>
      <w:r>
        <w:rPr>
          <w:rFonts w:ascii="Arial" w:cs="Arial" w:eastAsia="Arial" w:hAnsi="Arial"/>
          <w:color w:val="33444F"/>
          <w:sz w:val="21"/>
          <w:szCs w:val="21"/>
        </w:rPr>
        <w:t xml:space="preserve">Tissue adequacy for NGS</w:t>
      </w:r>
    </w:p>
    <w:p>
      <w:pPr>
        <w:pStyle w:val="ListParagraph"/>
        <w:numPr>
          <w:ilvl w:val="0"/>
          <w:numId w:val="2"/>
        </w:numPr>
        <w:spacing w:after="50" w:line="264"/>
      </w:pPr>
      <w:r>
        <w:rPr>
          <w:rFonts w:ascii="Arial" w:cs="Arial" w:eastAsia="Arial" w:hAnsi="Arial"/>
          <w:color w:val="33444F"/>
          <w:sz w:val="21"/>
          <w:szCs w:val="21"/>
        </w:rPr>
        <w:t xml:space="preserve">MSI / mismatch-repair testing</w:t>
      </w:r>
    </w:p>
    <w:p>
      <w:pPr>
        <w:spacing w:after="40" w:before="120"/>
      </w:pPr>
      <w:r>
        <w:rPr>
          <w:rFonts w:ascii="Arial" w:cs="Arial" w:eastAsia="Arial" w:hAnsi="Arial"/>
          <w:b/>
          <w:bCs/>
          <w:color w:val="00838F"/>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Thyroid Tumor Molecular Genetics</w:t>
      </w:r>
      <w:r>
        <w:rPr>
          <w:rFonts w:ascii="Arial" w:cs="Arial" w:eastAsia="Arial" w:hAnsi="Arial"/>
          <w:i/>
          <w:iCs/>
          <w:color w:val="6B7B8A"/>
          <w:sz w:val="18"/>
          <w:szCs w:val="18"/>
        </w:rPr>
        <w:t xml:space="preserve">   (Molecular Pathology)</w:t>
      </w:r>
    </w:p>
    <w:p>
      <w:pPr>
        <w:pStyle w:val="ListParagraph"/>
        <w:numPr>
          <w:ilvl w:val="0"/>
          <w:numId w:val="3"/>
        </w:numPr>
        <w:spacing w:after="50" w:line="264"/>
      </w:pPr>
      <w:r>
        <w:rPr>
          <w:rFonts w:ascii="Arial" w:cs="Arial" w:eastAsia="Arial" w:hAnsi="Arial"/>
          <w:color w:val="33444F"/>
          <w:sz w:val="20"/>
          <w:szCs w:val="20"/>
        </w:rPr>
        <w:t xml:space="preserve">FusionPlex® Pan Solid Tumor FINAL</w:t>
      </w:r>
      <w:r>
        <w:rPr>
          <w:rFonts w:ascii="Arial" w:cs="Arial" w:eastAsia="Arial" w:hAnsi="Arial"/>
          <w:i/>
          <w:iCs/>
          <w:color w:val="6B7B8A"/>
          <w:sz w:val="18"/>
          <w:szCs w:val="18"/>
        </w:rPr>
        <w:t xml:space="preserve">   (Molecular Pathology / Grand Rounds)</w:t>
      </w:r>
    </w:p>
    <w:p>
      <w:pPr>
        <w:pStyle w:val="ListParagraph"/>
        <w:numPr>
          <w:ilvl w:val="0"/>
          <w:numId w:val="3"/>
        </w:numPr>
        <w:spacing w:after="50" w:line="264"/>
      </w:pPr>
      <w:r>
        <w:rPr>
          <w:rFonts w:ascii="Arial" w:cs="Arial" w:eastAsia="Arial" w:hAnsi="Arial"/>
          <w:color w:val="33444F"/>
          <w:sz w:val="20"/>
          <w:szCs w:val="20"/>
        </w:rPr>
        <w:t xml:space="preserve">Heme TB 2</w:t>
      </w:r>
      <w:r>
        <w:rPr>
          <w:rFonts w:ascii="Arial" w:cs="Arial" w:eastAsia="Arial" w:hAnsi="Arial"/>
          <w:i/>
          <w:iCs/>
          <w:color w:val="6B7B8A"/>
          <w:sz w:val="18"/>
          <w:szCs w:val="18"/>
        </w:rPr>
        <w:t xml:space="preserve">   (Hematopathology / Lymphoma Tumor Board)</w:t>
      </w:r>
    </w:p>
    <w:p>
      <w:pPr>
        <w:pStyle w:val="ListParagraph"/>
        <w:numPr>
          <w:ilvl w:val="0"/>
          <w:numId w:val="3"/>
        </w:numPr>
        <w:spacing w:after="50" w:line="264"/>
      </w:pPr>
      <w:r>
        <w:rPr>
          <w:rFonts w:ascii="Arial" w:cs="Arial" w:eastAsia="Arial" w:hAnsi="Arial"/>
          <w:color w:val="33444F"/>
          <w:sz w:val="20"/>
          <w:szCs w:val="20"/>
        </w:rPr>
        <w:t xml:space="preserve">Heme TB TB</w:t>
      </w:r>
      <w:r>
        <w:rPr>
          <w:rFonts w:ascii="Arial" w:cs="Arial" w:eastAsia="Arial" w:hAnsi="Arial"/>
          <w:i/>
          <w:iCs/>
          <w:color w:val="6B7B8A"/>
          <w:sz w:val="18"/>
          <w:szCs w:val="18"/>
        </w:rPr>
        <w:t xml:space="preserve">   (Hematopathology / Lymphoma Tumor Board)</w:t>
      </w:r>
    </w:p>
    <w:p>
      <w:pPr>
        <w:pStyle w:val="ListParagraph"/>
        <w:numPr>
          <w:ilvl w:val="0"/>
          <w:numId w:val="3"/>
        </w:numPr>
        <w:spacing w:after="50" w:line="264"/>
      </w:pPr>
      <w:r>
        <w:rPr>
          <w:rFonts w:ascii="Arial" w:cs="Arial" w:eastAsia="Arial" w:hAnsi="Arial"/>
          <w:color w:val="33444F"/>
          <w:sz w:val="20"/>
          <w:szCs w:val="20"/>
        </w:rPr>
        <w:t xml:space="preserve">Heme TB TB</w:t>
      </w:r>
      <w:r>
        <w:rPr>
          <w:rFonts w:ascii="Arial" w:cs="Arial" w:eastAsia="Arial" w:hAnsi="Arial"/>
          <w:i/>
          <w:iCs/>
          <w:color w:val="6B7B8A"/>
          <w:sz w:val="18"/>
          <w:szCs w:val="18"/>
        </w:rPr>
        <w:t xml:space="preserve">   (Hematopathology / Lymphoma Tumor Board)</w:t>
      </w:r>
    </w:p>
    <w:p>
      <w:pPr>
        <w:pStyle w:val="ListParagraph"/>
        <w:numPr>
          <w:ilvl w:val="0"/>
          <w:numId w:val="3"/>
        </w:numPr>
        <w:spacing w:after="50" w:line="264"/>
      </w:pPr>
      <w:r>
        <w:rPr>
          <w:rFonts w:ascii="Arial" w:cs="Arial" w:eastAsia="Arial" w:hAnsi="Arial"/>
          <w:color w:val="33444F"/>
          <w:sz w:val="20"/>
          <w:szCs w:val="20"/>
        </w:rPr>
        <w:t xml:space="preserve">Heme TB TB</w:t>
      </w:r>
      <w:r>
        <w:rPr>
          <w:rFonts w:ascii="Arial" w:cs="Arial" w:eastAsia="Arial" w:hAnsi="Arial"/>
          <w:i/>
          <w:iCs/>
          <w:color w:val="6B7B8A"/>
          <w:sz w:val="18"/>
          <w:szCs w:val="18"/>
        </w:rPr>
        <w:t xml:space="preserve">   (Hematopathology / Lymphoma Tumor Board)</w:t>
      </w:r>
    </w:p>
    <w:p>
      <w:pPr>
        <w:pStyle w:val="Heading3"/>
        <w:spacing w:after="40" w:before="200"/>
      </w:pPr>
      <w:r>
        <w:rPr>
          <w:rFonts w:ascii="Arial" w:cs="Arial" w:eastAsia="Arial" w:hAnsi="Arial"/>
          <w:b/>
          <w:bCs/>
          <w:color w:val="00838F"/>
          <w:sz w:val="23"/>
          <w:szCs w:val="23"/>
        </w:rPr>
        <w:t xml:space="preserve">29.  </w:t>
      </w:r>
      <w:r>
        <w:rPr>
          <w:rFonts w:ascii="Arial" w:cs="Arial" w:eastAsia="Arial" w:hAnsi="Arial"/>
          <w:b/>
          <w:bCs/>
          <w:color w:val="1B2A38"/>
          <w:sz w:val="23"/>
          <w:szCs w:val="23"/>
        </w:rPr>
        <w:t xml:space="preserve">Validation, Quality Control, and Bioinformatics Essentials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Molecular_05.pptx</w:t>
      </w:r>
    </w:p>
    <w:p>
      <w:pPr>
        <w:spacing w:after="40" w:before="120"/>
      </w:pPr>
      <w:r>
        <w:rPr>
          <w:rFonts w:ascii="Arial" w:cs="Arial" w:eastAsia="Arial" w:hAnsi="Arial"/>
          <w:b/>
          <w:bCs/>
          <w:color w:val="00838F"/>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Define assay performance characteristics for molecular tests.</w:t>
      </w:r>
    </w:p>
    <w:p>
      <w:pPr>
        <w:pStyle w:val="ListParagraph"/>
        <w:numPr>
          <w:ilvl w:val="0"/>
          <w:numId w:val="2"/>
        </w:numPr>
        <w:spacing w:after="50" w:line="264"/>
      </w:pPr>
      <w:r>
        <w:rPr>
          <w:rFonts w:ascii="Arial" w:cs="Arial" w:eastAsia="Arial" w:hAnsi="Arial"/>
          <w:color w:val="33444F"/>
          <w:sz w:val="21"/>
          <w:szCs w:val="21"/>
        </w:rPr>
        <w:t xml:space="preserve">Apply contamination-control practices.</w:t>
      </w:r>
    </w:p>
    <w:p>
      <w:pPr>
        <w:pStyle w:val="ListParagraph"/>
        <w:numPr>
          <w:ilvl w:val="0"/>
          <w:numId w:val="2"/>
        </w:numPr>
        <w:spacing w:after="50" w:line="264"/>
      </w:pPr>
      <w:r>
        <w:rPr>
          <w:rFonts w:ascii="Arial" w:cs="Arial" w:eastAsia="Arial" w:hAnsi="Arial"/>
          <w:color w:val="33444F"/>
          <w:sz w:val="21"/>
          <w:szCs w:val="21"/>
        </w:rPr>
        <w:t xml:space="preserve">Build working awareness of the bioinformatics pipeline.</w:t>
      </w:r>
    </w:p>
    <w:p>
      <w:pPr>
        <w:pStyle w:val="ListParagraph"/>
        <w:numPr>
          <w:ilvl w:val="0"/>
          <w:numId w:val="2"/>
        </w:numPr>
        <w:spacing w:after="50" w:line="264"/>
      </w:pPr>
      <w:r>
        <w:rPr>
          <w:rFonts w:ascii="Arial" w:cs="Arial" w:eastAsia="Arial" w:hAnsi="Arial"/>
          <w:color w:val="33444F"/>
          <w:sz w:val="21"/>
          <w:szCs w:val="21"/>
        </w:rPr>
        <w:t xml:space="preserve">Recognize sign-out pitfalls.</w:t>
      </w:r>
    </w:p>
    <w:p>
      <w:pPr>
        <w:pStyle w:val="ListParagraph"/>
        <w:numPr>
          <w:ilvl w:val="0"/>
          <w:numId w:val="2"/>
        </w:numPr>
        <w:spacing w:after="50" w:line="264"/>
      </w:pPr>
      <w:r>
        <w:rPr>
          <w:rFonts w:ascii="Arial" w:cs="Arial" w:eastAsia="Arial" w:hAnsi="Arial"/>
          <w:color w:val="33444F"/>
          <w:sz w:val="21"/>
          <w:szCs w:val="21"/>
        </w:rPr>
        <w:t xml:space="preserve">Outline proficiency testing for molecular assays.</w:t>
      </w:r>
    </w:p>
    <w:p>
      <w:pPr>
        <w:spacing w:after="40" w:before="120"/>
      </w:pPr>
      <w:r>
        <w:rPr>
          <w:rFonts w:ascii="Arial" w:cs="Arial" w:eastAsia="Arial" w:hAnsi="Arial"/>
          <w:b/>
          <w:bCs/>
          <w:color w:val="00838F"/>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Analytic validation: accuracy, precision, LOD</w:t>
      </w:r>
    </w:p>
    <w:p>
      <w:pPr>
        <w:pStyle w:val="ListParagraph"/>
        <w:numPr>
          <w:ilvl w:val="0"/>
          <w:numId w:val="2"/>
        </w:numPr>
        <w:spacing w:after="50" w:line="264"/>
      </w:pPr>
      <w:r>
        <w:rPr>
          <w:rFonts w:ascii="Arial" w:cs="Arial" w:eastAsia="Arial" w:hAnsi="Arial"/>
          <w:color w:val="33444F"/>
          <w:sz w:val="21"/>
          <w:szCs w:val="21"/>
        </w:rPr>
        <w:t xml:space="preserve">Contamination control and amplicon carryover</w:t>
      </w:r>
    </w:p>
    <w:p>
      <w:pPr>
        <w:pStyle w:val="ListParagraph"/>
        <w:numPr>
          <w:ilvl w:val="0"/>
          <w:numId w:val="2"/>
        </w:numPr>
        <w:spacing w:after="50" w:line="264"/>
      </w:pPr>
      <w:r>
        <w:rPr>
          <w:rFonts w:ascii="Arial" w:cs="Arial" w:eastAsia="Arial" w:hAnsi="Arial"/>
          <w:color w:val="33444F"/>
          <w:sz w:val="21"/>
          <w:szCs w:val="21"/>
        </w:rPr>
        <w:t xml:space="preserve">Bioinformatics pipeline awareness</w:t>
      </w:r>
    </w:p>
    <w:p>
      <w:pPr>
        <w:pStyle w:val="ListParagraph"/>
        <w:numPr>
          <w:ilvl w:val="0"/>
          <w:numId w:val="2"/>
        </w:numPr>
        <w:spacing w:after="50" w:line="264"/>
      </w:pPr>
      <w:r>
        <w:rPr>
          <w:rFonts w:ascii="Arial" w:cs="Arial" w:eastAsia="Arial" w:hAnsi="Arial"/>
          <w:color w:val="33444F"/>
          <w:sz w:val="21"/>
          <w:szCs w:val="21"/>
        </w:rPr>
        <w:t xml:space="preserve">Coverage, depth, and quality metrics</w:t>
      </w:r>
    </w:p>
    <w:p>
      <w:pPr>
        <w:pStyle w:val="ListParagraph"/>
        <w:numPr>
          <w:ilvl w:val="0"/>
          <w:numId w:val="2"/>
        </w:numPr>
        <w:spacing w:after="50" w:line="264"/>
      </w:pPr>
      <w:r>
        <w:rPr>
          <w:rFonts w:ascii="Arial" w:cs="Arial" w:eastAsia="Arial" w:hAnsi="Arial"/>
          <w:color w:val="33444F"/>
          <w:sz w:val="21"/>
          <w:szCs w:val="21"/>
        </w:rPr>
        <w:t xml:space="preserve">Sign-out pitfalls and artifact recognition</w:t>
      </w:r>
    </w:p>
    <w:p>
      <w:pPr>
        <w:pStyle w:val="ListParagraph"/>
        <w:numPr>
          <w:ilvl w:val="0"/>
          <w:numId w:val="2"/>
        </w:numPr>
        <w:spacing w:after="50" w:line="264"/>
      </w:pPr>
      <w:r>
        <w:rPr>
          <w:rFonts w:ascii="Arial" w:cs="Arial" w:eastAsia="Arial" w:hAnsi="Arial"/>
          <w:color w:val="33444F"/>
          <w:sz w:val="21"/>
          <w:szCs w:val="21"/>
        </w:rPr>
        <w:t xml:space="preserve">Proficiency testing and QC</w:t>
      </w:r>
    </w:p>
    <w:p>
      <w:pPr>
        <w:spacing w:after="40" w:before="120"/>
      </w:pPr>
      <w:r>
        <w:rPr>
          <w:rFonts w:ascii="Arial" w:cs="Arial" w:eastAsia="Arial" w:hAnsi="Arial"/>
          <w:b/>
          <w:bCs/>
          <w:color w:val="00838F"/>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Limit of detection and validation</w:t>
      </w:r>
    </w:p>
    <w:p>
      <w:pPr>
        <w:pStyle w:val="ListParagraph"/>
        <w:numPr>
          <w:ilvl w:val="0"/>
          <w:numId w:val="2"/>
        </w:numPr>
        <w:spacing w:after="50" w:line="264"/>
      </w:pPr>
      <w:r>
        <w:rPr>
          <w:rFonts w:ascii="Arial" w:cs="Arial" w:eastAsia="Arial" w:hAnsi="Arial"/>
          <w:color w:val="33444F"/>
          <w:sz w:val="21"/>
          <w:szCs w:val="21"/>
        </w:rPr>
        <w:t xml:space="preserve">Sequencing artifacts vs true variants</w:t>
      </w:r>
    </w:p>
    <w:p>
      <w:pPr>
        <w:pStyle w:val="ListParagraph"/>
        <w:numPr>
          <w:ilvl w:val="0"/>
          <w:numId w:val="2"/>
        </w:numPr>
        <w:spacing w:after="50" w:line="264"/>
      </w:pPr>
      <w:r>
        <w:rPr>
          <w:rFonts w:ascii="Arial" w:cs="Arial" w:eastAsia="Arial" w:hAnsi="Arial"/>
          <w:color w:val="33444F"/>
          <w:sz w:val="21"/>
          <w:szCs w:val="21"/>
        </w:rPr>
        <w:t xml:space="preserve">Coverage / depth interpretation</w:t>
      </w:r>
    </w:p>
    <w:p>
      <w:pPr>
        <w:spacing w:after="40" w:before="120"/>
      </w:pPr>
      <w:r>
        <w:rPr>
          <w:rFonts w:ascii="Arial" w:cs="Arial" w:eastAsia="Arial" w:hAnsi="Arial"/>
          <w:b/>
          <w:bCs/>
          <w:color w:val="00838F"/>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Micro Verification and Validation</w:t>
      </w:r>
      <w:r>
        <w:rPr>
          <w:rFonts w:ascii="Arial" w:cs="Arial" w:eastAsia="Arial" w:hAnsi="Arial"/>
          <w:i/>
          <w:iCs/>
          <w:color w:val="6B7B8A"/>
          <w:sz w:val="18"/>
          <w:szCs w:val="18"/>
        </w:rPr>
        <w:t xml:space="preserve">   (Microbiology)</w:t>
      </w:r>
    </w:p>
    <w:p>
      <w:pPr>
        <w:pStyle w:val="ListParagraph"/>
        <w:numPr>
          <w:ilvl w:val="0"/>
          <w:numId w:val="3"/>
        </w:numPr>
        <w:spacing w:after="50" w:line="264"/>
      </w:pPr>
      <w:r>
        <w:rPr>
          <w:rFonts w:ascii="Arial" w:cs="Arial" w:eastAsia="Arial" w:hAnsi="Arial"/>
          <w:color w:val="33444F"/>
          <w:sz w:val="20"/>
          <w:szCs w:val="20"/>
        </w:rPr>
        <w:t xml:space="preserve">Chem validation of busulfan</w:t>
      </w:r>
      <w:r>
        <w:rPr>
          <w:rFonts w:ascii="Arial" w:cs="Arial" w:eastAsia="Arial" w:hAnsi="Arial"/>
          <w:i/>
          <w:iCs/>
          <w:color w:val="6B7B8A"/>
          <w:sz w:val="18"/>
          <w:szCs w:val="18"/>
        </w:rPr>
        <w:t xml:space="preserve">   (Chemistry / 2025 Chem Rotation - Year 2)</w:t>
      </w:r>
    </w:p>
    <w:p>
      <w:pPr>
        <w:pStyle w:val="ListParagraph"/>
        <w:numPr>
          <w:ilvl w:val="0"/>
          <w:numId w:val="3"/>
        </w:numPr>
        <w:spacing w:after="50" w:line="264"/>
      </w:pPr>
      <w:r>
        <w:rPr>
          <w:rFonts w:ascii="Arial" w:cs="Arial" w:eastAsia="Arial" w:hAnsi="Arial"/>
          <w:color w:val="33444F"/>
          <w:sz w:val="20"/>
          <w:szCs w:val="20"/>
        </w:rPr>
        <w:t xml:space="preserve">Method Validation intro 092017 ref range 6</w:t>
      </w:r>
      <w:r>
        <w:rPr>
          <w:rFonts w:ascii="Arial" w:cs="Arial" w:eastAsia="Arial" w:hAnsi="Arial"/>
          <w:i/>
          <w:iCs/>
          <w:color w:val="6B7B8A"/>
          <w:sz w:val="18"/>
          <w:szCs w:val="18"/>
        </w:rPr>
        <w:t xml:space="preserve">   (Chemistry / Chem_rotation_y1_2)</w:t>
      </w:r>
    </w:p>
    <w:p>
      <w:pPr>
        <w:pStyle w:val="ListParagraph"/>
        <w:numPr>
          <w:ilvl w:val="0"/>
          <w:numId w:val="3"/>
        </w:numPr>
        <w:spacing w:after="50" w:line="264"/>
      </w:pPr>
      <w:r>
        <w:rPr>
          <w:rFonts w:ascii="Arial" w:cs="Arial" w:eastAsia="Arial" w:hAnsi="Arial"/>
          <w:color w:val="33444F"/>
          <w:sz w:val="20"/>
          <w:szCs w:val="20"/>
        </w:rPr>
        <w:t xml:space="preserve">Chem Quality control basics intro pgy1</w:t>
      </w:r>
      <w:r>
        <w:rPr>
          <w:rFonts w:ascii="Arial" w:cs="Arial" w:eastAsia="Arial" w:hAnsi="Arial"/>
          <w:i/>
          <w:iCs/>
          <w:color w:val="6B7B8A"/>
          <w:sz w:val="18"/>
          <w:szCs w:val="18"/>
        </w:rPr>
        <w:t xml:space="preserve">   (Chemistry / 2023 Chem Rotation - Year 1)</w:t>
      </w:r>
    </w:p>
    <w:p>
      <w:pPr>
        <w:pStyle w:val="ListParagraph"/>
        <w:numPr>
          <w:ilvl w:val="0"/>
          <w:numId w:val="3"/>
        </w:numPr>
        <w:spacing w:after="50" w:line="264"/>
      </w:pPr>
      <w:r>
        <w:rPr>
          <w:rFonts w:ascii="Arial" w:cs="Arial" w:eastAsia="Arial" w:hAnsi="Arial"/>
          <w:color w:val="33444F"/>
          <w:sz w:val="20"/>
          <w:szCs w:val="20"/>
        </w:rPr>
        <w:t xml:space="preserve">Chem Method Validation intro 092017 ref range 6</w:t>
      </w:r>
      <w:r>
        <w:rPr>
          <w:rFonts w:ascii="Arial" w:cs="Arial" w:eastAsia="Arial" w:hAnsi="Arial"/>
          <w:i/>
          <w:iCs/>
          <w:color w:val="6B7B8A"/>
          <w:sz w:val="18"/>
          <w:szCs w:val="18"/>
        </w:rPr>
        <w:t xml:space="preserve">   (Chemistry / 2017 Chem Rotation-Year 2)</w:t>
      </w:r>
    </w:p>
    <w:p>
      <w:pPr>
        <w:pStyle w:val="ListParagraph"/>
        <w:numPr>
          <w:ilvl w:val="0"/>
          <w:numId w:val="3"/>
        </w:numPr>
        <w:spacing w:after="50" w:line="264"/>
      </w:pPr>
      <w:r>
        <w:rPr>
          <w:rFonts w:ascii="Arial" w:cs="Arial" w:eastAsia="Arial" w:hAnsi="Arial"/>
          <w:color w:val="33444F"/>
          <w:sz w:val="20"/>
          <w:szCs w:val="20"/>
        </w:rPr>
        <w:t xml:space="preserve">Chem LABORATORY QUALITY CONTROL expanded Feldkamp 012016 final</w:t>
      </w:r>
      <w:r>
        <w:rPr>
          <w:rFonts w:ascii="Arial" w:cs="Arial" w:eastAsia="Arial" w:hAnsi="Arial"/>
          <w:i/>
          <w:iCs/>
          <w:color w:val="6B7B8A"/>
          <w:sz w:val="18"/>
          <w:szCs w:val="18"/>
        </w:rPr>
        <w:t xml:space="preserve">   (Chemistry / 2017 Chem Rotation-Year 2)</w:t>
      </w:r>
    </w:p>
    <w:p>
      <w:r>
        <w:br w:type="page"/>
      </w:r>
    </w:p>
    <w:p>
      <w:pPr>
        <w:pStyle w:val="Heading1"/>
        <w:spacing w:after="60" w:before="60"/>
      </w:pPr>
      <w:r>
        <w:rPr>
          <w:rFonts w:ascii="Arial" w:cs="Arial" w:eastAsia="Arial" w:hAnsi="Arial"/>
          <w:b/>
          <w:bCs/>
          <w:color w:val="455A64"/>
          <w:sz w:val="30"/>
          <w:szCs w:val="30"/>
        </w:rPr>
        <w:t xml:space="preserve">Block 7  ·  Laboratory Management, Informatics, Quality &amp; Safety</w:t>
      </w:r>
    </w:p>
    <w:p>
      <w:pPr>
        <w:pBdr>
          <w:bottom w:val="single" w:color="455A64" w:sz="8" w:space="6"/>
        </w:pBdr>
        <w:spacing w:after="120"/>
      </w:pPr>
      <w:r>
        <w:rPr>
          <w:rFonts w:ascii="Arial" w:cs="Arial" w:eastAsia="Arial" w:hAnsi="Arial"/>
          <w:color w:val="6B7B8A"/>
          <w:spacing w:val="8"/>
          <w:sz w:val="19"/>
          <w:szCs w:val="19"/>
        </w:rPr>
        <w:t xml:space="preserve">5 lectures</w:t>
      </w:r>
    </w:p>
    <w:p>
      <w:pPr>
        <w:pStyle w:val="Heading3"/>
        <w:spacing w:after="40" w:before="200"/>
      </w:pPr>
      <w:r>
        <w:rPr>
          <w:rFonts w:ascii="Arial" w:cs="Arial" w:eastAsia="Arial" w:hAnsi="Arial"/>
          <w:b/>
          <w:bCs/>
          <w:color w:val="455A64"/>
          <w:sz w:val="23"/>
          <w:szCs w:val="23"/>
        </w:rPr>
        <w:t xml:space="preserve">30.  </w:t>
      </w:r>
      <w:r>
        <w:rPr>
          <w:rFonts w:ascii="Arial" w:cs="Arial" w:eastAsia="Arial" w:hAnsi="Arial"/>
          <w:b/>
          <w:bCs/>
          <w:color w:val="1B2A38"/>
          <w:sz w:val="23"/>
          <w:szCs w:val="23"/>
        </w:rPr>
        <w:t xml:space="preserve">Quality Management Systems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LabMgmt_01.pptx</w:t>
      </w:r>
    </w:p>
    <w:p>
      <w:pPr>
        <w:spacing w:after="40" w:before="120"/>
      </w:pPr>
      <w:r>
        <w:rPr>
          <w:rFonts w:ascii="Arial" w:cs="Arial" w:eastAsia="Arial" w:hAnsi="Arial"/>
          <w:b/>
          <w:bCs/>
          <w:color w:val="455A64"/>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Differentiate QC and QA within a quality management system.</w:t>
      </w:r>
    </w:p>
    <w:p>
      <w:pPr>
        <w:pStyle w:val="ListParagraph"/>
        <w:numPr>
          <w:ilvl w:val="0"/>
          <w:numId w:val="2"/>
        </w:numPr>
        <w:spacing w:after="50" w:line="264"/>
      </w:pPr>
      <w:r>
        <w:rPr>
          <w:rFonts w:ascii="Arial" w:cs="Arial" w:eastAsia="Arial" w:hAnsi="Arial"/>
          <w:color w:val="33444F"/>
          <w:sz w:val="21"/>
          <w:szCs w:val="21"/>
        </w:rPr>
        <w:t xml:space="preserve">Apply Westgard rules and Levey–Jennings interpretation.</w:t>
      </w:r>
    </w:p>
    <w:p>
      <w:pPr>
        <w:pStyle w:val="ListParagraph"/>
        <w:numPr>
          <w:ilvl w:val="0"/>
          <w:numId w:val="2"/>
        </w:numPr>
        <w:spacing w:after="50" w:line="264"/>
      </w:pPr>
      <w:r>
        <w:rPr>
          <w:rFonts w:ascii="Arial" w:cs="Arial" w:eastAsia="Arial" w:hAnsi="Arial"/>
          <w:color w:val="33444F"/>
          <w:sz w:val="21"/>
          <w:szCs w:val="21"/>
        </w:rPr>
        <w:t xml:space="preserve">Use quality indicators and proficiency testing.</w:t>
      </w:r>
    </w:p>
    <w:p>
      <w:pPr>
        <w:pStyle w:val="ListParagraph"/>
        <w:numPr>
          <w:ilvl w:val="0"/>
          <w:numId w:val="2"/>
        </w:numPr>
        <w:spacing w:after="50" w:line="264"/>
      </w:pPr>
      <w:r>
        <w:rPr>
          <w:rFonts w:ascii="Arial" w:cs="Arial" w:eastAsia="Arial" w:hAnsi="Arial"/>
          <w:color w:val="33444F"/>
          <w:sz w:val="21"/>
          <w:szCs w:val="21"/>
        </w:rPr>
        <w:t xml:space="preserve">Explain delta checks and their role.</w:t>
      </w:r>
    </w:p>
    <w:p>
      <w:pPr>
        <w:pStyle w:val="ListParagraph"/>
        <w:numPr>
          <w:ilvl w:val="0"/>
          <w:numId w:val="2"/>
        </w:numPr>
        <w:spacing w:after="50" w:line="264"/>
      </w:pPr>
      <w:r>
        <w:rPr>
          <w:rFonts w:ascii="Arial" w:cs="Arial" w:eastAsia="Arial" w:hAnsi="Arial"/>
          <w:color w:val="33444F"/>
          <w:sz w:val="21"/>
          <w:szCs w:val="21"/>
        </w:rPr>
        <w:t xml:space="preserve">Manage occurrences and corrective action.</w:t>
      </w:r>
    </w:p>
    <w:p>
      <w:pPr>
        <w:spacing w:after="40" w:before="120"/>
      </w:pPr>
      <w:r>
        <w:rPr>
          <w:rFonts w:ascii="Arial" w:cs="Arial" w:eastAsia="Arial" w:hAnsi="Arial"/>
          <w:b/>
          <w:bCs/>
          <w:color w:val="455A64"/>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QC vs QA vs QMS</w:t>
      </w:r>
    </w:p>
    <w:p>
      <w:pPr>
        <w:pStyle w:val="ListParagraph"/>
        <w:numPr>
          <w:ilvl w:val="0"/>
          <w:numId w:val="2"/>
        </w:numPr>
        <w:spacing w:after="50" w:line="264"/>
      </w:pPr>
      <w:r>
        <w:rPr>
          <w:rFonts w:ascii="Arial" w:cs="Arial" w:eastAsia="Arial" w:hAnsi="Arial"/>
          <w:color w:val="33444F"/>
          <w:sz w:val="21"/>
          <w:szCs w:val="21"/>
        </w:rPr>
        <w:t xml:space="preserve">Levey–Jennings and Westgard multirules</w:t>
      </w:r>
    </w:p>
    <w:p>
      <w:pPr>
        <w:pStyle w:val="ListParagraph"/>
        <w:numPr>
          <w:ilvl w:val="0"/>
          <w:numId w:val="2"/>
        </w:numPr>
        <w:spacing w:after="50" w:line="264"/>
      </w:pPr>
      <w:r>
        <w:rPr>
          <w:rFonts w:ascii="Arial" w:cs="Arial" w:eastAsia="Arial" w:hAnsi="Arial"/>
          <w:color w:val="33444F"/>
          <w:sz w:val="21"/>
          <w:szCs w:val="21"/>
        </w:rPr>
        <w:t xml:space="preserve">Proficiency testing and peer comparison</w:t>
      </w:r>
    </w:p>
    <w:p>
      <w:pPr>
        <w:pStyle w:val="ListParagraph"/>
        <w:numPr>
          <w:ilvl w:val="0"/>
          <w:numId w:val="2"/>
        </w:numPr>
        <w:spacing w:after="50" w:line="264"/>
      </w:pPr>
      <w:r>
        <w:rPr>
          <w:rFonts w:ascii="Arial" w:cs="Arial" w:eastAsia="Arial" w:hAnsi="Arial"/>
          <w:color w:val="33444F"/>
          <w:sz w:val="21"/>
          <w:szCs w:val="21"/>
        </w:rPr>
        <w:t xml:space="preserve">Quality indicators and metrics</w:t>
      </w:r>
    </w:p>
    <w:p>
      <w:pPr>
        <w:pStyle w:val="ListParagraph"/>
        <w:numPr>
          <w:ilvl w:val="0"/>
          <w:numId w:val="2"/>
        </w:numPr>
        <w:spacing w:after="50" w:line="264"/>
      </w:pPr>
      <w:r>
        <w:rPr>
          <w:rFonts w:ascii="Arial" w:cs="Arial" w:eastAsia="Arial" w:hAnsi="Arial"/>
          <w:color w:val="33444F"/>
          <w:sz w:val="21"/>
          <w:szCs w:val="21"/>
        </w:rPr>
        <w:t xml:space="preserve">Delta checks</w:t>
      </w:r>
    </w:p>
    <w:p>
      <w:pPr>
        <w:pStyle w:val="ListParagraph"/>
        <w:numPr>
          <w:ilvl w:val="0"/>
          <w:numId w:val="2"/>
        </w:numPr>
        <w:spacing w:after="50" w:line="264"/>
      </w:pPr>
      <w:r>
        <w:rPr>
          <w:rFonts w:ascii="Arial" w:cs="Arial" w:eastAsia="Arial" w:hAnsi="Arial"/>
          <w:color w:val="33444F"/>
          <w:sz w:val="21"/>
          <w:szCs w:val="21"/>
        </w:rPr>
        <w:t xml:space="preserve">Occurrence management and CAPA</w:t>
      </w:r>
    </w:p>
    <w:p>
      <w:pPr>
        <w:spacing w:after="40" w:before="120"/>
      </w:pPr>
      <w:r>
        <w:rPr>
          <w:rFonts w:ascii="Arial" w:cs="Arial" w:eastAsia="Arial" w:hAnsi="Arial"/>
          <w:b/>
          <w:bCs/>
          <w:color w:val="455A64"/>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Westgard rule violations and actions</w:t>
      </w:r>
    </w:p>
    <w:p>
      <w:pPr>
        <w:pStyle w:val="ListParagraph"/>
        <w:numPr>
          <w:ilvl w:val="0"/>
          <w:numId w:val="2"/>
        </w:numPr>
        <w:spacing w:after="50" w:line="264"/>
      </w:pPr>
      <w:r>
        <w:rPr>
          <w:rFonts w:ascii="Arial" w:cs="Arial" w:eastAsia="Arial" w:hAnsi="Arial"/>
          <w:color w:val="33444F"/>
          <w:sz w:val="21"/>
          <w:szCs w:val="21"/>
        </w:rPr>
        <w:t xml:space="preserve">Random vs systematic error patterns</w:t>
      </w:r>
    </w:p>
    <w:p>
      <w:pPr>
        <w:pStyle w:val="ListParagraph"/>
        <w:numPr>
          <w:ilvl w:val="0"/>
          <w:numId w:val="2"/>
        </w:numPr>
        <w:spacing w:after="50" w:line="264"/>
      </w:pPr>
      <w:r>
        <w:rPr>
          <w:rFonts w:ascii="Arial" w:cs="Arial" w:eastAsia="Arial" w:hAnsi="Arial"/>
          <w:color w:val="33444F"/>
          <w:sz w:val="21"/>
          <w:szCs w:val="21"/>
        </w:rPr>
        <w:t xml:space="preserve">Delta-check triggers</w:t>
      </w:r>
    </w:p>
    <w:p>
      <w:pPr>
        <w:spacing w:after="40" w:before="120"/>
      </w:pPr>
      <w:r>
        <w:rPr>
          <w:rFonts w:ascii="Arial" w:cs="Arial" w:eastAsia="Arial" w:hAnsi="Arial"/>
          <w:b/>
          <w:bCs/>
          <w:color w:val="455A64"/>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LabMgmt Jones Quality Proficiency Testing Failure Evaluation 12</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Jones Quality Laboratory Quality</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Jones Quality IHC Quality intro 1</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Jones Quality IHC Quality caring 1</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Jones Quality IHC Quality variation 1</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Jones Quality ContinuousQualityImprovement 1</w:t>
      </w:r>
      <w:r>
        <w:rPr>
          <w:rFonts w:ascii="Arial" w:cs="Arial" w:eastAsia="Arial" w:hAnsi="Arial"/>
          <w:i/>
          <w:iCs/>
          <w:color w:val="6B7B8A"/>
          <w:sz w:val="18"/>
          <w:szCs w:val="18"/>
        </w:rPr>
        <w:t xml:space="preserve">   (Lab Management / Dr Jones)</w:t>
      </w:r>
    </w:p>
    <w:p>
      <w:pPr>
        <w:pStyle w:val="Heading3"/>
        <w:spacing w:after="40" w:before="200"/>
      </w:pPr>
      <w:r>
        <w:rPr>
          <w:rFonts w:ascii="Arial" w:cs="Arial" w:eastAsia="Arial" w:hAnsi="Arial"/>
          <w:b/>
          <w:bCs/>
          <w:color w:val="455A64"/>
          <w:sz w:val="23"/>
          <w:szCs w:val="23"/>
        </w:rPr>
        <w:t xml:space="preserve">31.  </w:t>
      </w:r>
      <w:r>
        <w:rPr>
          <w:rFonts w:ascii="Arial" w:cs="Arial" w:eastAsia="Arial" w:hAnsi="Arial"/>
          <w:b/>
          <w:bCs/>
          <w:color w:val="1B2A38"/>
          <w:sz w:val="23"/>
          <w:szCs w:val="23"/>
        </w:rPr>
        <w:t xml:space="preserve">Regulatory and Accreditation Essentials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LabMgmt_02.pptx</w:t>
      </w:r>
    </w:p>
    <w:p>
      <w:pPr>
        <w:spacing w:after="40" w:before="120"/>
      </w:pPr>
      <w:r>
        <w:rPr>
          <w:rFonts w:ascii="Arial" w:cs="Arial" w:eastAsia="Arial" w:hAnsi="Arial"/>
          <w:b/>
          <w:bCs/>
          <w:color w:val="455A64"/>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CAP and CLIA frameworks at a working level.</w:t>
      </w:r>
    </w:p>
    <w:p>
      <w:pPr>
        <w:pStyle w:val="ListParagraph"/>
        <w:numPr>
          <w:ilvl w:val="0"/>
          <w:numId w:val="2"/>
        </w:numPr>
        <w:spacing w:after="50" w:line="264"/>
      </w:pPr>
      <w:r>
        <w:rPr>
          <w:rFonts w:ascii="Arial" w:cs="Arial" w:eastAsia="Arial" w:hAnsi="Arial"/>
          <w:color w:val="33444F"/>
          <w:sz w:val="21"/>
          <w:szCs w:val="21"/>
        </w:rPr>
        <w:t xml:space="preserve">Prepare for inspection readiness.</w:t>
      </w:r>
    </w:p>
    <w:p>
      <w:pPr>
        <w:pStyle w:val="ListParagraph"/>
        <w:numPr>
          <w:ilvl w:val="0"/>
          <w:numId w:val="2"/>
        </w:numPr>
        <w:spacing w:after="50" w:line="264"/>
      </w:pPr>
      <w:r>
        <w:rPr>
          <w:rFonts w:ascii="Arial" w:cs="Arial" w:eastAsia="Arial" w:hAnsi="Arial"/>
          <w:color w:val="33444F"/>
          <w:sz w:val="21"/>
          <w:szCs w:val="21"/>
        </w:rPr>
        <w:t xml:space="preserve">Apply competency-assessment requirements.</w:t>
      </w:r>
    </w:p>
    <w:p>
      <w:pPr>
        <w:pStyle w:val="ListParagraph"/>
        <w:numPr>
          <w:ilvl w:val="0"/>
          <w:numId w:val="2"/>
        </w:numPr>
        <w:spacing w:after="50" w:line="264"/>
      </w:pPr>
      <w:r>
        <w:rPr>
          <w:rFonts w:ascii="Arial" w:cs="Arial" w:eastAsia="Arial" w:hAnsi="Arial"/>
          <w:color w:val="33444F"/>
          <w:sz w:val="21"/>
          <w:szCs w:val="21"/>
        </w:rPr>
        <w:t xml:space="preserve">Maintain document control.</w:t>
      </w:r>
    </w:p>
    <w:p>
      <w:pPr>
        <w:pStyle w:val="ListParagraph"/>
        <w:numPr>
          <w:ilvl w:val="0"/>
          <w:numId w:val="2"/>
        </w:numPr>
        <w:spacing w:after="50" w:line="264"/>
      </w:pPr>
      <w:r>
        <w:rPr>
          <w:rFonts w:ascii="Arial" w:cs="Arial" w:eastAsia="Arial" w:hAnsi="Arial"/>
          <w:color w:val="33444F"/>
          <w:sz w:val="21"/>
          <w:szCs w:val="21"/>
        </w:rPr>
        <w:t xml:space="preserve">Recognize test-complexity categories.</w:t>
      </w:r>
    </w:p>
    <w:p>
      <w:pPr>
        <w:spacing w:after="40" w:before="120"/>
      </w:pPr>
      <w:r>
        <w:rPr>
          <w:rFonts w:ascii="Arial" w:cs="Arial" w:eastAsia="Arial" w:hAnsi="Arial"/>
          <w:b/>
          <w:bCs/>
          <w:color w:val="455A64"/>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CLIA complexity categories</w:t>
      </w:r>
    </w:p>
    <w:p>
      <w:pPr>
        <w:pStyle w:val="ListParagraph"/>
        <w:numPr>
          <w:ilvl w:val="0"/>
          <w:numId w:val="2"/>
        </w:numPr>
        <w:spacing w:after="50" w:line="264"/>
      </w:pPr>
      <w:r>
        <w:rPr>
          <w:rFonts w:ascii="Arial" w:cs="Arial" w:eastAsia="Arial" w:hAnsi="Arial"/>
          <w:color w:val="33444F"/>
          <w:sz w:val="21"/>
          <w:szCs w:val="21"/>
        </w:rPr>
        <w:t xml:space="preserve">CAP accreditation and checklists</w:t>
      </w:r>
    </w:p>
    <w:p>
      <w:pPr>
        <w:pStyle w:val="ListParagraph"/>
        <w:numPr>
          <w:ilvl w:val="0"/>
          <w:numId w:val="2"/>
        </w:numPr>
        <w:spacing w:after="50" w:line="264"/>
      </w:pPr>
      <w:r>
        <w:rPr>
          <w:rFonts w:ascii="Arial" w:cs="Arial" w:eastAsia="Arial" w:hAnsi="Arial"/>
          <w:color w:val="33444F"/>
          <w:sz w:val="21"/>
          <w:szCs w:val="21"/>
        </w:rPr>
        <w:t xml:space="preserve">Inspection readiness</w:t>
      </w:r>
    </w:p>
    <w:p>
      <w:pPr>
        <w:pStyle w:val="ListParagraph"/>
        <w:numPr>
          <w:ilvl w:val="0"/>
          <w:numId w:val="2"/>
        </w:numPr>
        <w:spacing w:after="50" w:line="264"/>
      </w:pPr>
      <w:r>
        <w:rPr>
          <w:rFonts w:ascii="Arial" w:cs="Arial" w:eastAsia="Arial" w:hAnsi="Arial"/>
          <w:color w:val="33444F"/>
          <w:sz w:val="21"/>
          <w:szCs w:val="21"/>
        </w:rPr>
        <w:t xml:space="preserve">Competency assessment (six elements)</w:t>
      </w:r>
    </w:p>
    <w:p>
      <w:pPr>
        <w:pStyle w:val="ListParagraph"/>
        <w:numPr>
          <w:ilvl w:val="0"/>
          <w:numId w:val="2"/>
        </w:numPr>
        <w:spacing w:after="50" w:line="264"/>
      </w:pPr>
      <w:r>
        <w:rPr>
          <w:rFonts w:ascii="Arial" w:cs="Arial" w:eastAsia="Arial" w:hAnsi="Arial"/>
          <w:color w:val="33444F"/>
          <w:sz w:val="21"/>
          <w:szCs w:val="21"/>
        </w:rPr>
        <w:t xml:space="preserve">Document control and version management</w:t>
      </w:r>
    </w:p>
    <w:p>
      <w:pPr>
        <w:pStyle w:val="ListParagraph"/>
        <w:numPr>
          <w:ilvl w:val="0"/>
          <w:numId w:val="2"/>
        </w:numPr>
        <w:spacing w:after="50" w:line="264"/>
      </w:pPr>
      <w:r>
        <w:rPr>
          <w:rFonts w:ascii="Arial" w:cs="Arial" w:eastAsia="Arial" w:hAnsi="Arial"/>
          <w:color w:val="33444F"/>
          <w:sz w:val="21"/>
          <w:szCs w:val="21"/>
        </w:rPr>
        <w:t xml:space="preserve">Personnel and quality requirements</w:t>
      </w:r>
    </w:p>
    <w:p>
      <w:pPr>
        <w:spacing w:after="40" w:before="120"/>
      </w:pPr>
      <w:r>
        <w:rPr>
          <w:rFonts w:ascii="Arial" w:cs="Arial" w:eastAsia="Arial" w:hAnsi="Arial"/>
          <w:b/>
          <w:bCs/>
          <w:color w:val="455A64"/>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CLIA waived vs moderate vs high complexity</w:t>
      </w:r>
    </w:p>
    <w:p>
      <w:pPr>
        <w:pStyle w:val="ListParagraph"/>
        <w:numPr>
          <w:ilvl w:val="0"/>
          <w:numId w:val="2"/>
        </w:numPr>
        <w:spacing w:after="50" w:line="264"/>
      </w:pPr>
      <w:r>
        <w:rPr>
          <w:rFonts w:ascii="Arial" w:cs="Arial" w:eastAsia="Arial" w:hAnsi="Arial"/>
          <w:color w:val="33444F"/>
          <w:sz w:val="21"/>
          <w:szCs w:val="21"/>
        </w:rPr>
        <w:t xml:space="preserve">Six elements of competency assessment</w:t>
      </w:r>
    </w:p>
    <w:p>
      <w:pPr>
        <w:pStyle w:val="ListParagraph"/>
        <w:numPr>
          <w:ilvl w:val="0"/>
          <w:numId w:val="2"/>
        </w:numPr>
        <w:spacing w:after="50" w:line="264"/>
      </w:pPr>
      <w:r>
        <w:rPr>
          <w:rFonts w:ascii="Arial" w:cs="Arial" w:eastAsia="Arial" w:hAnsi="Arial"/>
          <w:color w:val="33444F"/>
          <w:sz w:val="21"/>
          <w:szCs w:val="21"/>
        </w:rPr>
        <w:t xml:space="preserve">Proficiency-testing regulatory requirements</w:t>
      </w:r>
    </w:p>
    <w:p>
      <w:pPr>
        <w:spacing w:after="40" w:before="120"/>
      </w:pPr>
      <w:r>
        <w:rPr>
          <w:rFonts w:ascii="Arial" w:cs="Arial" w:eastAsia="Arial" w:hAnsi="Arial"/>
          <w:b/>
          <w:bCs/>
          <w:color w:val="455A64"/>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LabMgmt Jones Compliance CAP Compliance Planning course FINAL DRAFT DECK tb pptx</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Jones Compliance CAP Compliance Planning DRAFT QUIZ tb</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Info 3 HL7 Data Formats harrison jmt modifications</w:t>
      </w:r>
      <w:r>
        <w:rPr>
          <w:rFonts w:ascii="Arial" w:cs="Arial" w:eastAsia="Arial" w:hAnsi="Arial"/>
          <w:i/>
          <w:iCs/>
          <w:color w:val="6B7B8A"/>
          <w:sz w:val="18"/>
          <w:szCs w:val="18"/>
        </w:rPr>
        <w:t xml:space="preserve">   (Pathology Informatics)</w:t>
      </w:r>
    </w:p>
    <w:p>
      <w:pPr>
        <w:pStyle w:val="ListParagraph"/>
        <w:numPr>
          <w:ilvl w:val="0"/>
          <w:numId w:val="3"/>
        </w:numPr>
        <w:spacing w:after="50" w:line="264"/>
      </w:pPr>
      <w:r>
        <w:rPr>
          <w:rFonts w:ascii="Arial" w:cs="Arial" w:eastAsia="Arial" w:hAnsi="Arial"/>
          <w:color w:val="33444F"/>
          <w:sz w:val="20"/>
          <w:szCs w:val="20"/>
        </w:rPr>
        <w:t xml:space="preserve">LabMgmt Jones MedicalDirector CAP Lecture Medical Director FINAL DRAFT DECK tb</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Jones CLIA CLIA 88</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Jones CLIA CLIA 88 highlighted</w:t>
      </w:r>
      <w:r>
        <w:rPr>
          <w:rFonts w:ascii="Arial" w:cs="Arial" w:eastAsia="Arial" w:hAnsi="Arial"/>
          <w:i/>
          <w:iCs/>
          <w:color w:val="6B7B8A"/>
          <w:sz w:val="18"/>
          <w:szCs w:val="18"/>
        </w:rPr>
        <w:t xml:space="preserve">   (Lab Management / Dr Jones)</w:t>
      </w:r>
    </w:p>
    <w:p>
      <w:pPr>
        <w:pStyle w:val="Heading3"/>
        <w:spacing w:after="40" w:before="200"/>
      </w:pPr>
      <w:r>
        <w:rPr>
          <w:rFonts w:ascii="Arial" w:cs="Arial" w:eastAsia="Arial" w:hAnsi="Arial"/>
          <w:b/>
          <w:bCs/>
          <w:color w:val="455A64"/>
          <w:sz w:val="23"/>
          <w:szCs w:val="23"/>
        </w:rPr>
        <w:t xml:space="preserve">32.  </w:t>
      </w:r>
      <w:r>
        <w:rPr>
          <w:rFonts w:ascii="Arial" w:cs="Arial" w:eastAsia="Arial" w:hAnsi="Arial"/>
          <w:b/>
          <w:bCs/>
          <w:color w:val="1B2A38"/>
          <w:sz w:val="23"/>
          <w:szCs w:val="23"/>
        </w:rPr>
        <w:t xml:space="preserve">Patient Safety and Error Investigation</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LabMgmt_03.pptx</w:t>
      </w:r>
    </w:p>
    <w:p>
      <w:pPr>
        <w:spacing w:after="40" w:before="120"/>
      </w:pPr>
      <w:r>
        <w:rPr>
          <w:rFonts w:ascii="Arial" w:cs="Arial" w:eastAsia="Arial" w:hAnsi="Arial"/>
          <w:b/>
          <w:bCs/>
          <w:color w:val="455A64"/>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Conduct a structured root-cause analysis.</w:t>
      </w:r>
    </w:p>
    <w:p>
      <w:pPr>
        <w:pStyle w:val="ListParagraph"/>
        <w:numPr>
          <w:ilvl w:val="0"/>
          <w:numId w:val="2"/>
        </w:numPr>
        <w:spacing w:after="50" w:line="264"/>
      </w:pPr>
      <w:r>
        <w:rPr>
          <w:rFonts w:ascii="Arial" w:cs="Arial" w:eastAsia="Arial" w:hAnsi="Arial"/>
          <w:color w:val="33444F"/>
          <w:sz w:val="21"/>
          <w:szCs w:val="21"/>
        </w:rPr>
        <w:t xml:space="preserve">Distinguish near misses from events.</w:t>
      </w:r>
    </w:p>
    <w:p>
      <w:pPr>
        <w:pStyle w:val="ListParagraph"/>
        <w:numPr>
          <w:ilvl w:val="0"/>
          <w:numId w:val="2"/>
        </w:numPr>
        <w:spacing w:after="50" w:line="264"/>
      </w:pPr>
      <w:r>
        <w:rPr>
          <w:rFonts w:ascii="Arial" w:cs="Arial" w:eastAsia="Arial" w:hAnsi="Arial"/>
          <w:color w:val="33444F"/>
          <w:sz w:val="21"/>
          <w:szCs w:val="21"/>
        </w:rPr>
        <w:t xml:space="preserve">Investigate transfusion-safety events.</w:t>
      </w:r>
    </w:p>
    <w:p>
      <w:pPr>
        <w:pStyle w:val="ListParagraph"/>
        <w:numPr>
          <w:ilvl w:val="0"/>
          <w:numId w:val="2"/>
        </w:numPr>
        <w:spacing w:after="50" w:line="264"/>
      </w:pPr>
      <w:r>
        <w:rPr>
          <w:rFonts w:ascii="Arial" w:cs="Arial" w:eastAsia="Arial" w:hAnsi="Arial"/>
          <w:color w:val="33444F"/>
          <w:sz w:val="21"/>
          <w:szCs w:val="21"/>
        </w:rPr>
        <w:t xml:space="preserve">Apply systems thinking to laboratory error.</w:t>
      </w:r>
    </w:p>
    <w:p>
      <w:pPr>
        <w:pStyle w:val="ListParagraph"/>
        <w:numPr>
          <w:ilvl w:val="0"/>
          <w:numId w:val="2"/>
        </w:numPr>
        <w:spacing w:after="50" w:line="264"/>
      </w:pPr>
      <w:r>
        <w:rPr>
          <w:rFonts w:ascii="Arial" w:cs="Arial" w:eastAsia="Arial" w:hAnsi="Arial"/>
          <w:color w:val="33444F"/>
          <w:sz w:val="21"/>
          <w:szCs w:val="21"/>
        </w:rPr>
        <w:t xml:space="preserve">Build a just-culture approach.</w:t>
      </w:r>
    </w:p>
    <w:p>
      <w:pPr>
        <w:spacing w:after="40" w:before="120"/>
      </w:pPr>
      <w:r>
        <w:rPr>
          <w:rFonts w:ascii="Arial" w:cs="Arial" w:eastAsia="Arial" w:hAnsi="Arial"/>
          <w:b/>
          <w:bCs/>
          <w:color w:val="455A64"/>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Root-cause analysis methods</w:t>
      </w:r>
    </w:p>
    <w:p>
      <w:pPr>
        <w:pStyle w:val="ListParagraph"/>
        <w:numPr>
          <w:ilvl w:val="0"/>
          <w:numId w:val="2"/>
        </w:numPr>
        <w:spacing w:after="50" w:line="264"/>
      </w:pPr>
      <w:r>
        <w:rPr>
          <w:rFonts w:ascii="Arial" w:cs="Arial" w:eastAsia="Arial" w:hAnsi="Arial"/>
          <w:color w:val="33444F"/>
          <w:sz w:val="21"/>
          <w:szCs w:val="21"/>
        </w:rPr>
        <w:t xml:space="preserve">Near miss vs adverse event</w:t>
      </w:r>
    </w:p>
    <w:p>
      <w:pPr>
        <w:pStyle w:val="ListParagraph"/>
        <w:numPr>
          <w:ilvl w:val="0"/>
          <w:numId w:val="2"/>
        </w:numPr>
        <w:spacing w:after="50" w:line="264"/>
      </w:pPr>
      <w:r>
        <w:rPr>
          <w:rFonts w:ascii="Arial" w:cs="Arial" w:eastAsia="Arial" w:hAnsi="Arial"/>
          <w:color w:val="33444F"/>
          <w:sz w:val="21"/>
          <w:szCs w:val="21"/>
        </w:rPr>
        <w:t xml:space="preserve">Transfusion-safety events and haemovigilance</w:t>
      </w:r>
    </w:p>
    <w:p>
      <w:pPr>
        <w:pStyle w:val="ListParagraph"/>
        <w:numPr>
          <w:ilvl w:val="0"/>
          <w:numId w:val="2"/>
        </w:numPr>
        <w:spacing w:after="50" w:line="264"/>
      </w:pPr>
      <w:r>
        <w:rPr>
          <w:rFonts w:ascii="Arial" w:cs="Arial" w:eastAsia="Arial" w:hAnsi="Arial"/>
          <w:color w:val="33444F"/>
          <w:sz w:val="21"/>
          <w:szCs w:val="21"/>
        </w:rPr>
        <w:t xml:space="preserve">Human factors and systems design</w:t>
      </w:r>
    </w:p>
    <w:p>
      <w:pPr>
        <w:pStyle w:val="ListParagraph"/>
        <w:numPr>
          <w:ilvl w:val="0"/>
          <w:numId w:val="2"/>
        </w:numPr>
        <w:spacing w:after="50" w:line="264"/>
      </w:pPr>
      <w:r>
        <w:rPr>
          <w:rFonts w:ascii="Arial" w:cs="Arial" w:eastAsia="Arial" w:hAnsi="Arial"/>
          <w:color w:val="33444F"/>
          <w:sz w:val="21"/>
          <w:szCs w:val="21"/>
        </w:rPr>
        <w:t xml:space="preserve">Just culture</w:t>
      </w:r>
    </w:p>
    <w:p>
      <w:pPr>
        <w:pStyle w:val="ListParagraph"/>
        <w:numPr>
          <w:ilvl w:val="0"/>
          <w:numId w:val="2"/>
        </w:numPr>
        <w:spacing w:after="50" w:line="264"/>
      </w:pPr>
      <w:r>
        <w:rPr>
          <w:rFonts w:ascii="Arial" w:cs="Arial" w:eastAsia="Arial" w:hAnsi="Arial"/>
          <w:color w:val="33444F"/>
          <w:sz w:val="21"/>
          <w:szCs w:val="21"/>
        </w:rPr>
        <w:t xml:space="preserve">Corrective and preventive action</w:t>
      </w:r>
    </w:p>
    <w:p>
      <w:pPr>
        <w:spacing w:after="40" w:before="120"/>
      </w:pPr>
      <w:r>
        <w:rPr>
          <w:rFonts w:ascii="Arial" w:cs="Arial" w:eastAsia="Arial" w:hAnsi="Arial"/>
          <w:b/>
          <w:bCs/>
          <w:color w:val="455A64"/>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RCA vs blame in laboratory error</w:t>
      </w:r>
    </w:p>
    <w:p>
      <w:pPr>
        <w:pStyle w:val="ListParagraph"/>
        <w:numPr>
          <w:ilvl w:val="0"/>
          <w:numId w:val="2"/>
        </w:numPr>
        <w:spacing w:after="50" w:line="264"/>
      </w:pPr>
      <w:r>
        <w:rPr>
          <w:rFonts w:ascii="Arial" w:cs="Arial" w:eastAsia="Arial" w:hAnsi="Arial"/>
          <w:color w:val="33444F"/>
          <w:sz w:val="21"/>
          <w:szCs w:val="21"/>
        </w:rPr>
        <w:t xml:space="preserve">Near-miss reporting value</w:t>
      </w:r>
    </w:p>
    <w:p>
      <w:pPr>
        <w:pStyle w:val="ListParagraph"/>
        <w:numPr>
          <w:ilvl w:val="0"/>
          <w:numId w:val="2"/>
        </w:numPr>
        <w:spacing w:after="50" w:line="264"/>
      </w:pPr>
      <w:r>
        <w:rPr>
          <w:rFonts w:ascii="Arial" w:cs="Arial" w:eastAsia="Arial" w:hAnsi="Arial"/>
          <w:color w:val="33444F"/>
          <w:sz w:val="21"/>
          <w:szCs w:val="21"/>
        </w:rPr>
        <w:t xml:space="preserve">Sentinel-event response</w:t>
      </w:r>
    </w:p>
    <w:p>
      <w:pPr>
        <w:spacing w:after="40" w:before="120"/>
      </w:pPr>
      <w:r>
        <w:rPr>
          <w:rFonts w:ascii="Arial" w:cs="Arial" w:eastAsia="Arial" w:hAnsi="Arial"/>
          <w:b/>
          <w:bCs/>
          <w:color w:val="455A64"/>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LabMgmt Jones Risk Medicolegal aspect of error in pathology</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Deviation and Daily Management GWM</w:t>
      </w:r>
      <w:r>
        <w:rPr>
          <w:rFonts w:ascii="Arial" w:cs="Arial" w:eastAsia="Arial" w:hAnsi="Arial"/>
          <w:i/>
          <w:iCs/>
          <w:color w:val="6B7B8A"/>
          <w:sz w:val="18"/>
          <w:szCs w:val="18"/>
        </w:rPr>
        <w:t xml:space="preserve">   (Lab Management)</w:t>
      </w:r>
    </w:p>
    <w:p>
      <w:pPr>
        <w:pStyle w:val="ListParagraph"/>
        <w:numPr>
          <w:ilvl w:val="0"/>
          <w:numId w:val="3"/>
        </w:numPr>
        <w:spacing w:after="50" w:line="264"/>
      </w:pPr>
      <w:r>
        <w:rPr>
          <w:rFonts w:ascii="Arial" w:cs="Arial" w:eastAsia="Arial" w:hAnsi="Arial"/>
          <w:color w:val="33444F"/>
          <w:sz w:val="20"/>
          <w:szCs w:val="20"/>
        </w:rPr>
        <w:t xml:space="preserve">LabMgmt Deviation and Daily Management GWM</w:t>
      </w:r>
      <w:r>
        <w:rPr>
          <w:rFonts w:ascii="Arial" w:cs="Arial" w:eastAsia="Arial" w:hAnsi="Arial"/>
          <w:i/>
          <w:iCs/>
          <w:color w:val="6B7B8A"/>
          <w:sz w:val="18"/>
          <w:szCs w:val="18"/>
        </w:rPr>
        <w:t xml:space="preserve">   (Lab Management)</w:t>
      </w:r>
    </w:p>
    <w:p>
      <w:pPr>
        <w:pStyle w:val="ListParagraph"/>
        <w:numPr>
          <w:ilvl w:val="0"/>
          <w:numId w:val="3"/>
        </w:numPr>
        <w:spacing w:after="50" w:line="264"/>
      </w:pPr>
      <w:r>
        <w:rPr>
          <w:rFonts w:ascii="Arial" w:cs="Arial" w:eastAsia="Arial" w:hAnsi="Arial"/>
          <w:color w:val="33444F"/>
          <w:sz w:val="20"/>
          <w:szCs w:val="20"/>
        </w:rPr>
        <w:t xml:space="preserve">LabMgmt Deviation and Daily Management Cook</w:t>
      </w:r>
      <w:r>
        <w:rPr>
          <w:rFonts w:ascii="Arial" w:cs="Arial" w:eastAsia="Arial" w:hAnsi="Arial"/>
          <w:i/>
          <w:iCs/>
          <w:color w:val="6B7B8A"/>
          <w:sz w:val="18"/>
          <w:szCs w:val="18"/>
        </w:rPr>
        <w:t xml:space="preserve">   (Lab Management)</w:t>
      </w:r>
    </w:p>
    <w:p>
      <w:pPr>
        <w:pStyle w:val="ListParagraph"/>
        <w:numPr>
          <w:ilvl w:val="0"/>
          <w:numId w:val="3"/>
        </w:numPr>
        <w:spacing w:after="50" w:line="264"/>
      </w:pPr>
      <w:r>
        <w:rPr>
          <w:rFonts w:ascii="Arial" w:cs="Arial" w:eastAsia="Arial" w:hAnsi="Arial"/>
          <w:color w:val="33444F"/>
          <w:sz w:val="20"/>
          <w:szCs w:val="20"/>
        </w:rPr>
        <w:t xml:space="preserve">Jones Safety Laboratory Safety</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Jones Risk Risk Management in Pathology Laboratory Medicine</w:t>
      </w:r>
      <w:r>
        <w:rPr>
          <w:rFonts w:ascii="Arial" w:cs="Arial" w:eastAsia="Arial" w:hAnsi="Arial"/>
          <w:i/>
          <w:iCs/>
          <w:color w:val="6B7B8A"/>
          <w:sz w:val="18"/>
          <w:szCs w:val="18"/>
        </w:rPr>
        <w:t xml:space="preserve">   (Lab Management / Dr Jones)</w:t>
      </w:r>
    </w:p>
    <w:p>
      <w:pPr>
        <w:pStyle w:val="Heading3"/>
        <w:spacing w:after="40" w:before="200"/>
      </w:pPr>
      <w:r>
        <w:rPr>
          <w:rFonts w:ascii="Arial" w:cs="Arial" w:eastAsia="Arial" w:hAnsi="Arial"/>
          <w:b/>
          <w:bCs/>
          <w:color w:val="455A64"/>
          <w:sz w:val="23"/>
          <w:szCs w:val="23"/>
        </w:rPr>
        <w:t xml:space="preserve">33.  </w:t>
      </w:r>
      <w:r>
        <w:rPr>
          <w:rFonts w:ascii="Arial" w:cs="Arial" w:eastAsia="Arial" w:hAnsi="Arial"/>
          <w:b/>
          <w:bCs/>
          <w:color w:val="1B2A38"/>
          <w:sz w:val="23"/>
          <w:szCs w:val="23"/>
        </w:rPr>
        <w:t xml:space="preserve">Laboratory Informatics and LIS Fundamentals</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LabMgmt_04.pptx</w:t>
      </w:r>
    </w:p>
    <w:p>
      <w:pPr>
        <w:spacing w:after="40" w:before="120"/>
      </w:pPr>
      <w:r>
        <w:rPr>
          <w:rFonts w:ascii="Arial" w:cs="Arial" w:eastAsia="Arial" w:hAnsi="Arial"/>
          <w:b/>
          <w:bCs/>
          <w:color w:val="455A64"/>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Describe LIS architecture and result routing.</w:t>
      </w:r>
    </w:p>
    <w:p>
      <w:pPr>
        <w:pStyle w:val="ListParagraph"/>
        <w:numPr>
          <w:ilvl w:val="0"/>
          <w:numId w:val="2"/>
        </w:numPr>
        <w:spacing w:after="50" w:line="264"/>
      </w:pPr>
      <w:r>
        <w:rPr>
          <w:rFonts w:ascii="Arial" w:cs="Arial" w:eastAsia="Arial" w:hAnsi="Arial"/>
          <w:color w:val="33444F"/>
          <w:sz w:val="21"/>
          <w:szCs w:val="21"/>
        </w:rPr>
        <w:t xml:space="preserve">Explain middleware and autoverification.</w:t>
      </w:r>
    </w:p>
    <w:p>
      <w:pPr>
        <w:pStyle w:val="ListParagraph"/>
        <w:numPr>
          <w:ilvl w:val="0"/>
          <w:numId w:val="2"/>
        </w:numPr>
        <w:spacing w:after="50" w:line="264"/>
      </w:pPr>
      <w:r>
        <w:rPr>
          <w:rFonts w:ascii="Arial" w:cs="Arial" w:eastAsia="Arial" w:hAnsi="Arial"/>
          <w:color w:val="33444F"/>
          <w:sz w:val="21"/>
          <w:szCs w:val="21"/>
        </w:rPr>
        <w:t xml:space="preserve">Recognize interface issues and data-integrity risks.</w:t>
      </w:r>
    </w:p>
    <w:p>
      <w:pPr>
        <w:pStyle w:val="ListParagraph"/>
        <w:numPr>
          <w:ilvl w:val="0"/>
          <w:numId w:val="2"/>
        </w:numPr>
        <w:spacing w:after="50" w:line="264"/>
      </w:pPr>
      <w:r>
        <w:rPr>
          <w:rFonts w:ascii="Arial" w:cs="Arial" w:eastAsia="Arial" w:hAnsi="Arial"/>
          <w:color w:val="33444F"/>
          <w:sz w:val="21"/>
          <w:szCs w:val="21"/>
        </w:rPr>
        <w:t xml:space="preserve">Apply standard vocabularies (LOINC, SNOMED).</w:t>
      </w:r>
    </w:p>
    <w:p>
      <w:pPr>
        <w:pStyle w:val="ListParagraph"/>
        <w:numPr>
          <w:ilvl w:val="0"/>
          <w:numId w:val="2"/>
        </w:numPr>
        <w:spacing w:after="50" w:line="264"/>
      </w:pPr>
      <w:r>
        <w:rPr>
          <w:rFonts w:ascii="Arial" w:cs="Arial" w:eastAsia="Arial" w:hAnsi="Arial"/>
          <w:color w:val="33444F"/>
          <w:sz w:val="21"/>
          <w:szCs w:val="21"/>
        </w:rPr>
        <w:t xml:space="preserve">Outline downtime and contingency planning.</w:t>
      </w:r>
    </w:p>
    <w:p>
      <w:pPr>
        <w:spacing w:after="40" w:before="120"/>
      </w:pPr>
      <w:r>
        <w:rPr>
          <w:rFonts w:ascii="Arial" w:cs="Arial" w:eastAsia="Arial" w:hAnsi="Arial"/>
          <w:b/>
          <w:bCs/>
          <w:color w:val="455A64"/>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LIS architecture and workflow</w:t>
      </w:r>
    </w:p>
    <w:p>
      <w:pPr>
        <w:pStyle w:val="ListParagraph"/>
        <w:numPr>
          <w:ilvl w:val="0"/>
          <w:numId w:val="2"/>
        </w:numPr>
        <w:spacing w:after="50" w:line="264"/>
      </w:pPr>
      <w:r>
        <w:rPr>
          <w:rFonts w:ascii="Arial" w:cs="Arial" w:eastAsia="Arial" w:hAnsi="Arial"/>
          <w:color w:val="33444F"/>
          <w:sz w:val="21"/>
          <w:szCs w:val="21"/>
        </w:rPr>
        <w:t xml:space="preserve">Middleware and autoverification rules</w:t>
      </w:r>
    </w:p>
    <w:p>
      <w:pPr>
        <w:pStyle w:val="ListParagraph"/>
        <w:numPr>
          <w:ilvl w:val="0"/>
          <w:numId w:val="2"/>
        </w:numPr>
        <w:spacing w:after="50" w:line="264"/>
      </w:pPr>
      <w:r>
        <w:rPr>
          <w:rFonts w:ascii="Arial" w:cs="Arial" w:eastAsia="Arial" w:hAnsi="Arial"/>
          <w:color w:val="33444F"/>
          <w:sz w:val="21"/>
          <w:szCs w:val="21"/>
        </w:rPr>
        <w:t xml:space="preserve">Interfaces (HL7) and failure modes</w:t>
      </w:r>
    </w:p>
    <w:p>
      <w:pPr>
        <w:pStyle w:val="ListParagraph"/>
        <w:numPr>
          <w:ilvl w:val="0"/>
          <w:numId w:val="2"/>
        </w:numPr>
        <w:spacing w:after="50" w:line="264"/>
      </w:pPr>
      <w:r>
        <w:rPr>
          <w:rFonts w:ascii="Arial" w:cs="Arial" w:eastAsia="Arial" w:hAnsi="Arial"/>
          <w:color w:val="33444F"/>
          <w:sz w:val="21"/>
          <w:szCs w:val="21"/>
        </w:rPr>
        <w:t xml:space="preserve">Data integrity and result routing</w:t>
      </w:r>
    </w:p>
    <w:p>
      <w:pPr>
        <w:pStyle w:val="ListParagraph"/>
        <w:numPr>
          <w:ilvl w:val="0"/>
          <w:numId w:val="2"/>
        </w:numPr>
        <w:spacing w:after="50" w:line="264"/>
      </w:pPr>
      <w:r>
        <w:rPr>
          <w:rFonts w:ascii="Arial" w:cs="Arial" w:eastAsia="Arial" w:hAnsi="Arial"/>
          <w:color w:val="33444F"/>
          <w:sz w:val="21"/>
          <w:szCs w:val="21"/>
        </w:rPr>
        <w:t xml:space="preserve">LOINC / SNOMED coding</w:t>
      </w:r>
    </w:p>
    <w:p>
      <w:pPr>
        <w:pStyle w:val="ListParagraph"/>
        <w:numPr>
          <w:ilvl w:val="0"/>
          <w:numId w:val="2"/>
        </w:numPr>
        <w:spacing w:after="50" w:line="264"/>
      </w:pPr>
      <w:r>
        <w:rPr>
          <w:rFonts w:ascii="Arial" w:cs="Arial" w:eastAsia="Arial" w:hAnsi="Arial"/>
          <w:color w:val="33444F"/>
          <w:sz w:val="21"/>
          <w:szCs w:val="21"/>
        </w:rPr>
        <w:t xml:space="preserve">Downtime procedures</w:t>
      </w:r>
    </w:p>
    <w:p>
      <w:pPr>
        <w:spacing w:after="40" w:before="120"/>
      </w:pPr>
      <w:r>
        <w:rPr>
          <w:rFonts w:ascii="Arial" w:cs="Arial" w:eastAsia="Arial" w:hAnsi="Arial"/>
          <w:b/>
          <w:bCs/>
          <w:color w:val="455A64"/>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Autoverification rule design</w:t>
      </w:r>
    </w:p>
    <w:p>
      <w:pPr>
        <w:pStyle w:val="ListParagraph"/>
        <w:numPr>
          <w:ilvl w:val="0"/>
          <w:numId w:val="2"/>
        </w:numPr>
        <w:spacing w:after="50" w:line="264"/>
      </w:pPr>
      <w:r>
        <w:rPr>
          <w:rFonts w:ascii="Arial" w:cs="Arial" w:eastAsia="Arial" w:hAnsi="Arial"/>
          <w:color w:val="33444F"/>
          <w:sz w:val="21"/>
          <w:szCs w:val="21"/>
        </w:rPr>
        <w:t xml:space="preserve">HL7 interface failure recognition</w:t>
      </w:r>
    </w:p>
    <w:p>
      <w:pPr>
        <w:pStyle w:val="ListParagraph"/>
        <w:numPr>
          <w:ilvl w:val="0"/>
          <w:numId w:val="2"/>
        </w:numPr>
        <w:spacing w:after="50" w:line="264"/>
      </w:pPr>
      <w:r>
        <w:rPr>
          <w:rFonts w:ascii="Arial" w:cs="Arial" w:eastAsia="Arial" w:hAnsi="Arial"/>
          <w:color w:val="33444F"/>
          <w:sz w:val="21"/>
          <w:szCs w:val="21"/>
        </w:rPr>
        <w:t xml:space="preserve">LOINC vs SNOMED use</w:t>
      </w:r>
    </w:p>
    <w:p>
      <w:pPr>
        <w:spacing w:after="40" w:before="120"/>
      </w:pPr>
      <w:r>
        <w:rPr>
          <w:rFonts w:ascii="Arial" w:cs="Arial" w:eastAsia="Arial" w:hAnsi="Arial"/>
          <w:b/>
          <w:bCs/>
          <w:color w:val="455A64"/>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Info 2 Network final final</w:t>
      </w:r>
      <w:r>
        <w:rPr>
          <w:rFonts w:ascii="Arial" w:cs="Arial" w:eastAsia="Arial" w:hAnsi="Arial"/>
          <w:i/>
          <w:iCs/>
          <w:color w:val="6B7B8A"/>
          <w:sz w:val="18"/>
          <w:szCs w:val="18"/>
        </w:rPr>
        <w:t xml:space="preserve">   (Pathology Informatics)</w:t>
      </w:r>
    </w:p>
    <w:p>
      <w:pPr>
        <w:pStyle w:val="ListParagraph"/>
        <w:numPr>
          <w:ilvl w:val="0"/>
          <w:numId w:val="3"/>
        </w:numPr>
        <w:spacing w:after="50" w:line="264"/>
      </w:pPr>
      <w:r>
        <w:rPr>
          <w:rFonts w:ascii="Arial" w:cs="Arial" w:eastAsia="Arial" w:hAnsi="Arial"/>
          <w:color w:val="33444F"/>
          <w:sz w:val="20"/>
          <w:szCs w:val="20"/>
        </w:rPr>
        <w:t xml:space="preserve">Info 3 HL7 Data Formats harrison jmt modifications</w:t>
      </w:r>
      <w:r>
        <w:rPr>
          <w:rFonts w:ascii="Arial" w:cs="Arial" w:eastAsia="Arial" w:hAnsi="Arial"/>
          <w:i/>
          <w:iCs/>
          <w:color w:val="6B7B8A"/>
          <w:sz w:val="18"/>
          <w:szCs w:val="18"/>
        </w:rPr>
        <w:t xml:space="preserve">   (Pathology Informatics)</w:t>
      </w:r>
    </w:p>
    <w:p>
      <w:pPr>
        <w:pStyle w:val="ListParagraph"/>
        <w:numPr>
          <w:ilvl w:val="0"/>
          <w:numId w:val="3"/>
        </w:numPr>
        <w:spacing w:after="50" w:line="264"/>
      </w:pPr>
      <w:r>
        <w:rPr>
          <w:rFonts w:ascii="Arial" w:cs="Arial" w:eastAsia="Arial" w:hAnsi="Arial"/>
          <w:color w:val="33444F"/>
          <w:sz w:val="20"/>
          <w:szCs w:val="20"/>
        </w:rPr>
        <w:t xml:space="preserve">Info 5 Cybersecurity for Pathology residents HFH ozb</w:t>
      </w:r>
      <w:r>
        <w:rPr>
          <w:rFonts w:ascii="Arial" w:cs="Arial" w:eastAsia="Arial" w:hAnsi="Arial"/>
          <w:i/>
          <w:iCs/>
          <w:color w:val="6B7B8A"/>
          <w:sz w:val="18"/>
          <w:szCs w:val="18"/>
        </w:rPr>
        <w:t xml:space="preserve">   (Pathology Informatics)</w:t>
      </w:r>
    </w:p>
    <w:p>
      <w:pPr>
        <w:pStyle w:val="ListParagraph"/>
        <w:numPr>
          <w:ilvl w:val="0"/>
          <w:numId w:val="3"/>
        </w:numPr>
        <w:spacing w:after="50" w:line="264"/>
      </w:pPr>
      <w:r>
        <w:rPr>
          <w:rFonts w:ascii="Arial" w:cs="Arial" w:eastAsia="Arial" w:hAnsi="Arial"/>
          <w:color w:val="33444F"/>
          <w:sz w:val="20"/>
          <w:szCs w:val="20"/>
        </w:rPr>
        <w:t xml:space="preserve">Info 1 PC hardware and software basic</w:t>
      </w:r>
      <w:r>
        <w:rPr>
          <w:rFonts w:ascii="Arial" w:cs="Arial" w:eastAsia="Arial" w:hAnsi="Arial"/>
          <w:i/>
          <w:iCs/>
          <w:color w:val="6B7B8A"/>
          <w:sz w:val="18"/>
          <w:szCs w:val="18"/>
        </w:rPr>
        <w:t xml:space="preserve">   (Pathology Informatics)</w:t>
      </w:r>
    </w:p>
    <w:p>
      <w:pPr>
        <w:pStyle w:val="ListParagraph"/>
        <w:numPr>
          <w:ilvl w:val="0"/>
          <w:numId w:val="3"/>
        </w:numPr>
        <w:spacing w:after="50" w:line="264"/>
      </w:pPr>
      <w:r>
        <w:rPr>
          <w:rFonts w:ascii="Arial" w:cs="Arial" w:eastAsia="Arial" w:hAnsi="Arial"/>
          <w:color w:val="33444F"/>
          <w:sz w:val="20"/>
          <w:szCs w:val="20"/>
        </w:rPr>
        <w:t xml:space="preserve">Info 1 Pathology Informatics talk final rev</w:t>
      </w:r>
      <w:r>
        <w:rPr>
          <w:rFonts w:ascii="Arial" w:cs="Arial" w:eastAsia="Arial" w:hAnsi="Arial"/>
          <w:i/>
          <w:iCs/>
          <w:color w:val="6B7B8A"/>
          <w:sz w:val="18"/>
          <w:szCs w:val="18"/>
        </w:rPr>
        <w:t xml:space="preserve">   (Pathology Informatics)</w:t>
      </w:r>
    </w:p>
    <w:p>
      <w:pPr>
        <w:pStyle w:val="ListParagraph"/>
        <w:numPr>
          <w:ilvl w:val="0"/>
          <w:numId w:val="3"/>
        </w:numPr>
        <w:spacing w:after="50" w:line="264"/>
      </w:pPr>
      <w:r>
        <w:rPr>
          <w:rFonts w:ascii="Arial" w:cs="Arial" w:eastAsia="Arial" w:hAnsi="Arial"/>
          <w:color w:val="33444F"/>
          <w:sz w:val="20"/>
          <w:szCs w:val="20"/>
        </w:rPr>
        <w:t xml:space="preserve">LabMgmt Jones CLIA CLIA Waived test list</w:t>
      </w:r>
      <w:r>
        <w:rPr>
          <w:rFonts w:ascii="Arial" w:cs="Arial" w:eastAsia="Arial" w:hAnsi="Arial"/>
          <w:i/>
          <w:iCs/>
          <w:color w:val="6B7B8A"/>
          <w:sz w:val="18"/>
          <w:szCs w:val="18"/>
        </w:rPr>
        <w:t xml:space="preserve">   (Lab Management / Dr Jones)</w:t>
      </w:r>
    </w:p>
    <w:p>
      <w:pPr>
        <w:pStyle w:val="Heading3"/>
        <w:spacing w:after="40" w:before="200"/>
      </w:pPr>
      <w:r>
        <w:rPr>
          <w:rFonts w:ascii="Arial" w:cs="Arial" w:eastAsia="Arial" w:hAnsi="Arial"/>
          <w:b/>
          <w:bCs/>
          <w:color w:val="455A64"/>
          <w:sz w:val="23"/>
          <w:szCs w:val="23"/>
        </w:rPr>
        <w:t xml:space="preserve">34.  </w:t>
      </w:r>
      <w:r>
        <w:rPr>
          <w:rFonts w:ascii="Arial" w:cs="Arial" w:eastAsia="Arial" w:hAnsi="Arial"/>
          <w:b/>
          <w:bCs/>
          <w:color w:val="1B2A38"/>
          <w:sz w:val="23"/>
          <w:szCs w:val="23"/>
        </w:rPr>
        <w:t xml:space="preserve">Utilization Management, Cost Awareness, and Leadership</w:t>
      </w:r>
    </w:p>
    <w:p>
      <w:pPr>
        <w:spacing w:after="90"/>
      </w:pPr>
      <w:r>
        <w:rPr>
          <w:rFonts w:ascii="Arial" w:cs="Arial" w:eastAsia="Arial" w:hAnsi="Arial"/>
          <w:color w:val="6B7B8A"/>
          <w:sz w:val="19"/>
          <w:szCs w:val="19"/>
        </w:rPr>
        <w:t xml:space="preserve">45–60 min   ·   deck: </w:t>
      </w:r>
      <w:r>
        <w:rPr>
          <w:rFonts w:ascii="Arial" w:cs="Arial" w:eastAsia="Arial" w:hAnsi="Arial"/>
          <w:i/>
          <w:iCs/>
          <w:color w:val="6B7B8A"/>
          <w:sz w:val="19"/>
          <w:szCs w:val="19"/>
        </w:rPr>
        <w:t xml:space="preserve">LabMgmt_05.pptx</w:t>
      </w:r>
    </w:p>
    <w:p>
      <w:pPr>
        <w:spacing w:after="40" w:before="120"/>
      </w:pPr>
      <w:r>
        <w:rPr>
          <w:rFonts w:ascii="Arial" w:cs="Arial" w:eastAsia="Arial" w:hAnsi="Arial"/>
          <w:b/>
          <w:bCs/>
          <w:color w:val="455A64"/>
          <w:spacing w:val="14"/>
          <w:sz w:val="18"/>
          <w:szCs w:val="18"/>
        </w:rPr>
        <w:t xml:space="preserve">LEARNING OBJECTIVES</w:t>
      </w:r>
    </w:p>
    <w:p>
      <w:pPr>
        <w:pStyle w:val="ListParagraph"/>
        <w:numPr>
          <w:ilvl w:val="0"/>
          <w:numId w:val="2"/>
        </w:numPr>
        <w:spacing w:after="50" w:line="264"/>
      </w:pPr>
      <w:r>
        <w:rPr>
          <w:rFonts w:ascii="Arial" w:cs="Arial" w:eastAsia="Arial" w:hAnsi="Arial"/>
          <w:color w:val="33444F"/>
          <w:sz w:val="21"/>
          <w:szCs w:val="21"/>
        </w:rPr>
        <w:t xml:space="preserve">Apply test-utilization and stewardship principles.</w:t>
      </w:r>
    </w:p>
    <w:p>
      <w:pPr>
        <w:pStyle w:val="ListParagraph"/>
        <w:numPr>
          <w:ilvl w:val="0"/>
          <w:numId w:val="2"/>
        </w:numPr>
        <w:spacing w:after="50" w:line="264"/>
      </w:pPr>
      <w:r>
        <w:rPr>
          <w:rFonts w:ascii="Arial" w:cs="Arial" w:eastAsia="Arial" w:hAnsi="Arial"/>
          <w:color w:val="33444F"/>
          <w:sz w:val="21"/>
          <w:szCs w:val="21"/>
        </w:rPr>
        <w:t xml:space="preserve">Use formulary thinking for send-outs.</w:t>
      </w:r>
    </w:p>
    <w:p>
      <w:pPr>
        <w:pStyle w:val="ListParagraph"/>
        <w:numPr>
          <w:ilvl w:val="0"/>
          <w:numId w:val="2"/>
        </w:numPr>
        <w:spacing w:after="50" w:line="264"/>
      </w:pPr>
      <w:r>
        <w:rPr>
          <w:rFonts w:ascii="Arial" w:cs="Arial" w:eastAsia="Arial" w:hAnsi="Arial"/>
          <w:color w:val="33444F"/>
          <w:sz w:val="21"/>
          <w:szCs w:val="21"/>
        </w:rPr>
        <w:t xml:space="preserve">Practice consultative pathology.</w:t>
      </w:r>
    </w:p>
    <w:p>
      <w:pPr>
        <w:pStyle w:val="ListParagraph"/>
        <w:numPr>
          <w:ilvl w:val="0"/>
          <w:numId w:val="2"/>
        </w:numPr>
        <w:spacing w:after="50" w:line="264"/>
      </w:pPr>
      <w:r>
        <w:rPr>
          <w:rFonts w:ascii="Arial" w:cs="Arial" w:eastAsia="Arial" w:hAnsi="Arial"/>
          <w:color w:val="33444F"/>
          <w:sz w:val="21"/>
          <w:szCs w:val="21"/>
        </w:rPr>
        <w:t xml:space="preserve">Outline a quality-improvement project.</w:t>
      </w:r>
    </w:p>
    <w:p>
      <w:pPr>
        <w:pStyle w:val="ListParagraph"/>
        <w:numPr>
          <w:ilvl w:val="0"/>
          <w:numId w:val="2"/>
        </w:numPr>
        <w:spacing w:after="50" w:line="264"/>
      </w:pPr>
      <w:r>
        <w:rPr>
          <w:rFonts w:ascii="Arial" w:cs="Arial" w:eastAsia="Arial" w:hAnsi="Arial"/>
          <w:color w:val="33444F"/>
          <w:sz w:val="21"/>
          <w:szCs w:val="21"/>
        </w:rPr>
        <w:t xml:space="preserve">Develop laboratory leadership skills.</w:t>
      </w:r>
    </w:p>
    <w:p>
      <w:pPr>
        <w:spacing w:after="40" w:before="120"/>
      </w:pPr>
      <w:r>
        <w:rPr>
          <w:rFonts w:ascii="Arial" w:cs="Arial" w:eastAsia="Arial" w:hAnsi="Arial"/>
          <w:b/>
          <w:bCs/>
          <w:color w:val="455A64"/>
          <w:spacing w:val="14"/>
          <w:sz w:val="18"/>
          <w:szCs w:val="18"/>
        </w:rPr>
        <w:t xml:space="preserve">KEY TOPICS</w:t>
      </w:r>
    </w:p>
    <w:p>
      <w:pPr>
        <w:pStyle w:val="ListParagraph"/>
        <w:numPr>
          <w:ilvl w:val="0"/>
          <w:numId w:val="2"/>
        </w:numPr>
        <w:spacing w:after="50" w:line="264"/>
      </w:pPr>
      <w:r>
        <w:rPr>
          <w:rFonts w:ascii="Arial" w:cs="Arial" w:eastAsia="Arial" w:hAnsi="Arial"/>
          <w:color w:val="33444F"/>
          <w:sz w:val="21"/>
          <w:szCs w:val="21"/>
        </w:rPr>
        <w:t xml:space="preserve">Test utilization and overuse reduction</w:t>
      </w:r>
    </w:p>
    <w:p>
      <w:pPr>
        <w:pStyle w:val="ListParagraph"/>
        <w:numPr>
          <w:ilvl w:val="0"/>
          <w:numId w:val="2"/>
        </w:numPr>
        <w:spacing w:after="50" w:line="264"/>
      </w:pPr>
      <w:r>
        <w:rPr>
          <w:rFonts w:ascii="Arial" w:cs="Arial" w:eastAsia="Arial" w:hAnsi="Arial"/>
          <w:color w:val="33444F"/>
          <w:sz w:val="21"/>
          <w:szCs w:val="21"/>
        </w:rPr>
        <w:t xml:space="preserve">Send-out formulary management</w:t>
      </w:r>
    </w:p>
    <w:p>
      <w:pPr>
        <w:pStyle w:val="ListParagraph"/>
        <w:numPr>
          <w:ilvl w:val="0"/>
          <w:numId w:val="2"/>
        </w:numPr>
        <w:spacing w:after="50" w:line="264"/>
      </w:pPr>
      <w:r>
        <w:rPr>
          <w:rFonts w:ascii="Arial" w:cs="Arial" w:eastAsia="Arial" w:hAnsi="Arial"/>
          <w:color w:val="33444F"/>
          <w:sz w:val="21"/>
          <w:szCs w:val="21"/>
        </w:rPr>
        <w:t xml:space="preserve">Consultative pathology practice</w:t>
      </w:r>
    </w:p>
    <w:p>
      <w:pPr>
        <w:pStyle w:val="ListParagraph"/>
        <w:numPr>
          <w:ilvl w:val="0"/>
          <w:numId w:val="2"/>
        </w:numPr>
        <w:spacing w:after="50" w:line="264"/>
      </w:pPr>
      <w:r>
        <w:rPr>
          <w:rFonts w:ascii="Arial" w:cs="Arial" w:eastAsia="Arial" w:hAnsi="Arial"/>
          <w:color w:val="33444F"/>
          <w:sz w:val="21"/>
          <w:szCs w:val="21"/>
        </w:rPr>
        <w:t xml:space="preserve">QI project design (PDSA)</w:t>
      </w:r>
    </w:p>
    <w:p>
      <w:pPr>
        <w:pStyle w:val="ListParagraph"/>
        <w:numPr>
          <w:ilvl w:val="0"/>
          <w:numId w:val="2"/>
        </w:numPr>
        <w:spacing w:after="50" w:line="264"/>
      </w:pPr>
      <w:r>
        <w:rPr>
          <w:rFonts w:ascii="Arial" w:cs="Arial" w:eastAsia="Arial" w:hAnsi="Arial"/>
          <w:color w:val="33444F"/>
          <w:sz w:val="21"/>
          <w:szCs w:val="21"/>
        </w:rPr>
        <w:t xml:space="preserve">Cost awareness and value</w:t>
      </w:r>
    </w:p>
    <w:p>
      <w:pPr>
        <w:pStyle w:val="ListParagraph"/>
        <w:numPr>
          <w:ilvl w:val="0"/>
          <w:numId w:val="2"/>
        </w:numPr>
        <w:spacing w:after="50" w:line="264"/>
      </w:pPr>
      <w:r>
        <w:rPr>
          <w:rFonts w:ascii="Arial" w:cs="Arial" w:eastAsia="Arial" w:hAnsi="Arial"/>
          <w:color w:val="33444F"/>
          <w:sz w:val="21"/>
          <w:szCs w:val="21"/>
        </w:rPr>
        <w:t xml:space="preserve">Leadership and change management</w:t>
      </w:r>
    </w:p>
    <w:p>
      <w:pPr>
        <w:spacing w:after="40" w:before="120"/>
      </w:pPr>
      <w:r>
        <w:rPr>
          <w:rFonts w:ascii="Arial" w:cs="Arial" w:eastAsia="Arial" w:hAnsi="Arial"/>
          <w:b/>
          <w:bCs/>
          <w:color w:val="455A64"/>
          <w:spacing w:val="14"/>
          <w:sz w:val="18"/>
          <w:szCs w:val="18"/>
        </w:rPr>
        <w:t xml:space="preserve">BOARD-EXAM THEMES</w:t>
      </w:r>
    </w:p>
    <w:p>
      <w:pPr>
        <w:pStyle w:val="ListParagraph"/>
        <w:numPr>
          <w:ilvl w:val="0"/>
          <w:numId w:val="2"/>
        </w:numPr>
        <w:spacing w:after="50" w:line="264"/>
      </w:pPr>
      <w:r>
        <w:rPr>
          <w:rFonts w:ascii="Arial" w:cs="Arial" w:eastAsia="Arial" w:hAnsi="Arial"/>
          <w:color w:val="33444F"/>
          <w:sz w:val="21"/>
          <w:szCs w:val="21"/>
        </w:rPr>
        <w:t xml:space="preserve">Utilization intervention design</w:t>
      </w:r>
    </w:p>
    <w:p>
      <w:pPr>
        <w:pStyle w:val="ListParagraph"/>
        <w:numPr>
          <w:ilvl w:val="0"/>
          <w:numId w:val="2"/>
        </w:numPr>
        <w:spacing w:after="50" w:line="264"/>
      </w:pPr>
      <w:r>
        <w:rPr>
          <w:rFonts w:ascii="Arial" w:cs="Arial" w:eastAsia="Arial" w:hAnsi="Arial"/>
          <w:color w:val="33444F"/>
          <w:sz w:val="21"/>
          <w:szCs w:val="21"/>
        </w:rPr>
        <w:t xml:space="preserve">Appropriate send-out gatekeeping</w:t>
      </w:r>
    </w:p>
    <w:p>
      <w:pPr>
        <w:pStyle w:val="ListParagraph"/>
        <w:numPr>
          <w:ilvl w:val="0"/>
          <w:numId w:val="2"/>
        </w:numPr>
        <w:spacing w:after="50" w:line="264"/>
      </w:pPr>
      <w:r>
        <w:rPr>
          <w:rFonts w:ascii="Arial" w:cs="Arial" w:eastAsia="Arial" w:hAnsi="Arial"/>
          <w:color w:val="33444F"/>
          <w:sz w:val="21"/>
          <w:szCs w:val="21"/>
        </w:rPr>
        <w:t xml:space="preserve">PDSA cycle in a QI project</w:t>
      </w:r>
    </w:p>
    <w:p>
      <w:pPr>
        <w:spacing w:after="40" w:before="120"/>
      </w:pPr>
      <w:r>
        <w:rPr>
          <w:rFonts w:ascii="Arial" w:cs="Arial" w:eastAsia="Arial" w:hAnsi="Arial"/>
          <w:b/>
          <w:bCs/>
          <w:color w:val="455A64"/>
          <w:spacing w:val="14"/>
          <w:sz w:val="18"/>
          <w:szCs w:val="18"/>
        </w:rPr>
        <w:t xml:space="preserve">SOURCE MATERIALS IN THE REPOSITORY</w:t>
      </w:r>
    </w:p>
    <w:p>
      <w:pPr>
        <w:pStyle w:val="ListParagraph"/>
        <w:numPr>
          <w:ilvl w:val="0"/>
          <w:numId w:val="3"/>
        </w:numPr>
        <w:spacing w:after="50" w:line="264"/>
      </w:pPr>
      <w:r>
        <w:rPr>
          <w:rFonts w:ascii="Arial" w:cs="Arial" w:eastAsia="Arial" w:hAnsi="Arial"/>
          <w:color w:val="33444F"/>
          <w:sz w:val="20"/>
          <w:szCs w:val="20"/>
        </w:rPr>
        <w:t xml:space="preserve">LabMgmt Jones Finance CAP Cost Analysis Toolkit</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Matters Relating to Clinical Testing</w:t>
      </w:r>
      <w:r>
        <w:rPr>
          <w:rFonts w:ascii="Arial" w:cs="Arial" w:eastAsia="Arial" w:hAnsi="Arial"/>
          <w:i/>
          <w:iCs/>
          <w:color w:val="6B7B8A"/>
          <w:sz w:val="18"/>
          <w:szCs w:val="18"/>
        </w:rPr>
        <w:t xml:space="preserve">   (Lab Management)</w:t>
      </w:r>
    </w:p>
    <w:p>
      <w:pPr>
        <w:pStyle w:val="ListParagraph"/>
        <w:numPr>
          <w:ilvl w:val="0"/>
          <w:numId w:val="3"/>
        </w:numPr>
        <w:spacing w:after="50" w:line="264"/>
      </w:pPr>
      <w:r>
        <w:rPr>
          <w:rFonts w:ascii="Arial" w:cs="Arial" w:eastAsia="Arial" w:hAnsi="Arial"/>
          <w:color w:val="33444F"/>
          <w:sz w:val="20"/>
          <w:szCs w:val="20"/>
        </w:rPr>
        <w:t xml:space="preserve">Jones Leadership Leadership</w:t>
      </w:r>
      <w:r>
        <w:rPr>
          <w:rFonts w:ascii="Arial" w:cs="Arial" w:eastAsia="Arial" w:hAnsi="Arial"/>
          <w:i/>
          <w:iCs/>
          <w:color w:val="6B7B8A"/>
          <w:sz w:val="18"/>
          <w:szCs w:val="18"/>
        </w:rPr>
        <w:t xml:space="preserve">   (Lab Management / Dr Jones)</w:t>
      </w:r>
    </w:p>
    <w:p>
      <w:pPr>
        <w:pStyle w:val="ListParagraph"/>
        <w:numPr>
          <w:ilvl w:val="0"/>
          <w:numId w:val="3"/>
        </w:numPr>
        <w:spacing w:after="50" w:line="264"/>
      </w:pPr>
      <w:r>
        <w:rPr>
          <w:rFonts w:ascii="Arial" w:cs="Arial" w:eastAsia="Arial" w:hAnsi="Arial"/>
          <w:color w:val="33444F"/>
          <w:sz w:val="20"/>
          <w:szCs w:val="20"/>
        </w:rPr>
        <w:t xml:space="preserve">LabMgmt Matters Relating to Clinical Testing Cook</w:t>
      </w:r>
      <w:r>
        <w:rPr>
          <w:rFonts w:ascii="Arial" w:cs="Arial" w:eastAsia="Arial" w:hAnsi="Arial"/>
          <w:i/>
          <w:iCs/>
          <w:color w:val="6B7B8A"/>
          <w:sz w:val="18"/>
          <w:szCs w:val="18"/>
        </w:rPr>
        <w:t xml:space="preserve">   (Lab Management)</w:t>
      </w:r>
    </w:p>
    <w:p>
      <w:pPr>
        <w:pStyle w:val="ListParagraph"/>
        <w:numPr>
          <w:ilvl w:val="0"/>
          <w:numId w:val="3"/>
        </w:numPr>
        <w:spacing w:after="50" w:line="264"/>
      </w:pPr>
      <w:r>
        <w:rPr>
          <w:rFonts w:ascii="Arial" w:cs="Arial" w:eastAsia="Arial" w:hAnsi="Arial"/>
          <w:color w:val="33444F"/>
          <w:sz w:val="20"/>
          <w:szCs w:val="20"/>
        </w:rPr>
        <w:t xml:space="preserve">LabMgmt Matters Relating to Clinical Testing Cook</w:t>
      </w:r>
      <w:r>
        <w:rPr>
          <w:rFonts w:ascii="Arial" w:cs="Arial" w:eastAsia="Arial" w:hAnsi="Arial"/>
          <w:i/>
          <w:iCs/>
          <w:color w:val="6B7B8A"/>
          <w:sz w:val="18"/>
          <w:szCs w:val="18"/>
        </w:rPr>
        <w:t xml:space="preserve">   (Lab Management)</w:t>
      </w:r>
    </w:p>
    <w:p>
      <w:pPr>
        <w:pStyle w:val="ListParagraph"/>
        <w:numPr>
          <w:ilvl w:val="0"/>
          <w:numId w:val="3"/>
        </w:numPr>
        <w:spacing w:after="50" w:line="264"/>
      </w:pPr>
      <w:r>
        <w:rPr>
          <w:rFonts w:ascii="Arial" w:cs="Arial" w:eastAsia="Arial" w:hAnsi="Arial"/>
          <w:color w:val="33444F"/>
          <w:sz w:val="20"/>
          <w:szCs w:val="20"/>
        </w:rPr>
        <w:t xml:space="preserve">LabMgmt Matters Relating to Clinical Testing Cook</w:t>
      </w:r>
      <w:r>
        <w:rPr>
          <w:rFonts w:ascii="Arial" w:cs="Arial" w:eastAsia="Arial" w:hAnsi="Arial"/>
          <w:i/>
          <w:iCs/>
          <w:color w:val="6B7B8A"/>
          <w:sz w:val="18"/>
          <w:szCs w:val="18"/>
        </w:rPr>
        <w:t xml:space="preserve">   (Lab Management)</w:t>
      </w:r>
    </w:p>
    <w:p>
      <w:r>
        <w:br w:type="page"/>
      </w:r>
    </w:p>
    <w:p>
      <w:pPr>
        <w:pStyle w:val="Heading1"/>
        <w:spacing w:after="160" w:before="260"/>
      </w:pPr>
      <w:r>
        <w:rPr>
          <w:rFonts w:ascii="Arial" w:cs="Arial" w:eastAsia="Arial" w:hAnsi="Arial"/>
          <w:b/>
          <w:bCs/>
          <w:color w:val="0E3A5F"/>
          <w:sz w:val="32"/>
          <w:szCs w:val="32"/>
        </w:rPr>
        <w:t xml:space="preserve">Yearly Delivery Model</w:t>
      </w:r>
    </w:p>
    <w:p>
      <w:pPr>
        <w:spacing w:after="120" w:before="0" w:line="276"/>
      </w:pPr>
      <w:r>
        <w:rPr>
          <w:rFonts w:ascii="Arial" w:cs="Arial" w:eastAsia="Arial" w:hAnsi="Arial"/>
          <w:color w:val="33444F"/>
          <w:sz w:val="22"/>
          <w:szCs w:val="22"/>
        </w:rPr>
        <w:t xml:space="preserve">A block-based schedule keeps teaching systematic while allowing repetition and board review. One subspecialty runs at a time in 4–5 weekly sessions; 34 sessions fill most of an academic year and leave room for journal club, unknown conferences, and multidisciplinary case conferences.</w:t>
      </w:r>
    </w:p>
    <w:tbl>
      <w:tblPr>
        <w:tblW w:type="dxa" w:w="9360"/>
        <w:tblBorders>
          <w:top w:val="single" w:color="C9D4DE" w:sz="1"/>
          <w:left w:val="single" w:color="C9D4DE" w:sz="1"/>
          <w:bottom w:val="single" w:color="C9D4DE" w:sz="1"/>
          <w:right w:val="single" w:color="C9D4DE" w:sz="1"/>
          <w:insideH w:val="single" w:color="C9D4DE" w:sz="1"/>
          <w:insideV w:val="single" w:color="C9D4DE" w:sz="1"/>
        </w:tblBorders>
      </w:tblPr>
      <w:tblGrid>
        <w:gridCol w:w="4400"/>
        <w:gridCol w:w="1500"/>
        <w:gridCol w:w="3460"/>
      </w:tblGrid>
      <w:tr>
        <w:trPr>
          <w:tblHeader/>
        </w:trP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FFFFFF"/>
                <w:sz w:val="19"/>
                <w:szCs w:val="19"/>
              </w:rPr>
              <w:t xml:space="preserve">Block</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FFFFFF"/>
                <w:sz w:val="19"/>
                <w:szCs w:val="19"/>
              </w:rPr>
              <w:t xml:space="preserve">Lectures</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b/>
                <w:bCs/>
                <w:color w:val="FFFFFF"/>
                <w:sz w:val="19"/>
                <w:szCs w:val="19"/>
              </w:rPr>
              <w:t xml:space="preserve">Suggested timing</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Hematology &amp; Coagulation</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C62133"/>
                <w:sz w:val="20"/>
                <w:szCs w:val="20"/>
              </w:rPr>
              <w:t xml:space="preserve">5</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1–5</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Transfusion Medicine</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AD1457"/>
                <w:sz w:val="20"/>
                <w:szCs w:val="20"/>
              </w:rPr>
              <w:t xml:space="preserve">5</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6–10</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Clinical Chemistry</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1565C0"/>
                <w:sz w:val="20"/>
                <w:szCs w:val="20"/>
              </w:rPr>
              <w:t xml:space="preserve">5</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11–15</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Microbiology</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2E7D32"/>
                <w:sz w:val="20"/>
                <w:szCs w:val="20"/>
              </w:rPr>
              <w:t xml:space="preserve">5</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16–20</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Immunology &amp; Serology</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6A1B9A"/>
                <w:sz w:val="20"/>
                <w:szCs w:val="20"/>
              </w:rPr>
              <w:t xml:space="preserve">4</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21–24</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Molecular &amp; Cytogenetics</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00838F"/>
                <w:sz w:val="20"/>
                <w:szCs w:val="20"/>
              </w:rPr>
              <w:t xml:space="preserve">5</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25–29</w:t>
            </w:r>
          </w:p>
        </w:tc>
      </w:tr>
      <w:tr>
        <w:tc>
          <w:tcPr>
            <w:tcW w:type="dxa" w:w="4400"/>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Laboratory Management, Informatics, Quality &amp; Safety</w:t>
            </w:r>
          </w:p>
        </w:tc>
        <w:tc>
          <w:tcPr>
            <w:tcW w:type="dxa" w:w="1500"/>
            <w:tcMar>
              <w:top w:type="dxa" w:w="60"/>
              <w:left w:type="dxa" w:w="110"/>
              <w:bottom w:type="dxa" w:w="60"/>
              <w:right w:type="dxa" w:w="110"/>
            </w:tcMar>
            <w:vAlign w:val="center"/>
          </w:tcPr>
          <w:p>
            <w:pPr>
              <w:spacing w:after="0" w:line="248"/>
              <w:jc w:val="center"/>
            </w:pPr>
            <w:r>
              <w:rPr>
                <w:rFonts w:ascii="Arial" w:cs="Arial" w:eastAsia="Arial" w:hAnsi="Arial"/>
                <w:b/>
                <w:bCs/>
                <w:color w:val="455A64"/>
                <w:sz w:val="20"/>
                <w:szCs w:val="20"/>
              </w:rPr>
              <w:t xml:space="preserve">5</w:t>
            </w:r>
          </w:p>
        </w:tc>
        <w:tc>
          <w:tcPr>
            <w:tcW w:type="dxa" w:w="3460"/>
            <w:tcMar>
              <w:top w:type="dxa" w:w="60"/>
              <w:left w:type="dxa" w:w="110"/>
              <w:bottom w:type="dxa" w:w="60"/>
              <w:right w:type="dxa" w:w="110"/>
            </w:tcMar>
            <w:vAlign w:val="center"/>
          </w:tcPr>
          <w:p>
            <w:pPr>
              <w:spacing w:after="0" w:line="248"/>
              <w:jc w:val="left"/>
            </w:pPr>
            <w:r>
              <w:rPr>
                <w:rFonts w:ascii="Arial" w:cs="Arial" w:eastAsia="Arial" w:hAnsi="Arial"/>
                <w:color w:val="33444F"/>
                <w:sz w:val="20"/>
                <w:szCs w:val="20"/>
              </w:rPr>
              <w:t xml:space="preserve">Weeks 30–34</w:t>
            </w:r>
          </w:p>
        </w:tc>
      </w:tr>
      <w:tr>
        <w:tc>
          <w:tcPr>
            <w:tcW w:type="dxa" w:w="4400"/>
            <w:shd w:fill="EEF3F8" w:val="clear"/>
            <w:tcMar>
              <w:top w:type="dxa" w:w="60"/>
              <w:left w:type="dxa" w:w="110"/>
              <w:bottom w:type="dxa" w:w="60"/>
              <w:right w:type="dxa" w:w="110"/>
            </w:tcMar>
            <w:vAlign w:val="center"/>
          </w:tcPr>
          <w:p>
            <w:pPr>
              <w:spacing w:after="0" w:line="248"/>
              <w:jc w:val="left"/>
            </w:pPr>
            <w:r>
              <w:rPr>
                <w:rFonts w:ascii="Arial" w:cs="Arial" w:eastAsia="Arial" w:hAnsi="Arial"/>
                <w:b/>
                <w:bCs/>
                <w:color w:val="1B2A38"/>
                <w:sz w:val="20"/>
                <w:szCs w:val="20"/>
              </w:rPr>
              <w:t xml:space="preserve">Total</w:t>
            </w:r>
          </w:p>
        </w:tc>
        <w:tc>
          <w:tcPr>
            <w:tcW w:type="dxa" w:w="1500"/>
            <w:shd w:fill="EEF3F8" w:val="clear"/>
            <w:tcMar>
              <w:top w:type="dxa" w:w="60"/>
              <w:left w:type="dxa" w:w="110"/>
              <w:bottom w:type="dxa" w:w="60"/>
              <w:right w:type="dxa" w:w="110"/>
            </w:tcMar>
            <w:vAlign w:val="center"/>
          </w:tcPr>
          <w:p>
            <w:pPr>
              <w:spacing w:after="0" w:line="248"/>
              <w:jc w:val="center"/>
            </w:pPr>
            <w:r>
              <w:rPr>
                <w:rFonts w:ascii="Arial" w:cs="Arial" w:eastAsia="Arial" w:hAnsi="Arial"/>
                <w:b/>
                <w:bCs/>
                <w:color w:val="1B2A38"/>
                <w:sz w:val="20"/>
                <w:szCs w:val="20"/>
              </w:rPr>
              <w:t xml:space="preserve">34</w:t>
            </w:r>
          </w:p>
        </w:tc>
        <w:tc>
          <w:tcPr>
            <w:tcW w:type="dxa" w:w="3460"/>
            <w:shd w:fill="EEF3F8" w:val="clear"/>
            <w:tcMar>
              <w:top w:type="dxa" w:w="60"/>
              <w:left w:type="dxa" w:w="110"/>
              <w:bottom w:type="dxa" w:w="60"/>
              <w:right w:type="dxa" w:w="110"/>
            </w:tcMar>
            <w:vAlign w:val="center"/>
          </w:tcPr>
          <w:p>
            <w:pPr>
              <w:spacing w:after="0" w:line="248"/>
              <w:jc w:val="left"/>
            </w:pPr>
            <w:r>
              <w:rPr>
                <w:rFonts w:ascii="Arial" w:cs="Arial" w:eastAsia="Arial" w:hAnsi="Arial"/>
                <w:color w:val="6B7B8A"/>
                <w:sz w:val="20"/>
                <w:szCs w:val="20"/>
              </w:rPr>
              <w:t xml:space="preserve">≈ one academic year</w:t>
            </w:r>
          </w:p>
        </w:tc>
      </w:tr>
    </w:tbl>
    <w:p>
      <w:pPr>
        <w:spacing w:after="120" w:before="120" w:line="276"/>
      </w:pPr>
      <w:r>
        <w:rPr>
          <w:rFonts w:ascii="Arial" w:cs="Arial" w:eastAsia="Arial" w:hAnsi="Arial"/>
          <w:i/>
          <w:iCs/>
          <w:color w:val="6B7B8A"/>
          <w:sz w:val="20"/>
          <w:szCs w:val="20"/>
        </w:rPr>
        <w:t xml:space="preserve">Each session runs 45–60 minutes including 10–15 minutes of case discussion.</w:t>
      </w:r>
    </w:p>
    <w:p>
      <w:r>
        <w:br w:type="page"/>
      </w:r>
    </w:p>
    <w:p>
      <w:pPr>
        <w:pStyle w:val="Heading1"/>
        <w:spacing w:after="160" w:before="260"/>
      </w:pPr>
      <w:r>
        <w:rPr>
          <w:rFonts w:ascii="Arial" w:cs="Arial" w:eastAsia="Arial" w:hAnsi="Arial"/>
          <w:b/>
          <w:bCs/>
          <w:color w:val="0E3A5F"/>
          <w:sz w:val="32"/>
          <w:szCs w:val="32"/>
        </w:rPr>
        <w:t xml:space="preserve">Slide-Deck Design System</w:t>
      </w:r>
    </w:p>
    <w:p>
      <w:pPr>
        <w:spacing w:after="120" w:before="0" w:line="276"/>
      </w:pPr>
      <w:r>
        <w:rPr>
          <w:rFonts w:ascii="Arial" w:cs="Arial" w:eastAsia="Arial" w:hAnsi="Arial"/>
          <w:color w:val="33444F"/>
          <w:sz w:val="22"/>
          <w:szCs w:val="22"/>
        </w:rPr>
        <w:t xml:space="preserve">All 34 decks share one visual identity — “Clinical Navy” with a distinct accent color per block, so each subspecialty is instantly recognizable. Every deck uses the same slide types: title, learning objectives, roadmap, section dividers, concept cards, original algorithms, comparison tables, teaching cases with answer reveals, board-style questions, key take-home points, and references.</w:t>
      </w:r>
    </w:p>
    <w:tbl>
      <w:tblPr>
        <w:tblW w:type="dxa" w:w="9360"/>
        <w:tblBorders>
          <w:top w:val="single" w:color="C9D4DE" w:sz="1"/>
          <w:left w:val="single" w:color="C9D4DE" w:sz="1"/>
          <w:bottom w:val="single" w:color="C9D4DE" w:sz="1"/>
          <w:right w:val="single" w:color="C9D4DE" w:sz="1"/>
          <w:insideH w:val="single" w:color="C9D4DE" w:sz="1"/>
          <w:insideV w:val="single" w:color="C9D4DE" w:sz="1"/>
        </w:tblBorders>
      </w:tblPr>
      <w:tblGrid>
        <w:gridCol w:w="5360"/>
        <w:gridCol w:w="2400"/>
        <w:gridCol w:w="1600"/>
      </w:tblGrid>
      <w:tr>
        <w:trPr>
          <w:tblHeader/>
        </w:trPr>
        <w:tc>
          <w:tcPr>
            <w:tcW w:type="dxa" w:w="5360"/>
            <w:tcMar>
              <w:top w:type="dxa" w:w="60"/>
              <w:left w:type="dxa" w:w="110"/>
              <w:bottom w:type="dxa" w:w="60"/>
              <w:right w:type="dxa" w:w="110"/>
            </w:tcMar>
            <w:vAlign w:val="center"/>
          </w:tcPr>
          <w:p>
            <w:pPr>
              <w:spacing w:after="0" w:line="248"/>
              <w:jc w:val="left"/>
            </w:pPr>
            <w:r>
              <w:rPr>
                <w:rFonts w:ascii="Arial" w:cs="Arial" w:eastAsia="Arial" w:hAnsi="Arial"/>
                <w:b/>
                <w:bCs/>
                <w:color w:val="FFFFFF"/>
                <w:sz w:val="19"/>
                <w:szCs w:val="19"/>
              </w:rPr>
              <w:t xml:space="preserve">Block</w:t>
            </w:r>
          </w:p>
        </w:tc>
        <w:tc>
          <w:tcPr>
            <w:tcW w:type="dxa" w:w="2400"/>
            <w:tcMar>
              <w:top w:type="dxa" w:w="60"/>
              <w:left w:type="dxa" w:w="110"/>
              <w:bottom w:type="dxa" w:w="60"/>
              <w:right w:type="dxa" w:w="110"/>
            </w:tcMar>
            <w:vAlign w:val="center"/>
          </w:tcPr>
          <w:p>
            <w:pPr>
              <w:spacing w:after="0" w:line="248"/>
              <w:jc w:val="left"/>
            </w:pPr>
            <w:r>
              <w:rPr>
                <w:rFonts w:ascii="Arial" w:cs="Arial" w:eastAsia="Arial" w:hAnsi="Arial"/>
                <w:b/>
                <w:bCs/>
                <w:color w:val="FFFFFF"/>
                <w:sz w:val="19"/>
                <w:szCs w:val="19"/>
              </w:rPr>
              <w:t xml:space="preserve">Accent color</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b/>
                <w:bCs/>
                <w:color w:val="FFFFFF"/>
                <w:sz w:val="19"/>
                <w:szCs w:val="19"/>
              </w:rPr>
              <w:t xml:space="preserve">Hex</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Hematology &amp; Coagulation</w:t>
            </w:r>
          </w:p>
        </w:tc>
        <w:tc>
          <w:tcPr>
            <w:tcW w:type="dxa" w:w="2400"/>
            <w:shd w:fill="C62133"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Crimson</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#C62133</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Transfusion Medicine</w:t>
            </w:r>
          </w:p>
        </w:tc>
        <w:tc>
          <w:tcPr>
            <w:tcW w:type="dxa" w:w="2400"/>
            <w:shd w:fill="AD1457"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Magenta</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#AD1457</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Clinical Chemistry</w:t>
            </w:r>
          </w:p>
        </w:tc>
        <w:tc>
          <w:tcPr>
            <w:tcW w:type="dxa" w:w="2400"/>
            <w:shd w:fill="1565C0"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Blue</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#1565C0</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Microbiology</w:t>
            </w:r>
          </w:p>
        </w:tc>
        <w:tc>
          <w:tcPr>
            <w:tcW w:type="dxa" w:w="2400"/>
            <w:shd w:fill="2E7D32"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Green</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#2E7D32</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Immunology &amp; Serology</w:t>
            </w:r>
          </w:p>
        </w:tc>
        <w:tc>
          <w:tcPr>
            <w:tcW w:type="dxa" w:w="2400"/>
            <w:shd w:fill="6A1B9A"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Purple</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#6A1B9A</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Molecular &amp; Cytogenetics</w:t>
            </w:r>
          </w:p>
        </w:tc>
        <w:tc>
          <w:tcPr>
            <w:tcW w:type="dxa" w:w="2400"/>
            <w:shd w:fill="00838F"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Teal</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#00838F</w:t>
            </w:r>
          </w:p>
        </w:tc>
      </w:tr>
      <w:tr>
        <w:tc>
          <w:tcPr>
            <w:tcW w:type="dxa" w:w="5360"/>
            <w:tcMar>
              <w:top w:type="dxa" w:w="60"/>
              <w:left w:type="dxa" w:w="110"/>
              <w:bottom w:type="dxa" w:w="60"/>
              <w:right w:type="dxa" w:w="110"/>
            </w:tcMar>
            <w:vAlign w:val="center"/>
          </w:tcPr>
          <w:p>
            <w:pPr>
              <w:spacing w:after="0" w:line="248"/>
              <w:jc w:val="left"/>
            </w:pPr>
            <w:r>
              <w:rPr>
                <w:rFonts w:ascii="Arial" w:cs="Arial" w:eastAsia="Arial" w:hAnsi="Arial"/>
                <w:color w:val="1B2A38"/>
                <w:sz w:val="20"/>
                <w:szCs w:val="20"/>
              </w:rPr>
              <w:t xml:space="preserve">Laboratory Management, Informatics, Quality &amp; Safety</w:t>
            </w:r>
          </w:p>
        </w:tc>
        <w:tc>
          <w:tcPr>
            <w:tcW w:type="dxa" w:w="2400"/>
            <w:shd w:fill="455A64" w:val="clear"/>
            <w:tcMar>
              <w:top w:type="dxa" w:w="60"/>
              <w:left w:type="dxa" w:w="110"/>
              <w:bottom w:type="dxa" w:w="60"/>
              <w:right w:type="dxa" w:w="110"/>
            </w:tcMar>
            <w:vAlign w:val="center"/>
          </w:tcPr>
          <w:p>
            <w:pPr>
              <w:spacing w:after="0" w:line="248"/>
              <w:jc w:val="left"/>
            </w:pPr>
            <w:r>
              <w:rPr>
                <w:rFonts w:ascii="Arial" w:cs="Arial" w:eastAsia="Arial" w:hAnsi="Arial"/>
                <w:b/>
                <w:bCs/>
                <w:color w:val="FFFFFF"/>
                <w:sz w:val="20"/>
                <w:szCs w:val="20"/>
              </w:rPr>
              <w:t xml:space="preserve">Slate</w:t>
            </w:r>
          </w:p>
        </w:tc>
        <w:tc>
          <w:tcPr>
            <w:tcW w:type="dxa" w:w="1600"/>
            <w:tcMar>
              <w:top w:type="dxa" w:w="60"/>
              <w:left w:type="dxa" w:w="110"/>
              <w:bottom w:type="dxa" w:w="60"/>
              <w:right w:type="dxa" w:w="110"/>
            </w:tcMar>
            <w:vAlign w:val="center"/>
          </w:tcPr>
          <w:p>
            <w:pPr>
              <w:spacing w:after="0" w:line="248"/>
              <w:jc w:val="center"/>
            </w:pPr>
            <w:r>
              <w:rPr>
                <w:rFonts w:ascii="Arial" w:cs="Arial" w:eastAsia="Arial" w:hAnsi="Arial"/>
                <w:color w:val="6B7B8A"/>
                <w:sz w:val="20"/>
                <w:szCs w:val="20"/>
              </w:rPr>
              <w:t xml:space="preserve">#455A64</w:t>
            </w:r>
          </w:p>
        </w:tc>
      </w:tr>
    </w:tbl>
    <w:p>
      <w:pPr>
        <w:spacing w:after="160" w:before="0" w:line="276"/>
      </w:pPr>
    </w:p>
    <w:p>
      <w:pPr>
        <w:pStyle w:val="Heading1"/>
        <w:spacing w:after="160" w:before="260"/>
      </w:pPr>
      <w:r>
        <w:rPr>
          <w:rFonts w:ascii="Arial" w:cs="Arial" w:eastAsia="Arial" w:hAnsi="Arial"/>
          <w:b/>
          <w:bCs/>
          <w:color w:val="0E3A5F"/>
          <w:sz w:val="32"/>
          <w:szCs w:val="32"/>
        </w:rPr>
        <w:t xml:space="preserve">Notes on Sources and Gaps</w:t>
      </w:r>
    </w:p>
    <w:p>
      <w:pPr>
        <w:spacing w:after="120" w:before="0" w:line="276"/>
      </w:pPr>
      <w:r>
        <w:rPr>
          <w:rFonts w:ascii="Arial" w:cs="Arial" w:eastAsia="Arial" w:hAnsi="Arial"/>
          <w:color w:val="33444F"/>
          <w:sz w:val="22"/>
          <w:szCs w:val="22"/>
        </w:rPr>
        <w:t xml:space="preserve">The lecture–source crosswalk above was generated by matching each lecture against the indexed repository. Coverage is strongest where the department already teaches heavily: transfusion medicine, hematology/coagulation, chemistry, and laboratory management. Topics with lighter repository coverage — to be developed or supplemented from current standards — include:</w:t>
      </w:r>
    </w:p>
    <w:p>
      <w:pPr>
        <w:pStyle w:val="ListParagraph"/>
        <w:numPr>
          <w:ilvl w:val="0"/>
          <w:numId w:val="2"/>
        </w:numPr>
        <w:spacing w:after="50" w:line="264"/>
      </w:pPr>
      <w:r>
        <w:rPr>
          <w:rFonts w:ascii="Arial" w:cs="Arial" w:eastAsia="Arial" w:hAnsi="Arial"/>
          <w:color w:val="33444F"/>
          <w:sz w:val="21"/>
          <w:szCs w:val="21"/>
        </w:rPr>
        <w:t xml:space="preserve">Immunology &amp; serology (no dedicated folder; material is dispersed across chemistry and microbiology).</w:t>
      </w:r>
    </w:p>
    <w:p>
      <w:pPr>
        <w:pStyle w:val="ListParagraph"/>
        <w:numPr>
          <w:ilvl w:val="0"/>
          <w:numId w:val="2"/>
        </w:numPr>
        <w:spacing w:after="50" w:line="264"/>
      </w:pPr>
      <w:r>
        <w:rPr>
          <w:rFonts w:ascii="Arial" w:cs="Arial" w:eastAsia="Arial" w:hAnsi="Arial"/>
          <w:color w:val="33444F"/>
          <w:sz w:val="21"/>
          <w:szCs w:val="21"/>
        </w:rPr>
        <w:t xml:space="preserve">Molecular variant interpretation and reporting frameworks (ACMG/AMP tiering).</w:t>
      </w:r>
    </w:p>
    <w:p>
      <w:pPr>
        <w:pStyle w:val="ListParagraph"/>
        <w:numPr>
          <w:ilvl w:val="0"/>
          <w:numId w:val="2"/>
        </w:numPr>
        <w:spacing w:after="50" w:line="264"/>
      </w:pPr>
      <w:r>
        <w:rPr>
          <w:rFonts w:ascii="Arial" w:cs="Arial" w:eastAsia="Arial" w:hAnsi="Arial"/>
          <w:color w:val="33444F"/>
          <w:sz w:val="21"/>
          <w:szCs w:val="21"/>
        </w:rPr>
        <w:t xml:space="preserve">Molecular assay validation and bioinformatics essentials.</w:t>
      </w:r>
    </w:p>
    <w:p>
      <w:pPr>
        <w:spacing w:after="120" w:before="80" w:line="276"/>
      </w:pPr>
      <w:r>
        <w:rPr>
          <w:rFonts w:ascii="Arial" w:cs="Arial" w:eastAsia="Arial" w:hAnsi="Arial"/>
          <w:i/>
          <w:iCs/>
          <w:color w:val="6B7B8A"/>
          <w:sz w:val="20"/>
          <w:szCs w:val="20"/>
        </w:rPr>
        <w:t xml:space="preserve">These gaps are opportunities: building these decks also builds reusable teaching assets the department currently lacks.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B8A"/>
        <w:sz w:val="16"/>
        <w:szCs w:val="16"/>
      </w:rPr>
      <w:t xml:space="preserve">Makassed General Hospital  ·  CP Residency Curriculum</w:t>
    </w:r>
    <w:r>
      <w:rPr>
        <w:rFonts w:ascii="Arial" w:cs="Arial" w:eastAsia="Arial" w:hAnsi="Arial"/>
      </w:rPr>
      <w:t xml:space="preserve">	</w:t>
    </w:r>
    <w:r>
      <w:rPr>
        <w:rFonts w:ascii="Arial" w:cs="Arial" w:eastAsia="Arial" w:hAnsi="Arial"/>
        <w:color w:val="6B7B8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AAB6C0"/>
      </w:rPr>
    </w:lvl>
  </w:abstractNum>
  <w:abstractNum w:abstractNumId="3" w15:restartNumberingAfterBreak="0">
    <w:multiLevelType w:val="hybridMultilevel"/>
    <w:lvl w:ilvl="0" w15:tentative="1">
      <w:start w:val="1"/>
      <w:numFmt w:val="bullet"/>
      <w:lvlText w:val="–"/>
      <w:lvlJc w:val="left"/>
      <w:pPr>
        <w:ind w:left="460" w:hanging="230"/>
      </w:pPr>
      <w:rPr>
        <w:color w:val="AAB6C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4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0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E3A5F"/>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B2A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2026-06-28T04:24:29.675Z</dcterms:created>
  <dcterms:modified xsi:type="dcterms:W3CDTF">2026-06-28T04:24:29.675Z</dcterms:modified>
</cp:coreProperties>
</file>

<file path=docProps/custom.xml><?xml version="1.0" encoding="utf-8"?>
<Properties xmlns="http://schemas.openxmlformats.org/officeDocument/2006/custom-properties" xmlns:vt="http://schemas.openxmlformats.org/officeDocument/2006/docPropsVTypes"/>
</file>