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B2A4A"/>
          <w:sz w:val="32"/>
          <w:szCs w:val="32"/>
        </w:rPr>
        <w:t xml:space="preserve">Proposta de Solução — Inovacamp: Desafio de Negócios Itaú</w:t>
      </w:r>
    </w:p>
    <w:p>
      <w:pPr>
        <w:spacing w:after="400"/>
      </w:pPr>
      <w:r>
        <w:rPr>
          <w:i/>
          <w:iCs/>
          <w:color w:val="FF6600"/>
          <w:sz w:val="24"/>
          <w:szCs w:val="24"/>
        </w:rPr>
        <w:t xml:space="preserve">Assistente Pessoal Financeiro (APF) com Inteligência de Padrões: Da Segurança à Antecipação de Necessidades</w:t>
      </w:r>
    </w:p>
    <w:p>
      <w:pPr>
        <w:pStyle w:val="Heading1"/>
        <w:spacing w:after="190" w:before="380"/>
      </w:pPr>
      <w:r>
        <w:t xml:space="preserve">1. Proposta de Solução</w:t>
      </w:r>
    </w:p>
    <w:p>
      <w:pPr>
        <w:pStyle w:val="Heading2"/>
        <w:spacing w:after="140" w:before="280"/>
      </w:pPr>
      <w:r>
        <w:t xml:space="preserve">Problema prioritário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Segurança: a proteção termina no “cancelar/confirmar” da transação. O cliente volta sozinho.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Pagamento: o cliente precisa comparar sozinho saldo, crédito, débito e linhas de crédito.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Produtos: investimentos e linhas de crédito mais baratas existem, mas o cliente nunca descobre sozinho.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Padrões desperdiçados: o cliente paga os mesmos boletos todo mês — e o banco nunca aprende para sugerir automação.</w:t>
      </w:r>
    </w:p>
    <w:p>
      <w:pPr>
        <w:pStyle w:val="Heading2"/>
        <w:spacing w:after="140" w:before="280"/>
      </w:pPr>
      <w:r>
        <w:t xml:space="preserve">A nova proposta: Assistente Pessoal Financeiro (APF)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Entende a intenção em linguagem natural (NLU).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Consome dados do ecossistema Itaú em tempo real (saldo, fatura, extrato, produtos, sinais de segurança).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Orquestra módulos especializados (segurança, pagamentos, investimentos, padrões) para compor a resposta mais completa.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Detecta padrões transacionais recorrentes por agregação SQL e age proativamente — com regras de frequência para evitar fadiga.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Executa ações proporcionais ao risco, com confirmação biométrica quando necessário.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Respeita a LGPD com consentimento granular por categoria de padrão — não um checkbox genérico.</w:t>
      </w:r>
    </w:p>
    <w:p>
      <w:pPr>
        <w:pStyle w:val="Heading2"/>
        <w:spacing w:after="140" w:before="280"/>
      </w:pPr>
      <w:r>
        <w:t xml:space="preserve">O que realmente muda</w:t>
      </w:r>
    </w:p>
    <w:p>
      <w:pPr>
        <w:spacing w:after="150"/>
      </w:pPr>
      <w:r>
        <w:t xml:space="preserve">Apps bancários são sistemas de navegação: o cliente aprende o menu de outra pessoa. Um assistente conversacional muda o paradigma: em vez de navegar, o cliente pede. E vai além: aprende padrões, antecipa decisões e ensina no momento certo — sem virar spam. Essa é a definição mais literal do que o próprio Desafio pede: um assistente “capaz de antecipar necessidades”.</w:t>
      </w:r>
    </w:p>
    <w:p>
      <w:pPr>
        <w:pStyle w:val="Heading2"/>
        <w:spacing w:after="140" w:before="280"/>
      </w:pPr>
      <w:r>
        <w:t xml:space="preserve">Hipótese central</w:t>
      </w:r>
    </w:p>
    <w:p>
      <w:pPr>
        <w:spacing w:after="150"/>
      </w:pPr>
      <w:r>
        <w:rPr>
          <w:b/>
          <w:bCs/>
        </w:rPr>
        <w:t xml:space="preserve">1. Fricção hoje: </w:t>
      </w:r>
      <w:r>
        <w:t xml:space="preserve">cliente PF não tem a mesma segurança proativa do PJ, fica sozinho nas decisões de pagamento/investimento, e padrões recorrentes são ignorados.</w:t>
      </w:r>
    </w:p>
    <w:p>
      <w:pPr>
        <w:spacing w:after="150"/>
      </w:pPr>
      <w:r>
        <w:rPr>
          <w:b/>
          <w:bCs/>
        </w:rPr>
        <w:t xml:space="preserve">2. Causa raiz: </w:t>
      </w:r>
      <w:r>
        <w:t xml:space="preserve">produtos e dados existem, mas estão isolados; o padrão do PJ não foi levado ao PF; dados históricos nunca viraram inteligência proativa.</w:t>
      </w:r>
    </w:p>
    <w:p>
      <w:pPr>
        <w:spacing w:after="150"/>
      </w:pPr>
      <w:r>
        <w:rPr>
          <w:b/>
          <w:bCs/>
        </w:rPr>
        <w:t xml:space="preserve">3. Como o APF age: </w:t>
      </w:r>
      <w:r>
        <w:t xml:space="preserve">orquestra dados em tempo real via conversa, detecta padrões por agregação SQL, dispara notificações contextualizadas com cap diário e cooldown.</w:t>
      </w:r>
    </w:p>
    <w:p>
      <w:pPr>
        <w:spacing w:after="150"/>
      </w:pPr>
      <w:r>
        <w:rPr>
          <w:b/>
          <w:bCs/>
        </w:rPr>
        <w:t xml:space="preserve">4. Resultado esperado: </w:t>
      </w:r>
      <w:r>
        <w:t xml:space="preserve">menos juros pagos, mais dinheiro rendendo, automação de tarefas repetitivas, proteção proativa — com respeito à LGPD e à CVM.</w:t>
      </w:r>
    </w:p>
    <w:p>
      <w:pPr>
        <w:pStyle w:val="Heading1"/>
        <w:spacing w:after="190" w:before="380"/>
      </w:pPr>
      <w:r>
        <w:t xml:space="preserve">2. Fundamentação Teórica e Estatística</w:t>
      </w:r>
    </w:p>
    <w:p>
      <w:pPr>
        <w:pStyle w:val="Heading2"/>
        <w:spacing w:after="140" w:before="280"/>
      </w:pPr>
      <w:r>
        <w:t xml:space="preserve">O que o Itaú já comprovou em segurança proativa</w:t>
      </w:r>
    </w:p>
    <w:p>
      <w:pPr>
        <w:spacing w:after="150"/>
      </w:pPr>
      <w:r>
        <w:t xml:space="preserve">Em agosto de 2025, o Itaú lançou um pacote de segurança proativa para PJ (Hub de Segurança, Alerta Pix, Alerta de Ligação). Gap: esse padrão ainda não chegou ao PF com a mesma profundidade, e não se conecta à otimização financeira.</w:t>
      </w:r>
    </w:p>
    <w:p>
      <w:pPr>
        <w:spacing w:after="190" w:before="90"/>
      </w:pPr>
      <w:r>
        <w:rPr>
          <w:i/>
          <w:iCs/>
          <w:color w:val="595959"/>
          <w:sz w:val="20"/>
          <w:szCs w:val="20"/>
        </w:rPr>
        <w:t xml:space="preserve">Nota de verificação: recomenda-se confirmar diretamente com o Itaú, antes da apresentação final, se e quando um pacote equivalente foi ou será estendido a pessoa física.</w:t>
      </w:r>
    </w:p>
    <w:p>
      <w:pPr>
        <w:pStyle w:val="Heading2"/>
        <w:spacing w:after="140" w:before="280"/>
      </w:pPr>
      <w:r>
        <w:t xml:space="preserve">Dados sobre fraude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24 milhões de brasileiros vítimas de golpe via Pix/boleto entre jul/2024 e jun/2025 (Datafolha/Fórum Brasileiro de Segurança Pública).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Prejuízo agregado: R$ 29 bilhões; perda média de R$ 1.198 por vítima.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Churn por fraude: 25% das vítimas afirmam que trocariam de instituição.</w:t>
      </w:r>
    </w:p>
    <w:p>
      <w:pPr>
        <w:pStyle w:val="Heading2"/>
        <w:spacing w:after="140" w:before="280"/>
      </w:pPr>
      <w:r>
        <w:t xml:space="preserve">Marco regulatório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MED 2.0: obrigatório desde fevereiro de 2026.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STJ: reforça responsabilidade objetiva do banco quando o golpe explora falha do próprio sistema.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Resolução CVM 30: suitability obrigatório para qualquer recomendação de investimento.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Pix Automático: mecanismo do Banco Central, obrigatório desde outubro de 2025 — base real para a automação de recorrência do EPC.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LGPD: consentimento granular por categoria; Open Finance Fase 4 como base técnica.</w:t>
      </w:r>
    </w:p>
    <w:p>
      <w:pPr>
        <w:pStyle w:val="Heading1"/>
        <w:spacing w:after="190" w:before="380"/>
      </w:pPr>
      <w:r>
        <w:t xml:space="preserve">3. Arquitetura de Módulos</w:t>
      </w:r>
    </w:p>
    <w:p>
      <w:pPr>
        <w:spacing w:after="150"/>
      </w:pPr>
      <w:r>
        <w:t>Protótipo: serviço único em Python (FastAPI) + SQLite + Groq. A arquitetura separa orquestração, transações, decisão, visão de documentos, proatividade e canais; o estado financeiro é persistido no banco. Em produção, esses limites podem virar serviços sem reescrever as regras de negócio. Não são agentes autônomos independentes: é um único motor com roteamento de intenção e chamadas de função por módulo.</w:t>
      </w:r>
    </w:p>
    <w:p>
      <w:pPr>
        <w:pStyle w:val="Heading2"/>
        <w:spacing w:after="140" w:before="280"/>
      </w:pPr>
      <w:r>
        <w:t xml:space="preserve">Camada de Interação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Opção Conservadora — chat dentro do app Itaú (Flutter): ambiente 100% controlado, mesma sessão autenticada.</w:t>
      </w:r>
    </w:p>
    <w:p>
      <w:pPr>
        <w:pStyle w:val="ListParagraph"/>
        <w:numPr>
          <w:ilvl w:val="0"/>
          <w:numId w:val="1"/>
        </w:numPr>
        <w:spacing w:after="90"/>
      </w:pPr>
      <w:r>
        <w:t>Opção Arrojada — Telegram integrado por webhook com segredo, vínculo do chat por código de uso único e estado persistente. Quando há ação financeira, o bot cria um token de 15 minutos e abre o app por deep link; o Telegram nunca confirma a transação.</w:t>
      </w:r>
    </w:p>
    <w:p>
      <w:pPr>
        <w:pStyle w:val="Heading2"/>
        <w:spacing w:after="140" w:before="280"/>
      </w:pPr>
      <w:r>
        <w:t xml:space="preserve">Camada de Orquestração</w:t>
      </w:r>
    </w:p>
    <w:p>
      <w:pPr>
        <w:spacing w:after="150"/>
      </w:pPr>
      <w:r>
        <w:rPr>
          <w:b/>
          <w:bCs/>
        </w:rPr>
        <w:t xml:space="preserve">Princípio de grounding: </w:t>
      </w:r>
      <w:r>
        <w:t xml:space="preserve">o LLM nunca gera, estima ou arredonda valores financeiros. Todo número vem de API — ou de dados sintéticos no protótipo, explicitamente rotulados como tal.</w:t>
      </w:r>
    </w:p>
    <w:p>
      <w:pPr>
        <w:pStyle w:val="ListParagraph"/>
        <w:numPr>
          <w:ilvl w:val="0"/>
          <w:numId w:val="1"/>
        </w:numPr>
        <w:spacing w:after="90"/>
      </w:pPr>
      <w:r>
        <w:t>Motor textual: Groq API com openai/gpt-oss-120b e fallback openai/gpt-oss-20b. Leitura de boleto: qwen/qwen3.6-27b quando a visão está disponível; fallback de palco determinístico e explicitamente rotulado quando não está.</w:t>
      </w:r>
    </w:p>
    <w:p>
      <w:pPr>
        <w:pStyle w:val="ListParagraph"/>
        <w:numPr>
          <w:ilvl w:val="0"/>
          <w:numId w:val="1"/>
        </w:numPr>
        <w:spacing w:after="90"/>
      </w:pPr>
      <w:r>
        <w:t>Gerenciador de contexto: conversas, rascunhos transacionais, última transferência, boletos fotografados e tokens de continuação persistidos em SQLite.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Engine de Padrões e Contexto (EPC): detecção de recorrência por agregação SQL (GROUP BY + HAVING) — não é clustering estatístico nem machine learning.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Roteador de intenções: direciona para o módulo especialista adequado.</w:t>
      </w:r>
    </w:p>
    <w:p>
      <w:pPr>
        <w:pStyle w:val="Heading2"/>
        <w:spacing w:after="140" w:before="280"/>
      </w:pPr>
      <w:r>
        <w:t xml:space="preserve">Camada de Módulos Especializados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Módulo de Segurança: adapta ao PF os sinais equivalentes ao padrão já validado no PJ.</w:t>
      </w:r>
    </w:p>
    <w:p>
      <w:pPr>
        <w:pStyle w:val="ListParagraph"/>
        <w:numPr>
          <w:ilvl w:val="0"/>
          <w:numId w:val="1"/>
        </w:numPr>
        <w:spacing w:after="90"/>
      </w:pPr>
      <w:r>
        <w:t>Módulo de Pagamento: acessa saldo, fatura e limite sintéticos; compara Pix, débito e crédito mostrando impacto e premissas, sem inventar economia.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Módulo de Investimento: monitora saldo ocioso; aplica suitability gate (CVM) — apenas produtos de baixíssimo risco (CDB liquidez diária, poupança, Tesouro Selic).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Módulo de Padrões (EPC): detecta recorrências (aluguel, salário, gastos fixos) e sugere automações, com regras de frequência.</w:t>
      </w:r>
    </w:p>
    <w:p>
      <w:pPr>
        <w:pStyle w:val="Heading1"/>
        <w:spacing w:after="190" w:before="380"/>
      </w:pPr>
      <w:r>
        <w:t xml:space="preserve">4. Casos de Uso Prioritários</w:t>
      </w:r>
    </w:p>
    <w:p>
      <w:pPr>
        <w:pStyle w:val="Heading2"/>
        <w:spacing w:after="140" w:before="280"/>
      </w:pPr>
      <w:r>
        <w:t xml:space="preserve">Caso de Uso #1 — Chat de Pagamento e Comparador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6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Problema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usa crédito por padrão, mesmo quando débito seria mais barato.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Ação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pergunta naturalmente. O APF identifica a intenção, consome dados e responde com comparação contextualizada. Variante proativa: EPC detecta padrão de pagamento e sugere antecipação.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Métrica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Redução no uso de crédito rotativo; taxa de resolução de intenção na primeira interação.</w:t>
            </w:r>
          </w:p>
        </w:tc>
      </w:tr>
    </w:tbl>
    <w:p>
      <w:pPr>
        <w:spacing w:after="180"/>
      </w:pPr>
    </w:p>
    <w:p>
      <w:pPr>
        <w:pStyle w:val="Heading2"/>
        <w:spacing w:after="140" w:before="280"/>
      </w:pPr>
      <w:r>
        <w:t xml:space="preserve">Caso de Uso #2 — Alocação Automática + Pílula de Conhecimento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6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Problema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Dinheiro parado em conta corrente sem render.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Ação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Módulo de Investimento monitora saldo ocioso e sugere aplicação. Suitability gate bloqueia produtos incompatíveis com o perfil. Pílula de conhecimento pré-aprovada explica o produto. Disclaimer CVM em toda projeção.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Métrica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Volume de recursos migrados; taxa de aceitação de sugestões proativas.</w:t>
            </w:r>
          </w:p>
        </w:tc>
      </w:tr>
    </w:tbl>
    <w:p>
      <w:pPr>
        <w:spacing w:after="180"/>
      </w:pPr>
    </w:p>
    <w:p>
      <w:pPr>
        <w:pStyle w:val="Heading2"/>
        <w:spacing w:after="140" w:before="280"/>
      </w:pPr>
      <w:r>
        <w:t xml:space="preserve">Caso de Uso #3 — Segurança Integrada como Gatilho Conversacional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6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Problema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segurança protege, mas termina no cancelamento/continuação da transação.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Ação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Módulo de Segurança consome sinais de risco; se validada, o APF avança automaticamente para o comparador de pagamento, na mesma conversa.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Métrica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 de engajamento com o comparador após o fluxo de segurança.</w:t>
            </w:r>
          </w:p>
        </w:tc>
      </w:tr>
    </w:tbl>
    <w:p>
      <w:pPr>
        <w:spacing w:after="180"/>
      </w:pPr>
    </w:p>
    <w:p>
      <w:pPr>
        <w:pStyle w:val="Heading2"/>
        <w:spacing w:after="140" w:before="280"/>
      </w:pPr>
      <w:r>
        <w:t xml:space="preserve">Caso de Uso #4 — Inteligência de Padrões (EPC)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6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Problema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 esquece contas recorrentes, não percebe impacto acumulado de gastos fixos, e o banco nunca aprende com o histórico.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Ação — sub-cenário A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EPC detecta recorrência (3+ ciclos) e sugere Pix Automático antes do vencimento. Ex.: “Você paga aluguel de R$ 1.500 todo dia 10. Quer configurar o Pix Automático?”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Ação — sub-cenário B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EPC calcula projeção anual de gasto recorrente e envia insight com pílula de conhecimento. Ex.: “Você gasta ~R$ 900/mês com delivery — R$ 10.800/ano. Separar em caixinhas (envelope digital) ajuda a controlar isso.”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Controle de frequência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Máximo de 2 notificações proativas por dia, cooldown por categoria (7 a 30 dias), agrupamento quando há múltiplos padrões no mesmo dia, e opt-out em 1 clique.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Métrica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Taxa de adoção de automações sugeridas; engajamento com insights; redução de inadimplência por esquecimento.</w:t>
            </w:r>
          </w:p>
        </w:tc>
      </w:tr>
    </w:tbl>
    <w:p>
      <w:pPr>
        <w:pStyle w:val="Heading1"/>
        <w:spacing w:after="190" w:before="380"/>
      </w:pPr>
      <w:r>
        <w:t xml:space="preserve">5. Público-Alvo e Dimensionamento de Mercado</w:t>
      </w:r>
    </w:p>
    <w:p>
      <w:pPr>
        <w:spacing w:after="150"/>
      </w:pPr>
      <w:r>
        <w:t xml:space="preserve">Clientes do Itaú entre 18 e 29 anos que já superaram a fase de conta simples (resolvida pelo iti) e estão entrando na fase de múltiplos produtos financeiros simultâneos. Foco em heavy users de Pix, que concentram maior exposição a golpe e maior volume de padrões recorrentes detectáveis.</w:t>
      </w:r>
    </w:p>
    <w:p>
      <w:pPr>
        <w:spacing w:after="150"/>
      </w:pPr>
      <w:r>
        <w:rPr>
          <w:b/>
          <w:bCs/>
        </w:rPr>
        <w:t xml:space="preserve">Esta não é uma sobreposição ao iti: </w:t>
      </w:r>
      <w:r>
        <w:t xml:space="preserve">o iti resolve a entrada simples. A proposta atua na complexidade que vem depois.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00"/>
      </w:tblGrid>
      <w:tr>
        <w:tc>
          <w:tcPr>
            <w:tcW w:type="dxa" w:w="15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  <w:tc>
          <w:tcPr>
            <w:tcW w:type="dxa" w:w="57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 de cálculo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TAM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~45 milhões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Correntistas de bancos no Brasil, 18–29 anos, com conta digital ativa.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~8 milhões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Clientes atuais do Itaú nessa faixa etária, usuários do app mobile.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SOM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~2,4 milhões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Fração alcançável no 1º ano — estimativa conservadora de 30% de engajamento.</w:t>
            </w:r>
          </w:p>
        </w:tc>
      </w:tr>
    </w:tbl>
    <w:p>
      <w:pPr>
        <w:pStyle w:val="Heading1"/>
        <w:spacing w:after="190" w:before="380"/>
      </w:pPr>
      <w:r>
        <w:t xml:space="preserve">6. Jornada do Usuário</w:t>
      </w:r>
    </w:p>
    <w:p>
      <w:pPr>
        <w:spacing w:after="150"/>
      </w:pPr>
      <w:r>
        <w:t xml:space="preserve">Fluxo unificado: Intenção → Validação → Otimização → Execução → Acompanhamento → Proatividade.</w:t>
      </w:r>
    </w:p>
    <w:p>
      <w:pPr>
        <w:spacing w:after="150"/>
      </w:pPr>
      <w:r>
        <w:rPr>
          <w:b/>
          <w:bCs/>
        </w:rPr>
        <w:t xml:space="preserve">Intenção: </w:t>
      </w:r>
      <w:r>
        <w:t xml:space="preserve">cliente envia mensagem em linguagem natural.</w:t>
      </w:r>
    </w:p>
    <w:p>
      <w:pPr>
        <w:spacing w:after="150"/>
      </w:pPr>
      <w:r>
        <w:rPr>
          <w:b/>
          <w:bCs/>
        </w:rPr>
        <w:t xml:space="preserve">Validação: </w:t>
      </w:r>
      <w:r>
        <w:t xml:space="preserve">APF consulta o Módulo de Segurança; se seguro, avança sem interromper a conversa.</w:t>
      </w:r>
    </w:p>
    <w:p>
      <w:pPr>
        <w:spacing w:after="150"/>
      </w:pPr>
      <w:r>
        <w:rPr>
          <w:b/>
          <w:bCs/>
        </w:rPr>
        <w:t>Otimização: APF compara Pix, débito e crédito com rich cards; mostra impacto em saldo, fatura e limite, além das premissas. Valores vêm das APIs ou de dados sintéticos rotulados no protótipo.</w:t>
      </w:r>
      <w:r/>
    </w:p>
    <w:p>
      <w:pPr>
        <w:spacing w:after="150"/>
      </w:pPr>
      <w:r>
        <w:rPr>
          <w:b/>
          <w:bCs/>
        </w:rPr>
        <w:t>Execução: confirmação proporcional ao risco e ao canal — autenticação nativa do dispositivo dentro do app; fallback de demonstração identificado quando o ambiente não oferece biometria; deep link seguro quando a jornada começa no Telegram.</w:t>
      </w:r>
      <w:r/>
    </w:p>
    <w:p>
      <w:pPr>
        <w:spacing w:after="150"/>
      </w:pPr>
      <w:r>
        <w:rPr>
          <w:b/>
          <w:bCs/>
        </w:rPr>
        <w:t xml:space="preserve">Acompanhamento: </w:t>
      </w:r>
      <w:r>
        <w:t xml:space="preserve">APF monitora saldo e histórico; dashboard de saúde financeira acessível por comando.</w:t>
      </w:r>
    </w:p>
    <w:p>
      <w:pPr>
        <w:spacing w:after="150"/>
      </w:pPr>
      <w:r>
        <w:rPr>
          <w:b/>
          <w:bCs/>
        </w:rPr>
        <w:t xml:space="preserve">Proatividade: </w:t>
      </w:r>
      <w:r>
        <w:t xml:space="preserve">EPC dispara notificações contextuais respeitando cap diário, cooldown por categoria e opt-out.</w:t>
      </w:r>
    </w:p>
    <w:p>
      <w:pPr>
        <w:pStyle w:val="Heading1"/>
        <w:spacing w:after="190" w:before="380"/>
      </w:pPr>
      <w:r>
        <w:t xml:space="preserve">7. Proposta de Valor</w:t>
      </w:r>
    </w:p>
    <w:p>
      <w:pPr>
        <w:pStyle w:val="Heading2"/>
        <w:spacing w:after="140" w:before="280"/>
      </w:pPr>
      <w:r>
        <w:t xml:space="preserve">Para o cliente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Economia real: menos juros pagos, mais dinheiro rendendo.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Simplicidade: decisões financeiras complexas por linguagem natural.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Proatividade sem spam: o agente avisa antes do cliente lembrar, com frequência controlada.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Educação contextual: pílulas de conhecimento pré-aprovadas no momento exato da decisão.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Privacidade: consentimento granular por categoria, opt-out fácil, direito ao esquecimento.</w:t>
      </w:r>
    </w:p>
    <w:p>
      <w:pPr>
        <w:spacing w:after="150"/>
      </w:pPr>
      <w:r>
        <w:rPr>
          <w:b/>
          <w:bCs/>
        </w:rPr>
        <w:t xml:space="preserve">Inclusão real: </w:t>
      </w:r>
      <w:r>
        <w:t xml:space="preserve">pedir tem custo cognitivo muito menor que navegar um menu — não só para o público-alvo primário, mas para qualquer pessoa com dificuldade de uso de aplicativos em geral.</w:t>
      </w:r>
    </w:p>
    <w:p>
      <w:pPr>
        <w:pStyle w:val="Heading2"/>
        <w:spacing w:after="140" w:before="280"/>
      </w:pPr>
      <w:r>
        <w:t xml:space="preserve">Para o Itaú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Retenção do público jovem, mais exposto a fraude e a churn.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Engajamento com produtos de margem mais alta via sugestão contextual, não marketing push.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Mitigação de risco jurídico e regulatório (MED 2.0, STJ, CVM 30).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Diferenciação: inteligência de ecossistema e de padrões que nenhum banco digital replica.</w:t>
      </w:r>
    </w:p>
    <w:p>
      <w:pPr>
        <w:pStyle w:val="Heading1"/>
        <w:spacing w:after="190" w:before="380"/>
      </w:pPr>
      <w:r>
        <w:t xml:space="preserve">8. Plano de Implementação</w:t>
      </w:r>
    </w:p>
    <w:p>
      <w:pPr>
        <w:pStyle w:val="Heading2"/>
        <w:spacing w:after="140" w:before="280"/>
      </w:pPr>
      <w:r>
        <w:t xml:space="preserve">Duas propostas de implementação: conservadora e arrojada</w:t>
      </w:r>
    </w:p>
    <w:p>
      <w:pPr>
        <w:spacing w:after="150"/>
      </w:pPr>
      <w:r>
        <w:t xml:space="preserve">Em vez de escolher um único caminho, propomos duas versões, em pontos diferentes do espectro de risco e inovação. A arquitetura do APF é a mesma nos dois casos — muda apenas onde a conversa acontece. Isso dá ao Itaú a opção de adotar o caminho mais conservador primeiro, o mais arrojado diretamente, ou os dois em paralelo.</w:t>
      </w:r>
    </w:p>
    <w:p>
      <w:pPr>
        <w:spacing w:after="150"/>
      </w:pPr>
      <w:r>
        <w:rPr>
          <w:b/>
          <w:bCs/>
        </w:rPr>
        <w:t xml:space="preserve">Opção Conservadora — chat dentro do app Itaú (Flutter): </w:t>
      </w:r>
      <w:r>
        <w:t xml:space="preserve">ambiente 100% controlado pelo banco, mesma sessão autenticada, execução completa sem depender de terceiros. Menor risco regulatório, adoção mais imediata.</w:t>
      </w:r>
    </w:p>
    <w:p>
      <w:pPr>
        <w:spacing w:after="150"/>
      </w:pPr>
      <w:r>
        <w:rPr>
          <w:b/>
          <w:bCs/>
        </w:rPr>
        <w:t>Opção Arrojada — Telegram integrado: vínculo por código temporário, webhook autenticado, estado persistente e handoff por token de uso único. Ações financeiras sempre continuam no app autenticado e nunca são concluídas no chat.</w:t>
      </w:r>
      <w:r/>
    </w:p>
    <w:p>
      <w:pPr>
        <w:spacing w:after="190" w:before="90"/>
      </w:pPr>
      <w:r>
        <w:rPr>
          <w:i/>
          <w:iCs/>
          <w:color w:val="595959"/>
          <w:sz w:val="20"/>
          <w:szCs w:val="20"/>
        </w:rPr>
        <w:t>Evolução para WhatsApp: o adaptador de canal pode ser trocado sem alterar a orquestração. A homologação comercial e as políticas do provedor devem ser tratadas antes de produção.</w:t>
      </w:r>
    </w:p>
    <w:p>
      <w:pPr>
        <w:pStyle w:val="Heading2"/>
        <w:spacing w:after="140" w:before="280"/>
      </w:pPr>
      <w:r>
        <w:t xml:space="preserve">Governança e conformidade</w:t>
      </w:r>
    </w:p>
    <w:p>
      <w:pPr>
        <w:spacing w:after="150"/>
      </w:pPr>
      <w:r>
        <w:rPr>
          <w:b/>
          <w:bCs/>
        </w:rPr>
        <w:t xml:space="preserve">Suitability (CVM 30): </w:t>
      </w:r>
      <w:r>
        <w:t xml:space="preserve">gate explícito — apenas produtos de baixíssimo risco no protótipo (CDB liquidez diária, poupança, Tesouro Selic); produtos complexos (ações, fundos multimercado, cripto, COE) ficam bloqueados. Toda projeção de rendimento inclui disclaimer obrigatório.</w:t>
      </w:r>
    </w:p>
    <w:p>
      <w:pPr>
        <w:spacing w:after="150"/>
      </w:pPr>
      <w:r>
        <w:rPr>
          <w:b/>
          <w:bCs/>
        </w:rPr>
        <w:t xml:space="preserve">Consentimento granular (LGPD): </w:t>
      </w:r>
      <w:r>
        <w:t xml:space="preserve">3 categorias de consentimento independentes (padrões de pagamento, hábitos de gasto, saldo ocioso), desmarcadas por padrão; opt-out por categoria a qualquer momento; direito ao esquecimento implementado.</w:t>
      </w:r>
    </w:p>
    <w:p>
      <w:pPr>
        <w:spacing w:after="150"/>
      </w:pPr>
      <w:r>
        <w:rPr>
          <w:b/>
          <w:bCs/>
        </w:rPr>
        <w:t>Fadiga de notificação: cap de 2 notificações proativas por dia, janela de envio (9h–20h), cooldown por categoria (3 a 30 dias), consentimento granular e silenciamento por categoria. Agrupamento e ajuste por dismiss permanecem como evolução futura.</w:t>
      </w:r>
      <w:r/>
    </w:p>
    <w:p>
      <w:pPr>
        <w:spacing w:after="150"/>
      </w:pPr>
      <w:r>
        <w:rPr>
          <w:b/>
          <w:bCs/>
        </w:rPr>
        <w:t xml:space="preserve">Conteúdo educacional: </w:t>
      </w:r>
      <w:r>
        <w:t xml:space="preserve">pílulas de conhecimento são um conjunto fixo pré-aprovado por compliance — nunca geradas ao vivo pelo LLM.</w:t>
      </w:r>
    </w:p>
    <w:p>
      <w:pPr>
        <w:pStyle w:val="Heading1"/>
        <w:spacing w:after="190" w:before="380"/>
      </w:pPr>
      <w:r>
        <w:t xml:space="preserve">9. Viabilidade Econômica</w:t>
      </w:r>
    </w:p>
    <w:p>
      <w:pPr>
        <w:pStyle w:val="Heading2"/>
        <w:spacing w:after="140" w:before="280"/>
      </w:pPr>
      <w:r>
        <w:t xml:space="preserve">Retenção por fraude evitada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Base (SAM): 8 milhões de clientes Itaú 18–29 anos.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15% expostos a golpe por ano = 1,2 milhão.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25% de churn nas vítimas = 300 mil clientes em risco anual.</w:t>
      </w:r>
    </w:p>
    <w:p>
      <w:pPr>
        <w:spacing w:after="150"/>
      </w:pPr>
      <w:r>
        <w:rPr>
          <w:b/>
          <w:bCs/>
        </w:rPr>
        <w:t xml:space="preserve">Piso conservador (custo de reaquisição evitado): </w:t>
      </w:r>
      <w:r>
        <w:t xml:space="preserve">300.000 × R$ 250 (CAC médio do setor digital) = R$ 75 milhões/ano.</w:t>
      </w:r>
    </w:p>
    <w:p>
      <w:pPr>
        <w:spacing w:after="190" w:before="90"/>
      </w:pPr>
      <w:r>
        <w:rPr>
          <w:i/>
          <w:iCs/>
          <w:color w:val="595959"/>
          <w:sz w:val="20"/>
          <w:szCs w:val="20"/>
        </w:rPr>
        <w:t xml:space="preserve">Piso conservador — mede apenas custo evitado de reaquisição. O valor real de retenção (via LTV) tende a ser maior; requer dado interno do Itaú.</w:t>
      </w:r>
    </w:p>
    <w:p>
      <w:pPr>
        <w:pStyle w:val="Heading2"/>
        <w:spacing w:after="140" w:before="280"/>
      </w:pPr>
      <w:r>
        <w:t xml:space="preserve">Engajamento com produtos e automações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SOM: 2,4 milhões de clientes engajados no primeiro ano.</w:t>
      </w:r>
    </w:p>
    <w:p>
      <w:pPr>
        <w:pStyle w:val="ListParagraph"/>
        <w:numPr>
          <w:ilvl w:val="0"/>
          <w:numId w:val="1"/>
        </w:numPr>
        <w:spacing w:after="90"/>
      </w:pPr>
      <w:r>
        <w:t>Hipótese de adoção a validar: até 480 mil clientes usando o comparador no primeiro ano. O protótipo não atribui economia de juros sem dados reais de comportamento e preço.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240 mil novos investidores — ticket médio de R$ 1.500.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480 mil adotam automações por padrão (Pix Automático ou meta/caixinha).</w:t>
      </w:r>
    </w:p>
    <w:p>
      <w:pPr>
        <w:spacing w:after="150"/>
      </w:pPr>
      <w:r>
        <w:rPr>
          <w:b/>
          <w:bCs/>
        </w:rPr>
        <w:t xml:space="preserve">Receita recorrente estimada: </w:t>
      </w:r>
      <w:r>
        <w:t xml:space="preserve">0,8% a.a. de spread sobre R$ 360 milhões em novo AUM = R$ 2,88 milhões/ano.</w:t>
      </w:r>
    </w:p>
    <w:p>
      <w:pPr>
        <w:spacing w:after="190" w:before="90"/>
      </w:pPr>
      <w:r>
        <w:rPr>
          <w:i/>
          <w:iCs/>
          <w:color w:val="595959"/>
          <w:sz w:val="20"/>
          <w:szCs w:val="20"/>
        </w:rPr>
        <w:t>Premissas ilustrativas — base elegível, adoção, CAC, churn, ticket, spread e payback devem ser substituídos por dados internos do Itaú antes de qualquer decisão de investimento.</w:t>
      </w:r>
    </w:p>
    <w:p>
      <w:pPr>
        <w:pStyle w:val="Heading2"/>
        <w:spacing w:after="140" w:before="280"/>
      </w:pPr>
      <w:r>
        <w:t xml:space="preserve">Investimento e retorno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Investimento estimado (MVP): R$ 2 a 4 milhões.</w:t>
      </w:r>
    </w:p>
    <w:p>
      <w:pPr>
        <w:spacing w:after="150"/>
      </w:pPr>
      <w:r>
        <w:rPr>
          <w:b/>
          <w:bCs/>
        </w:rPr>
        <w:t xml:space="preserve">Payback estimado: </w:t>
      </w:r>
      <w:r>
        <w:t xml:space="preserve">12 a 18 meses — estimativa conservadora.</w:t>
      </w:r>
    </w:p>
    <w:p>
      <w:pPr>
        <w:pStyle w:val="Heading1"/>
        <w:spacing w:after="190" w:before="380"/>
      </w:pPr>
      <w:r>
        <w:t xml:space="preserve">10. Principais Riscos e Mitigação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00"/>
      </w:tblGrid>
      <w:tr>
        <w:tc>
          <w:tcPr>
            <w:tcW w:type="dxa" w:w="29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61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Regulatório (CVM)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Suitability gate: apenas produtos de baixíssimo risco. Disclaimer obrigatório em toda projeção.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Alucinação numérica do LLM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Grounding: todo valor vem da API/base de dados. LLM só formata linguagem. Validação por regex pós-processamento.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Segurança de canais externos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Telegram nunca conclui movimentação sozinho. Sempre deep link para o app com biometria.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Falsos positivos no EPC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Mínimo de 3 ciclos para sugerir automação. Confirmação explícita. Fácil cancelamento.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Fadiga de notificação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 diário de 2. Cooldown por categoria. Agrupamento inteligente. Opt-out em 1 clique.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LGPD — consentimento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Consentimento granular por categoria (3 checkboxes independentes). Direito ao esquecimento implementado.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Sobreposição com o iti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iti é a porta de entrada simples; a proposta opera sobre produtos e inteligência de padrões que o iti não possui.</w:t>
            </w:r>
          </w:p>
        </w:tc>
      </w:tr>
    </w:tbl>
    <w:p>
      <w:pPr>
        <w:pStyle w:val="Heading1"/>
        <w:spacing w:after="190" w:before="380"/>
      </w:pPr>
      <w:r>
        <w:t xml:space="preserve">11. Resumo Executivo</w:t>
      </w:r>
    </w:p>
    <w:p>
      <w:pPr>
        <w:spacing w:after="150"/>
      </w:pPr>
      <w:r>
        <w:t xml:space="preserve">Propomos um Assistente Pessoal Financeiro (APF) que conecta quatro pilares em uma jornada conversacional contínua: segurança integrada (adapta ao PF o padrão já validado no PJ), otimização de pagamento (compara em tempo real, com valores sempre vindos das APIs), alocação inteligente (com pílula de conhecimento e suitability gate CVM), e inteligência de padrões — EPC (detecta recorrências por agregação SQL e age proativamente, com cap diário, cooldown e opt-out).</w:t>
      </w:r>
    </w:p>
    <w:p>
      <w:pPr>
        <w:spacing w:after="150"/>
      </w:pPr>
      <w:r>
        <w:t>Toda ação que movimenta dinheiro exige confirmação no app autenticado. O consentimento LGPD é granular por categoria. O protótipo usa dados sintéticos rotulados, captura boleto por imagem, proatividade automática, persistência entre canais e integração Telegram pronta para receber credenciais. A arquitetura modular permite trocar os componentes de demonstração por serviços Itaú sem alterar a jornada.</w:t>
      </w:r>
    </w:p>
    <w:p>
      <w:pPr>
        <w:spacing w:after="150"/>
      </w:pPr>
      <w:r>
        <w:t xml:space="preserve">O diferencial competitivo está em levar ao público PF um padrão de segurança e inteligência de padrões que nenhum banco digital replica — e em uma mudança de paradigma de interação: de um app que se navega para um agente que aprende com o cliente, avisa antes e ensina no momento certo.</w:t>
      </w:r>
    </w:p>
    <w:p>
      <w:r>
        <w:br w:type="page"/>
      </w:r>
    </w:p>
    <w:p>
      <w:pPr>
        <w:pStyle w:val="Heading1"/>
      </w:pPr>
      <w:r>
        <w:t>12. Estado de Implementação e Evidências</w:t>
      </w:r>
    </w:p>
    <w:p>
      <w:pPr>
        <w:pStyle w:val="Heading2"/>
      </w:pPr>
      <w:r>
        <w:t>Implementado e testado</w:t>
      </w:r>
    </w:p>
    <w:p>
      <w:pPr>
        <w:pStyle w:val="ListParagraph"/>
      </w:pPr>
      <w:r>
        <w:t>Pix/TED multi-turno, boleto, investimento, recibo e atualização de saldo.</w:t>
      </w:r>
    </w:p>
    <w:p>
      <w:pPr>
        <w:pStyle w:val="ListParagraph"/>
      </w:pPr>
      <w:r>
        <w:t>Captura de boleto por câmera/galeria, revisão dos campos e pagamento após confirmação.</w:t>
      </w:r>
    </w:p>
    <w:p>
      <w:pPr>
        <w:pStyle w:val="ListParagraph"/>
      </w:pPr>
      <w:r>
        <w:t>Biometria nativa do dispositivo, com fallback de demonstração claramente identificado.</w:t>
      </w:r>
    </w:p>
    <w:p>
      <w:pPr>
        <w:pStyle w:val="ListParagraph"/>
      </w:pPr>
      <w:r>
        <w:t>Telegram com vínculo, webhook autenticado, deep link, token de uso único e persistência de estado.</w:t>
      </w:r>
    </w:p>
    <w:p>
      <w:pPr>
        <w:pStyle w:val="ListParagraph"/>
      </w:pPr>
      <w:r>
        <w:t>Comparador com impacto em saldo, fatura e limite; premissas visíveis.</w:t>
      </w:r>
    </w:p>
    <w:p>
      <w:pPr>
        <w:pStyle w:val="ListParagraph"/>
      </w:pPr>
      <w:r>
        <w:t>Proatividade automática com consentimento, cap, janela, cooldown e mute.</w:t>
      </w:r>
    </w:p>
    <w:p>
      <w:pPr>
        <w:pStyle w:val="Heading2"/>
      </w:pPr>
      <w:r>
        <w:t>Hipóteses que ainda exigem validação</w:t>
      </w:r>
    </w:p>
    <w:p>
      <w:pPr>
        <w:pStyle w:val="ListParagraph"/>
      </w:pPr>
      <w:r>
        <w:t>Aumento de engajamento, redução de atraso e diminuição de churn.</w:t>
      </w:r>
    </w:p>
    <w:p>
      <w:pPr>
        <w:pStyle w:val="ListParagraph"/>
      </w:pPr>
      <w:r>
        <w:t>Taxas de adoção, CAC evitado, spread, ticket, investimento e payback.</w:t>
      </w:r>
    </w:p>
    <w:p>
      <w:pPr>
        <w:pStyle w:val="ListParagraph"/>
      </w:pPr>
      <w:r>
        <w:t>Qualidade do scanner em um conjunto de boletos anonimizados e homologados.</w:t>
      </w:r>
    </w:p>
    <w:p>
      <w:pPr>
        <w:pStyle w:val="ListParagraph"/>
      </w:pPr>
      <w:r>
        <w:t>Atestação de dispositivo, antifraude e integração com APIs Itaú de produção.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2026-08-29T13:49:09.499Z</dcterms:created>
  <dcterms:modified xsi:type="dcterms:W3CDTF">2026-08-29T13:49:09.514Z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