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Office of the University President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Memorandum Order No. 034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Series 2024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April 04, 2024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VICE PRESIDENTS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EXECUTIVE DIRECTORS and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OUS AND SAS EXECUTIVE DIRECTORS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OFFICIALS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EMPLOYEES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PSU STUDENTS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IMPLEMENTATION OF HOME-BASED SYNCHRONOUS ONLINE CLASSES ON APRIL 8 and 11 to 13, 2024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minimize health risks and considering the detrimental effects brought about by the prevailing high heat index ranging from 36°C to 42°C based on the forecast in the Province of Pangasinan, PSU shall implement home-based synchronous online classes on April 8 and 11 to 13, 2024.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following are the guidelines for the implementation of the short-term shift to synchronous online modality: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1. The short-term shift shall be implemented from April 8 and 11 to 13, 2024 only. April 9 and 10 are declared as national non-working holidays.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 All subjects shall be delivered using the synchronous online modality. All laboratory activities and research activities shall be done after the mentioned week; however, the faculty members shall provide synchronous or asynchronous activities aligned to the intended course and learning outcomes mentioned in the course syllabus.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 Related learning experiences, student internship, and practice teaching are NOT covered in the short-term shift since they will be completing the required hours for the subject. However, in cases where the partner Host Training Establishments (HTEs) have integrated remote work modalities including synchronous/asynchronous options in the internship program, the equivalent hours shall be included in reckoning the total number of hours.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4. Faculty shall work on a work-from-home arrangement. However, in exigency of service, faculty may be required to report onsite to work on accreditation or assessment-related responsibilities.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5. All faculty with designations shall report onsite during the implementation of the short-term shift to synchronous online classes.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 The department chairperson and college dean shall monitor their respective faculty. The college dean shall submit the monitoring reports to the office of the Campus Executive Director every 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7. Non-teaching personnel shall report onsite during the synchronous online classes.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8. The CEDs and EDs shall inform all relevant stakeholders that might be affected by this implementation.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For information and guidance.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Digitally signed by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ELBERT MANANGAN GALAS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04/02/2024 17:23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ELBERT M. GALAS, DIT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University President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